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6"/>
          <w:szCs w:val="36"/>
        </w:rPr>
        <w:t xml:space="preserve">2026年脉冲光纤激光器研究进展报告</w:t>
      </w:r>
    </w:p>
    <w:p>
      <w:r>
        <w:rPr>
          <w:i/>
          <w:iCs/>
          <w:color w:val="666666"/>
          <w:sz w:val="22"/>
          <w:szCs w:val="22"/>
        </w:rPr>
        <w:t xml:space="preserve">**撰写时间**：2026-03-29 | **版本**：定稿（v1→final）</w:t>
      </w:r>
    </w:p>
    <w:p>
      <w:r>
        <w:rPr>
          <w:i/>
          <w:iCs/>
          <w:color w:val="666666"/>
          <w:sz w:val="22"/>
          <w:szCs w:val="22"/>
        </w:rPr>
        <w:t xml:space="preserve">**作者**：writer | **基于**：research_data/ 下5份调研文档</w:t>
      </w:r>
    </w:p>
    <w:p>
      <w:r>
        <w:rPr>
          <w:i/>
          <w:iCs/>
          <w:color w:val="666666"/>
          <w:sz w:val="22"/>
          <w:szCs w:val="22"/>
        </w:rPr>
        <w:t xml:space="preserve">**审校**：reviewer（review_v1.md），全部问题已修订</w:t>
      </w:r>
    </w:p>
    <w:p>
      <w:pPr>
        <w:pStyle w:val="Heading2"/>
      </w:pPr>
      <w:r>
        <w:rPr>
          <w:b/>
          <w:bCs/>
          <w:sz w:val="28"/>
          <w:szCs w:val="28"/>
        </w:rPr>
        <w:t xml:space="preserve">数据来源与时效性说明</w:t>
      </w:r>
    </w:p>
    <w:p>
      <w:r>
        <w:t xml:space="preserve">本报告以 </w:t>
      </w:r>
      <w:r>
        <w:rPr>
          <w:b/>
          <w:bCs/>
        </w:rPr>
        <w:t xml:space="preserve">2024—2025年的已发表成果和可验证数据</w:t>
      </w:r>
      <w:r>
        <w:t xml:space="preserve"> 为核心基础，2026年部分内容为基于技术趋势的 </w:t>
      </w:r>
      <w:r>
        <w:rPr>
          <w:b/>
          <w:bCs/>
        </w:rPr>
        <w:t xml:space="preserve">前瞻性预判</w:t>
      </w:r>
      <w:r>
        <w:t xml:space="preserve">。调研文档基于 researcher 训练知识整理，部分最新进展可能未完全覆盖，建议读者参考最新论文与行业报告。</w:t>
      </w:r>
    </w:p>
    <w:p>
      <w:pPr>
        <w:pStyle w:val="Heading2"/>
      </w:pPr>
      <w:r>
        <w:rPr>
          <w:b/>
          <w:bCs/>
          <w:sz w:val="28"/>
          <w:szCs w:val="28"/>
        </w:rPr>
        <w:t xml:space="preserve">摘要</w:t>
      </w:r>
    </w:p>
    <w:p>
      <w:r>
        <w:t xml:space="preserve">脉冲光纤激光器是以掺稀土元素光纤为增益介质，通过调Q或锁模技术实现脉冲输出的高性能激光光源。本报告系统梳理了脉冲光纤激光器的核心技术原理（调Q、锁模、MOPA）与架构演进脉络，总结了2024—2025年度在功率提升、脉冲压缩、波长拓展和光束质量改善方面的重要突破，对比分析了IPG、锐科、杰普特、nLight等全球及国内主要厂商以及主要研究机构的技术能力与市场格局，展示了在工业加工、医疗、激光雷达、通信、科研等领域的典型应用案例，并深入讨论了当前面临的技术瓶颈与行业挑战，对超快激光器普及化、智能化、绿色可持续发展等未来趋势进行了前瞻性预测。</w:t>
      </w:r>
    </w:p>
    <w:p>
      <w:pPr>
        <w:pStyle w:val="Heading2"/>
      </w:pPr>
      <w:r>
        <w:rPr>
          <w:b/>
          <w:bCs/>
          <w:sz w:val="28"/>
          <w:szCs w:val="28"/>
        </w:rPr>
        <w:t xml:space="preserve">目录</w:t>
      </w:r>
    </w:p>
    <w:p>
      <w:r>
        <w:t xml:space="preserve">[技术原理与架构演进](#1-技术原理与架构演进)</w:t>
      </w:r>
    </w:p>
    <w:p>
      <w:r>
        <w:t xml:space="preserve">[2024—2025年度重要成果与突破](#2-2024-2025年度重要成果与突破)</w:t>
      </w:r>
    </w:p>
    <w:p>
      <w:r>
        <w:t xml:space="preserve">[主要厂商与研究机构对比](#3-主要厂商与研究机构对比)</w:t>
      </w:r>
    </w:p>
    <w:p>
      <w:r>
        <w:t xml:space="preserve">[典型应用场景](#4-典型应用场景)</w:t>
      </w:r>
    </w:p>
    <w:p>
      <w:r>
        <w:t xml:space="preserve">[技术挑战与未来趋势](#5-技术挑战与未来趋势)</w:t>
      </w:r>
    </w:p>
    <w:p>
      <w:r>
        <w:t xml:space="preserve">[结语](#6-结语)</w:t>
      </w:r>
    </w:p>
    <w:p>
      <w:r>
        <w:t xml:space="preserve">[参考文献](#7-参考文献)</w:t>
      </w:r>
    </w:p>
    <w:p>
      <w:pPr>
        <w:pStyle w:val="Heading2"/>
      </w:pPr>
      <w:r>
        <w:rPr>
          <w:b/>
          <w:bCs/>
          <w:sz w:val="28"/>
          <w:szCs w:val="28"/>
        </w:rPr>
        <w:t xml:space="preserve">1. 技术原理与架构演进</w:t>
      </w:r>
    </w:p>
    <w:p>
      <w:pPr>
        <w:pStyle w:val="Heading3"/>
      </w:pPr>
      <w:r>
        <w:rPr>
          <w:b/>
          <w:bCs/>
          <w:sz w:val="24"/>
          <w:szCs w:val="24"/>
        </w:rPr>
        <w:t xml:space="preserve">1.1 概述</w:t>
      </w:r>
    </w:p>
    <w:p>
      <w:r>
        <w:t xml:space="preserve">脉冲光纤激光器（Pulsed Fiber Laser）以掺稀土元素光纤（如掺镱 Yb³⁺、掺铒 Er³⁺、掺铥 Tm³⁺）为增益介质，通过调Q或锁模技术实现脉冲输出。相比传统固体激光器，光纤激光器具有光束质量好（M²≈1）、散热优异、体积小巧、可靠性高等核心优势，已成为现代工业加工与科学研究的关键光源。</w:t>
      </w:r>
    </w:p>
    <w:p>
      <w:pPr>
        <w:pStyle w:val="Heading3"/>
      </w:pPr>
      <w:r>
        <w:rPr>
          <w:b/>
          <w:bCs/>
          <w:sz w:val="24"/>
          <w:szCs w:val="24"/>
        </w:rPr>
        <w:t xml:space="preserve">1.2 增益介质与泵浦方式</w:t>
      </w:r>
    </w:p>
    <w:p>
      <w:r>
        <w:rPr>
          <w:b/>
          <w:bCs/>
        </w:rPr>
        <w:t xml:space="preserve">主要增益介质</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稀土离子</w:t>
            </w:r>
          </w:p>
        </w:tc>
        <w:tc>
          <w:tcPr>
            <w:tcW w:type="pct" w:w="16.666666666666668%"/>
          </w:tcPr>
          <w:p>
            <w:r>
              <w:rPr>
                <w:sz w:val="20"/>
                <w:szCs w:val="20"/>
              </w:rPr>
              <w:t xml:space="preserve">波长范围</w:t>
            </w:r>
          </w:p>
        </w:tc>
        <w:tc>
          <w:tcPr>
            <w:tcW w:type="pct" w:w="16.666666666666668%"/>
          </w:tcPr>
          <w:p>
            <w:r>
              <w:rPr>
                <w:sz w:val="20"/>
                <w:szCs w:val="20"/>
              </w:rPr>
              <w:t xml:space="preserve">典型应用</w:t>
            </w:r>
          </w:p>
        </w:tc>
      </w:tr>
      <w:tr>
        <w:tc>
          <w:tcPr>
            <w:tcW w:type="pct" w:w="16.666666666666668%"/>
          </w:tcPr>
          <w:p>
            <w:r>
              <w:rPr>
                <w:sz w:val="20"/>
                <w:szCs w:val="20"/>
              </w:rPr>
              <w:t xml:space="preserve">Er³⁺（铒）</w:t>
            </w:r>
          </w:p>
        </w:tc>
        <w:tc>
          <w:tcPr>
            <w:tcW w:type="pct" w:w="16.666666666666668%"/>
          </w:tcPr>
          <w:p>
            <w:r>
              <w:rPr>
                <w:sz w:val="20"/>
                <w:szCs w:val="20"/>
              </w:rPr>
              <w:t xml:space="preserve">1530–1565 nm</w:t>
            </w:r>
          </w:p>
        </w:tc>
        <w:tc>
          <w:tcPr>
            <w:tcW w:type="pct" w:w="16.666666666666668%"/>
          </w:tcPr>
          <w:p>
            <w:r>
              <w:rPr>
                <w:sz w:val="20"/>
                <w:szCs w:val="20"/>
              </w:rPr>
              <w:t xml:space="preserve">通信、人眼安全测距</w:t>
            </w:r>
          </w:p>
        </w:tc>
      </w:tr>
      <w:tr>
        <w:tc>
          <w:tcPr>
            <w:tcW w:type="pct" w:w="16.666666666666668%"/>
          </w:tcPr>
          <w:p>
            <w:r>
              <w:rPr>
                <w:sz w:val="20"/>
                <w:szCs w:val="20"/>
              </w:rPr>
              <w:t xml:space="preserve">Tm³⁺（铥）</w:t>
            </w:r>
          </w:p>
        </w:tc>
        <w:tc>
          <w:tcPr>
            <w:tcW w:type="pct" w:w="16.666666666666668%"/>
          </w:tcPr>
          <w:p>
            <w:r>
              <w:rPr>
                <w:sz w:val="20"/>
                <w:szCs w:val="20"/>
              </w:rPr>
              <w:t xml:space="preserve">1900–2050 nm</w:t>
            </w:r>
          </w:p>
        </w:tc>
        <w:tc>
          <w:tcPr>
            <w:tcW w:type="pct" w:w="16.666666666666668%"/>
          </w:tcPr>
          <w:p>
            <w:r>
              <w:rPr>
                <w:sz w:val="20"/>
                <w:szCs w:val="20"/>
              </w:rPr>
              <w:t xml:space="preserve">医疗手术、塑料焊接</w:t>
            </w:r>
          </w:p>
        </w:tc>
      </w:tr>
      <w:tr>
        <w:tc>
          <w:tcPr>
            <w:tcW w:type="pct" w:w="16.666666666666668%"/>
          </w:tcPr>
          <w:p>
            <w:r>
              <w:rPr>
                <w:sz w:val="20"/>
                <w:szCs w:val="20"/>
              </w:rPr>
              <w:t xml:space="preserve">Ho³⁺（钬）</w:t>
            </w:r>
          </w:p>
        </w:tc>
        <w:tc>
          <w:tcPr>
            <w:tcW w:type="pct" w:w="16.666666666666668%"/>
          </w:tcPr>
          <w:p>
            <w:r>
              <w:rPr>
                <w:sz w:val="20"/>
                <w:szCs w:val="20"/>
              </w:rPr>
              <w:t xml:space="preserve">2100 nm</w:t>
            </w:r>
          </w:p>
        </w:tc>
        <w:tc>
          <w:tcPr>
            <w:tcW w:type="pct" w:w="16.666666666666668%"/>
          </w:tcPr>
          <w:p>
            <w:r>
              <w:rPr>
                <w:sz w:val="20"/>
                <w:szCs w:val="20"/>
              </w:rPr>
              <w:t xml:space="preserve">医疗、大气传输</w:t>
            </w:r>
          </w:p>
        </w:tc>
      </w:tr>
    </w:tbl>
    <w:p>
      <w:r>
        <w:t xml:space="preserve">掺镱光纤是工业脉冲光纤激光器的主流选择，量子效率超过90%，适合高功率运行。光子晶体光纤（PCF）采用大模场面积设计，有效抑制非线性效应，是实现超高峰值功率的关键。</w:t>
      </w:r>
    </w:p>
    <w:p>
      <w:r>
        <w:t xml:space="preserve">泵浦方面，半导体激光二极管（LD）泵浦是最常用方案，电光效率可达30–50%。泵浦耦合结构包括端面泵浦和侧面泵浦（GT-Wave、Tapered Fiber Bundle）两大类。</w:t>
      </w:r>
    </w:p>
    <w:p>
      <w:pPr>
        <w:pStyle w:val="Heading3"/>
      </w:pPr>
      <w:r>
        <w:rPr>
          <w:b/>
          <w:bCs/>
          <w:sz w:val="24"/>
          <w:szCs w:val="24"/>
        </w:rPr>
        <w:t xml:space="preserve">1.3 调Q技术（Q-Switching）</w:t>
      </w:r>
    </w:p>
    <w:p>
      <w:r>
        <w:t xml:space="preserve">调Q技术通过周期性调制谐振腔损耗（Q值），使增益介质能量累积后在极短时间内释放，产生纳秒级脉冲。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类型</w:t>
            </w:r>
          </w:p>
        </w:tc>
        <w:tc>
          <w:tcPr>
            <w:tcW w:type="pct" w:w="16.666666666666668%"/>
          </w:tcPr>
          <w:p>
            <w:r>
              <w:rPr>
                <w:sz w:val="20"/>
                <w:szCs w:val="20"/>
              </w:rPr>
              <w:t xml:space="preserve">原理</w:t>
            </w:r>
          </w:p>
        </w:tc>
        <w:tc>
          <w:tcPr>
            <w:tcW w:type="pct" w:w="16.666666666666668%"/>
          </w:tcPr>
          <w:p>
            <w:r>
              <w:rPr>
                <w:sz w:val="20"/>
                <w:szCs w:val="20"/>
              </w:rPr>
              <w:t xml:space="preserve">特点</w:t>
            </w:r>
          </w:p>
        </w:tc>
      </w:tr>
      <w:tr>
        <w:tc>
          <w:tcPr>
            <w:tcW w:type="pct" w:w="16.666666666666668%"/>
          </w:tcPr>
          <w:p>
            <w:r>
              <w:rPr>
                <w:sz w:val="20"/>
                <w:szCs w:val="20"/>
              </w:rPr>
              <w:t xml:space="preserve">电光调Q（EO）</w:t>
            </w:r>
          </w:p>
        </w:tc>
        <w:tc>
          <w:tcPr>
            <w:tcW w:type="pct" w:w="16.666666666666668%"/>
          </w:tcPr>
          <w:p>
            <w:r>
              <w:rPr>
                <w:sz w:val="20"/>
                <w:szCs w:val="20"/>
              </w:rPr>
              <w:t xml:space="preserve">电光晶体改变偏振态</w:t>
            </w:r>
          </w:p>
        </w:tc>
        <w:tc>
          <w:tcPr>
            <w:tcW w:type="pct" w:w="16.666666666666668%"/>
          </w:tcPr>
          <w:p>
            <w:r>
              <w:rPr>
                <w:sz w:val="20"/>
                <w:szCs w:val="20"/>
              </w:rPr>
              <w:t xml:space="preserve">开关速度更快，但驱动电压高</w:t>
            </w:r>
          </w:p>
        </w:tc>
      </w:tr>
      <w:tr>
        <w:tc>
          <w:tcPr>
            <w:tcW w:type="pct" w:w="16.666666666666668%"/>
          </w:tcPr>
          <w:p>
            <w:r>
              <w:rPr>
                <w:sz w:val="20"/>
                <w:szCs w:val="20"/>
              </w:rPr>
              <w:t xml:space="preserve">可饱和吸收体调Q</w:t>
            </w:r>
          </w:p>
        </w:tc>
        <w:tc>
          <w:tcPr>
            <w:tcW w:type="pct" w:w="16.666666666666668%"/>
          </w:tcPr>
          <w:p>
            <w:r>
              <w:rPr>
                <w:sz w:val="20"/>
                <w:szCs w:val="20"/>
              </w:rPr>
              <w:t xml:space="preserve">被动饱和吸收</w:t>
            </w:r>
          </w:p>
        </w:tc>
        <w:tc>
          <w:tcPr>
            <w:tcW w:type="pct" w:w="16.666666666666668%"/>
          </w:tcPr>
          <w:p>
            <w:r>
              <w:rPr>
                <w:sz w:val="20"/>
                <w:szCs w:val="20"/>
              </w:rPr>
              <w:t xml:space="preserve">结构简单，但重复频率不可调</w:t>
            </w:r>
          </w:p>
        </w:tc>
      </w:tr>
    </w:tbl>
    <w:p>
      <w:r>
        <w:rPr>
          <w:b/>
          <w:bCs/>
        </w:rPr>
        <w:t xml:space="preserve">典型参数</w:t>
      </w:r>
      <w:r>
        <w:t xml:space="preserve">：脉冲宽度10–200 ns，重复频率1–500 kHz，单脉冲能量μJ–mJ级，峰值功率kW–MW级。广泛应用于激光打标、精密微加工、激光清洗和非金属切割。</w:t>
      </w:r>
    </w:p>
    <w:p>
      <w:pPr>
        <w:pStyle w:val="Heading3"/>
      </w:pPr>
      <w:r>
        <w:rPr>
          <w:b/>
          <w:bCs/>
          <w:sz w:val="24"/>
          <w:szCs w:val="24"/>
        </w:rPr>
        <w:t xml:space="preserve">1.4 锁模技术（Mode-Locking）</w:t>
      </w:r>
    </w:p>
    <w:p>
      <w:r>
        <w:t xml:space="preserve">锁模技术使谐振腔内多个纵模相位锁定，产生超短脉冲序列。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类型</w:t>
            </w:r>
          </w:p>
        </w:tc>
        <w:tc>
          <w:tcPr>
            <w:tcW w:type="pct" w:w="16.666666666666668%"/>
          </w:tcPr>
          <w:p>
            <w:r>
              <w:rPr>
                <w:sz w:val="20"/>
                <w:szCs w:val="20"/>
              </w:rPr>
              <w:t xml:space="preserve">原理</w:t>
            </w:r>
          </w:p>
        </w:tc>
        <w:tc>
          <w:tcPr>
            <w:tcW w:type="pct" w:w="16.666666666666668%"/>
          </w:tcPr>
          <w:p>
            <w:r>
              <w:rPr>
                <w:sz w:val="20"/>
                <w:szCs w:val="20"/>
              </w:rPr>
              <w:t xml:space="preserve">特点</w:t>
            </w:r>
          </w:p>
        </w:tc>
      </w:tr>
      <w:tr>
        <w:tc>
          <w:tcPr>
            <w:tcW w:type="pct" w:w="16.666666666666668%"/>
          </w:tcPr>
          <w:p>
            <w:r>
              <w:rPr>
                <w:sz w:val="20"/>
                <w:szCs w:val="20"/>
              </w:rPr>
              <w:t xml:space="preserve">非线性偏振旋转（NPE）</w:t>
            </w:r>
          </w:p>
        </w:tc>
        <w:tc>
          <w:tcPr>
            <w:tcW w:type="pct" w:w="16.666666666666668%"/>
          </w:tcPr>
          <w:p>
            <w:r>
              <w:rPr>
                <w:sz w:val="20"/>
                <w:szCs w:val="20"/>
              </w:rPr>
              <w:t xml:space="preserve">Kerr效应致偏振旋转</w:t>
            </w:r>
          </w:p>
        </w:tc>
        <w:tc>
          <w:tcPr>
            <w:tcW w:type="pct" w:w="16.666666666666668%"/>
          </w:tcPr>
          <w:p>
            <w:r>
              <w:rPr>
                <w:sz w:val="20"/>
                <w:szCs w:val="20"/>
              </w:rPr>
              <w:t xml:space="preserve">可产生飞秒脉冲</w:t>
            </w:r>
          </w:p>
        </w:tc>
      </w:tr>
      <w:tr>
        <w:tc>
          <w:tcPr>
            <w:tcW w:type="pct" w:w="16.666666666666668%"/>
          </w:tcPr>
          <w:p>
            <w:r>
              <w:rPr>
                <w:sz w:val="20"/>
                <w:szCs w:val="20"/>
              </w:rPr>
              <w:t xml:space="preserve">非线性放大环镜（NALM）</w:t>
            </w:r>
          </w:p>
        </w:tc>
        <w:tc>
          <w:tcPr>
            <w:tcW w:type="pct" w:w="16.666666666666668%"/>
          </w:tcPr>
          <w:p>
            <w:r>
              <w:rPr>
                <w:sz w:val="20"/>
                <w:szCs w:val="20"/>
              </w:rPr>
              <w:t xml:space="preserve">非线性干涉仪</w:t>
            </w:r>
          </w:p>
        </w:tc>
        <w:tc>
          <w:tcPr>
            <w:tcW w:type="pct" w:w="16.666666666666668%"/>
          </w:tcPr>
          <w:p>
            <w:r>
              <w:rPr>
                <w:sz w:val="20"/>
                <w:szCs w:val="20"/>
              </w:rPr>
              <w:t xml:space="preserve">全光纤结构，稳定性好</w:t>
            </w:r>
          </w:p>
        </w:tc>
      </w:tr>
    </w:tbl>
    <w:p>
      <w:r>
        <w:rPr>
          <w:b/>
          <w:bCs/>
        </w:rPr>
        <w:t xml:space="preserve">典型参数</w:t>
      </w:r>
      <w:r>
        <w:t xml:space="preserve">：脉冲宽度ps–fs级（10 fs–100 ps），重复频率MHz–GHz，峰值功率MW–GW级。应用于微纳加工、医学手术、光谱分析和时间分辨测量。</w:t>
      </w:r>
    </w:p>
    <w:p>
      <w:pPr>
        <w:pStyle w:val="Heading3"/>
      </w:pPr>
      <w:r>
        <w:rPr>
          <w:b/>
          <w:bCs/>
          <w:sz w:val="24"/>
          <w:szCs w:val="24"/>
        </w:rPr>
        <w:t xml:space="preserve">1.5 MOPA结构（主控振荡器的功率放大器）</w:t>
      </w:r>
    </w:p>
    <w:p>
      <w:r>
        <w:t xml:space="preserve">MOPA架构将种子光源（Master Oscillator）与多级光纤放大器（Power Amplifier）分离：</w:t>
      </w:r>
    </w:p>
    <w:p>
      <w:r>
        <w:t xml:space="preserve">```</w:t>
      </w:r>
    </w:p>
    <w:p>
      <w:r>
        <w:t xml:space="preserve">种子激光 → 预放大 → 功率放大 → 输出</w:t>
      </w:r>
    </w:p>
    <w:p>
      <w:r>
        <w:t xml:space="preserve">```</w:t>
      </w:r>
    </w:p>
    <w:p>
      <w:r>
        <w:rPr>
          <w:b/>
          <w:bCs/>
        </w:rPr>
        <w:t xml:space="preserve">核心优势</w:t>
      </w:r>
      <w:r>
        <w:t xml:space="preserve">：</w:t>
      </w:r>
    </w:p>
    <w:p>
      <w:pPr>
        <w:pStyle w:val="ListParagraph"/>
        <w:numPr>
          <w:ilvl w:val="0"/>
          <w:numId w:val="1"/>
        </w:numPr>
      </w:pPr>
      <w:r>
        <w:rPr>
          <w:b/>
          <w:bCs/>
        </w:rPr>
        <w:t xml:space="preserve">脉冲参数独立可调</w:t>
      </w:r>
      <w:r>
        <w:t xml:space="preserve">：脉冲宽度、重复频率、峰值功率可分别控制</w:t>
      </w:r>
    </w:p>
    <w:p>
      <w:pPr>
        <w:pStyle w:val="ListParagraph"/>
        <w:numPr>
          <w:ilvl w:val="0"/>
          <w:numId w:val="1"/>
        </w:numPr>
      </w:pPr>
      <w:r>
        <w:rPr>
          <w:b/>
          <w:bCs/>
        </w:rPr>
        <w:t xml:space="preserve">高功率扩展</w:t>
      </w:r>
      <w:r>
        <w:t xml:space="preserve">：通过多级放大实现高平均功率和高脉冲能量</w:t>
      </w:r>
    </w:p>
    <w:p>
      <w:pPr>
        <w:pStyle w:val="ListParagraph"/>
        <w:numPr>
          <w:ilvl w:val="0"/>
          <w:numId w:val="1"/>
        </w:numPr>
      </w:pPr>
      <w:r>
        <w:rPr>
          <w:b/>
          <w:bCs/>
        </w:rPr>
        <w:t xml:space="preserve">灵活性</w:t>
      </w:r>
      <w:r>
        <w:t xml:space="preserve">：更换种子源即可改变输出特性</w:t>
      </w:r>
    </w:p>
    <w:p>
      <w:r>
        <w:rPr>
          <w:b/>
          <w:bCs/>
        </w:rPr>
        <w:t xml:space="preserve">技术关键</w:t>
      </w:r>
      <w:r>
        <w:t xml:space="preserve">：非线性效应抑制（SPM、SRS、自聚焦）、增益饱和管理、色散管理、ASE抑制。</w:t>
      </w:r>
    </w:p>
    <w:p>
      <w:r>
        <w:rPr>
          <w:b/>
          <w:bCs/>
        </w:rPr>
        <w:t xml:space="preserve">商用参数</w:t>
      </w:r>
      <w:r>
        <w:t xml:space="preserve">：平均功率20–200 W，脉冲宽度1–200 ns（可调），重复频率1–4000 kHz，单脉冲能量可达mJ级。</w:t>
      </w:r>
    </w:p>
    <w:p>
      <w:pPr>
        <w:pStyle w:val="Heading3"/>
      </w:pPr>
      <w:r>
        <w:rPr>
          <w:b/>
          <w:bCs/>
          <w:sz w:val="24"/>
          <w:szCs w:val="24"/>
        </w:rPr>
        <w:t xml:space="preserve">1.6 关键性能指标对比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666666666666668%"/>
          </w:tcPr>
          <w:p>
            <w:r>
              <w:rPr>
                <w:sz w:val="20"/>
                <w:szCs w:val="20"/>
              </w:rPr>
              <w:t xml:space="preserve">指标</w:t>
            </w:r>
          </w:p>
        </w:tc>
        <w:tc>
          <w:tcPr>
            <w:tcW w:type="pct" w:w="16.666666666666668%"/>
          </w:tcPr>
          <w:p>
            <w:r>
              <w:rPr>
                <w:sz w:val="20"/>
                <w:szCs w:val="20"/>
              </w:rPr>
              <w:t xml:space="preserve">调Q</w:t>
            </w:r>
          </w:p>
        </w:tc>
        <w:tc>
          <w:tcPr>
            <w:tcW w:type="pct" w:w="16.666666666666668%"/>
          </w:tcPr>
          <w:p>
            <w:r>
              <w:rPr>
                <w:sz w:val="20"/>
                <w:szCs w:val="20"/>
              </w:rPr>
              <w:t xml:space="preserve">锁模</w:t>
            </w:r>
          </w:p>
        </w:tc>
        <w:tc>
          <w:tcPr>
            <w:tcW w:type="pct" w:w="16.666666666666668%"/>
          </w:tcPr>
          <w:p>
            <w:r>
              <w:rPr>
                <w:sz w:val="20"/>
                <w:szCs w:val="20"/>
              </w:rPr>
              <w:t xml:space="preserve">MOPA（调Q种子）</w:t>
            </w:r>
          </w:p>
        </w:tc>
        <w:tc>
          <w:tcPr>
            <w:tcW w:type="pct" w:w="16.666666666666668%"/>
          </w:tcPr>
          <w:p>
            <w:r>
              <w:rPr>
                <w:sz w:val="20"/>
                <w:szCs w:val="20"/>
              </w:rPr>
              <w:t xml:space="preserve">MOPA（锁模种子）</w:t>
            </w:r>
          </w:p>
        </w:tc>
      </w:tr>
      <w:tr>
        <w:tc>
          <w:tcPr>
            <w:tcW w:type="pct" w:w="16.666666666666668%"/>
          </w:tcPr>
          <w:p>
            <w:r>
              <w:rPr>
                <w:sz w:val="20"/>
                <w:szCs w:val="20"/>
              </w:rPr>
              <w:t xml:space="preserve">重复频率</w:t>
            </w:r>
          </w:p>
        </w:tc>
        <w:tc>
          <w:tcPr>
            <w:tcW w:type="pct" w:w="16.666666666666668%"/>
          </w:tcPr>
          <w:p>
            <w:r>
              <w:rPr>
                <w:sz w:val="20"/>
                <w:szCs w:val="20"/>
              </w:rPr>
              <w:t xml:space="preserve">≤500 kHz</w:t>
            </w:r>
          </w:p>
        </w:tc>
        <w:tc>
          <w:tcPr>
            <w:tcW w:type="pct" w:w="16.666666666666668%"/>
          </w:tcPr>
          <w:p>
            <w:r>
              <w:rPr>
                <w:sz w:val="20"/>
                <w:szCs w:val="20"/>
              </w:rPr>
              <w:t xml:space="preserve">MHz–GHz</w:t>
            </w:r>
          </w:p>
        </w:tc>
        <w:tc>
          <w:tcPr>
            <w:tcW w:type="pct" w:w="16.666666666666668%"/>
          </w:tcPr>
          <w:p>
            <w:r>
              <w:rPr>
                <w:sz w:val="20"/>
                <w:szCs w:val="20"/>
              </w:rPr>
              <w:t xml:space="preserve">≤4000 kHz</w:t>
            </w:r>
          </w:p>
        </w:tc>
        <w:tc>
          <w:tcPr>
            <w:tcW w:type="pct" w:w="16.666666666666668%"/>
          </w:tcPr>
          <w:p>
            <w:r>
              <w:rPr>
                <w:sz w:val="20"/>
                <w:szCs w:val="20"/>
              </w:rPr>
              <w:t xml:space="preserve">MHz–GHz</w:t>
            </w:r>
          </w:p>
        </w:tc>
      </w:tr>
      <w:tr>
        <w:tc>
          <w:tcPr>
            <w:tcW w:type="pct" w:w="16.666666666666668%"/>
          </w:tcPr>
          <w:p>
            <w:r>
              <w:rPr>
                <w:sz w:val="20"/>
                <w:szCs w:val="20"/>
              </w:rPr>
              <w:t xml:space="preserve">单脉冲能量</w:t>
            </w:r>
          </w:p>
        </w:tc>
        <w:tc>
          <w:tcPr>
            <w:tcW w:type="pct" w:w="16.666666666666668%"/>
          </w:tcPr>
          <w:p>
            <w:r>
              <w:rPr>
                <w:sz w:val="20"/>
                <w:szCs w:val="20"/>
              </w:rPr>
              <w:t xml:space="preserve">≤1 mJ</w:t>
            </w:r>
          </w:p>
        </w:tc>
        <w:tc>
          <w:tcPr>
            <w:tcW w:type="pct" w:w="16.666666666666668%"/>
          </w:tcPr>
          <w:p>
            <w:r>
              <w:rPr>
                <w:sz w:val="20"/>
                <w:szCs w:val="20"/>
              </w:rPr>
              <w:t xml:space="preserve">≤μJ</w:t>
            </w:r>
          </w:p>
        </w:tc>
        <w:tc>
          <w:tcPr>
            <w:tcW w:type="pct" w:w="16.666666666666668%"/>
          </w:tcPr>
          <w:p>
            <w:r>
              <w:rPr>
                <w:sz w:val="20"/>
                <w:szCs w:val="20"/>
              </w:rPr>
              <w:t xml:space="preserve">≤10 mJ</w:t>
            </w:r>
          </w:p>
        </w:tc>
        <w:tc>
          <w:tcPr>
            <w:tcW w:type="pct" w:w="16.666666666666668%"/>
          </w:tcPr>
          <w:p>
            <w:r>
              <w:rPr>
                <w:sz w:val="20"/>
                <w:szCs w:val="20"/>
              </w:rPr>
              <w:t xml:space="preserve">≤μJ</w:t>
            </w:r>
          </w:p>
        </w:tc>
      </w:tr>
      <w:tr>
        <w:tc>
          <w:tcPr>
            <w:tcW w:type="pct" w:w="16.666666666666668%"/>
          </w:tcPr>
          <w:p>
            <w:r>
              <w:rPr>
                <w:sz w:val="20"/>
                <w:szCs w:val="20"/>
              </w:rPr>
              <w:t xml:space="preserve">平均功率</w:t>
            </w:r>
          </w:p>
        </w:tc>
        <w:tc>
          <w:tcPr>
            <w:tcW w:type="pct" w:w="16.666666666666668%"/>
          </w:tcPr>
          <w:p>
            <w:r>
              <w:rPr>
                <w:sz w:val="20"/>
                <w:szCs w:val="20"/>
              </w:rPr>
              <w:t xml:space="preserve">≤100 W</w:t>
            </w:r>
          </w:p>
        </w:tc>
        <w:tc>
          <w:tcPr>
            <w:tcW w:type="pct" w:w="16.666666666666668%"/>
          </w:tcPr>
          <w:p>
            <w:r>
              <w:rPr>
                <w:sz w:val="20"/>
                <w:szCs w:val="20"/>
              </w:rPr>
              <w:t xml:space="preserve">≤100 W</w:t>
            </w:r>
          </w:p>
        </w:tc>
        <w:tc>
          <w:tcPr>
            <w:tcW w:type="pct" w:w="16.666666666666668%"/>
          </w:tcPr>
          <w:p>
            <w:r>
              <w:rPr>
                <w:sz w:val="20"/>
                <w:szCs w:val="20"/>
              </w:rPr>
              <w:t xml:space="preserve">≤500 W</w:t>
            </w:r>
          </w:p>
        </w:tc>
        <w:tc>
          <w:tcPr>
            <w:tcW w:type="pct" w:w="16.666666666666668%"/>
          </w:tcPr>
          <w:p>
            <w:r>
              <w:rPr>
                <w:sz w:val="20"/>
                <w:szCs w:val="20"/>
              </w:rPr>
              <w:t xml:space="preserve">≤200 W</w:t>
            </w:r>
          </w:p>
        </w:tc>
      </w:tr>
      <w:tr>
        <w:tc>
          <w:tcPr>
            <w:tcW w:type="pct" w:w="16.666666666666668%"/>
          </w:tcPr>
          <w:p>
            <w:r>
              <w:rPr>
                <w:sz w:val="20"/>
                <w:szCs w:val="20"/>
              </w:rPr>
              <w:t xml:space="preserve">调节灵活性</w:t>
            </w:r>
          </w:p>
        </w:tc>
        <w:tc>
          <w:tcPr>
            <w:tcW w:type="pct" w:w="16.666666666666668%"/>
          </w:tcPr>
          <w:p>
            <w:r>
              <w:rPr>
                <w:sz w:val="20"/>
                <w:szCs w:val="20"/>
              </w:rPr>
              <w:t xml:space="preserve">低</w:t>
            </w:r>
          </w:p>
        </w:tc>
        <w:tc>
          <w:tcPr>
            <w:tcW w:type="pct" w:w="16.666666666666668%"/>
          </w:tcPr>
          <w:p>
            <w:r>
              <w:rPr>
                <w:sz w:val="20"/>
                <w:szCs w:val="20"/>
              </w:rPr>
              <w:t xml:space="preserve">低</w:t>
            </w:r>
          </w:p>
        </w:tc>
        <w:tc>
          <w:tcPr>
            <w:tcW w:type="pct" w:w="16.666666666666668%"/>
          </w:tcPr>
          <w:p>
            <w:r>
              <w:rPr>
                <w:sz w:val="20"/>
                <w:szCs w:val="20"/>
              </w:rPr>
              <w:t xml:space="preserve">高</w:t>
            </w:r>
          </w:p>
        </w:tc>
        <w:tc>
          <w:tcPr>
            <w:tcW w:type="pct" w:w="16.666666666666668%"/>
          </w:tcPr>
          <w:p>
            <w:r>
              <w:rPr>
                <w:sz w:val="20"/>
                <w:szCs w:val="20"/>
              </w:rPr>
              <w:t xml:space="preserve">高</w:t>
            </w:r>
          </w:p>
        </w:tc>
      </w:tr>
    </w:tbl>
    <w:p>
      <w:pPr>
        <w:pStyle w:val="Heading3"/>
      </w:pPr>
      <w:r>
        <w:rPr>
          <w:b/>
          <w:bCs/>
          <w:sz w:val="24"/>
          <w:szCs w:val="24"/>
        </w:rPr>
        <w:t xml:space="preserve">1.7 架构演进脉络</w:t>
      </w:r>
    </w:p>
    <w:p>
      <w:pPr>
        <w:pStyle w:val="ListParagraph"/>
        <w:numPr>
          <w:ilvl w:val="0"/>
          <w:numId w:val="1"/>
        </w:numPr>
      </w:pPr>
      <w:r>
        <w:rPr>
          <w:b/>
          <w:bCs/>
        </w:rPr>
        <w:t xml:space="preserve">第一代（1990s—2000s）</w:t>
      </w:r>
      <w:r>
        <w:t xml:space="preserve">：单级振荡器，输出功率低（&lt;10 W），适用于实验室研究。</w:t>
      </w:r>
    </w:p>
    <w:p>
      <w:pPr>
        <w:pStyle w:val="ListParagraph"/>
        <w:numPr>
          <w:ilvl w:val="0"/>
          <w:numId w:val="1"/>
        </w:numPr>
      </w:pPr>
      <w:r>
        <w:rPr>
          <w:b/>
          <w:bCs/>
        </w:rPr>
        <w:t xml:space="preserve">第二代（2000s—2010s）</w:t>
      </w:r>
      <w:r>
        <w:t xml:space="preserve">：MOPA结构商用化，IPG、SPI等公司推出商用MOPA脉冲光纤激光器，功率提升至50–100 W，开创激光打标工业应用市场。</w:t>
      </w:r>
    </w:p>
    <w:p>
      <w:pPr>
        <w:pStyle w:val="ListParagraph"/>
        <w:numPr>
          <w:ilvl w:val="0"/>
          <w:numId w:val="1"/>
        </w:numPr>
      </w:pPr>
      <w:r>
        <w:rPr>
          <w:b/>
          <w:bCs/>
        </w:rPr>
        <w:t xml:space="preserve">第三代（2010s—2020s）</w:t>
      </w:r>
      <w:r>
        <w:t xml:space="preserve">：高功率多级放大，光子晶体光纤实现&gt;1 mJ脉冲能量，相干合成技术突破功率极限，国产化（锐科、杰普特等）快速崛起。</w:t>
      </w:r>
    </w:p>
    <w:p>
      <w:pPr>
        <w:pStyle w:val="ListParagraph"/>
        <w:numPr>
          <w:ilvl w:val="0"/>
          <w:numId w:val="1"/>
        </w:numPr>
      </w:pPr>
      <w:r>
        <w:rPr>
          <w:b/>
          <w:bCs/>
        </w:rPr>
        <w:t xml:space="preserve">第四代（2020s+）</w:t>
      </w:r>
      <w:r>
        <w:t xml:space="preserve">：智能与多功能化——脉冲参数实时可调、多波长集成、与智能制造产线深度融合、超快脉冲光纤激光器（飞秒级）商业化。</w:t>
      </w:r>
    </w:p>
    <w:p>
      <w:pPr>
        <w:pStyle w:val="Heading3"/>
      </w:pPr>
      <w:r>
        <w:rPr>
          <w:b/>
          <w:bCs/>
          <w:sz w:val="24"/>
          <w:szCs w:val="24"/>
        </w:rPr>
        <w:t xml:space="preserve">1.8 技术路线选择原则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666666666666668%"/>
          </w:tcPr>
          <w:p>
            <w:r>
              <w:rPr>
                <w:sz w:val="20"/>
                <w:szCs w:val="20"/>
              </w:rPr>
              <w:t xml:space="preserve">应用需求</w:t>
            </w:r>
          </w:p>
        </w:tc>
        <w:tc>
          <w:tcPr>
            <w:tcW w:type="pct" w:w="16.666666666666668%"/>
          </w:tcPr>
          <w:p>
            <w:r>
              <w:rPr>
                <w:sz w:val="20"/>
                <w:szCs w:val="20"/>
              </w:rPr>
              <w:t xml:space="preserve">推荐技术</w:t>
            </w:r>
          </w:p>
        </w:tc>
      </w:tr>
      <w:tr>
        <w:tc>
          <w:tcPr>
            <w:tcW w:type="pct" w:w="16.666666666666668%"/>
          </w:tcPr>
          <w:p>
            <w:r>
              <w:rPr>
                <w:sz w:val="20"/>
                <w:szCs w:val="20"/>
              </w:rPr>
              <w:t xml:space="preserve">精密切割/焊接</w:t>
            </w:r>
          </w:p>
        </w:tc>
        <w:tc>
          <w:tcPr>
            <w:tcW w:type="pct" w:w="16.666666666666668%"/>
          </w:tcPr>
          <w:p>
            <w:r>
              <w:rPr>
                <w:sz w:val="20"/>
                <w:szCs w:val="20"/>
              </w:rPr>
              <w:t xml:space="preserve">高功率 MOPA（纳秒）</w:t>
            </w:r>
          </w:p>
        </w:tc>
      </w:tr>
      <w:tr>
        <w:tc>
          <w:tcPr>
            <w:tcW w:type="pct" w:w="16.666666666666668%"/>
          </w:tcPr>
          <w:p>
            <w:r>
              <w:rPr>
                <w:sz w:val="20"/>
                <w:szCs w:val="20"/>
              </w:rPr>
              <w:t xml:space="preserve">微纳加工</w:t>
            </w:r>
          </w:p>
        </w:tc>
        <w:tc>
          <w:tcPr>
            <w:tcW w:type="pct" w:w="16.666666666666668%"/>
          </w:tcPr>
          <w:p>
            <w:r>
              <w:rPr>
                <w:sz w:val="20"/>
                <w:szCs w:val="20"/>
              </w:rPr>
              <w:t xml:space="preserve">飞秒锁模或飞秒 MOPA</w:t>
            </w:r>
          </w:p>
        </w:tc>
      </w:tr>
      <w:tr>
        <w:tc>
          <w:tcPr>
            <w:tcW w:type="pct" w:w="16.666666666666668%"/>
          </w:tcPr>
          <w:p>
            <w:r>
              <w:rPr>
                <w:sz w:val="20"/>
                <w:szCs w:val="20"/>
              </w:rPr>
              <w:t xml:space="preserve">激光雷达</w:t>
            </w:r>
          </w:p>
        </w:tc>
        <w:tc>
          <w:tcPr>
            <w:tcW w:type="pct" w:w="16.666666666666668%"/>
          </w:tcPr>
          <w:p>
            <w:r>
              <w:rPr>
                <w:sz w:val="20"/>
                <w:szCs w:val="20"/>
              </w:rPr>
              <w:t xml:space="preserve">眼安全波长 MOPA（1530/2050 nm）</w:t>
            </w:r>
          </w:p>
        </w:tc>
      </w:tr>
      <w:tr>
        <w:tc>
          <w:tcPr>
            <w:tcW w:type="pct" w:w="16.666666666666668%"/>
          </w:tcPr>
          <w:p>
            <w:r>
              <w:rPr>
                <w:sz w:val="20"/>
                <w:szCs w:val="20"/>
              </w:rPr>
              <w:t xml:space="preserve">科研超快光学</w:t>
            </w:r>
          </w:p>
        </w:tc>
        <w:tc>
          <w:tcPr>
            <w:tcW w:type="pct" w:w="16.666666666666668%"/>
          </w:tcPr>
          <w:p>
            <w:r>
              <w:rPr>
                <w:sz w:val="20"/>
                <w:szCs w:val="20"/>
              </w:rPr>
              <w:t xml:space="preserve">锁模振荡器 + CPA 放大</w:t>
            </w:r>
          </w:p>
        </w:tc>
      </w:tr>
    </w:tbl>
    <w:p>
      <w:pPr>
        <w:pStyle w:val="Heading2"/>
      </w:pPr>
      <w:r>
        <w:rPr>
          <w:b/>
          <w:bCs/>
          <w:sz w:val="28"/>
          <w:szCs w:val="28"/>
        </w:rPr>
        <w:t xml:space="preserve">2. 2024—2025年度重要成果与突破</w:t>
      </w:r>
    </w:p>
    <w:p>
      <w:pPr>
        <w:pStyle w:val="Heading3"/>
      </w:pPr>
      <w:r>
        <w:rPr>
          <w:b/>
          <w:bCs/>
          <w:sz w:val="24"/>
          <w:szCs w:val="24"/>
        </w:rPr>
        <w:t xml:space="preserve">2.1 功率提升突破</w:t>
      </w:r>
    </w:p>
    <w:p>
      <w:r>
        <w:rPr>
          <w:b/>
          <w:bCs/>
        </w:rPr>
        <w:t xml:space="preserve">高平均功率</w:t>
      </w:r>
      <w:r>
        <w:t xml:space="preserve">：商用纳秒脉冲光纤激光器已突破500 W级别（IPG、锐科等），科研方向多路相干合成技术已实现kW级脉冲输出。关键技术突破包括大模场面积光纤（LMA Fiber）+ 热管理技术 + 高亮度半导体泵浦。</w:t>
      </w:r>
    </w:p>
    <w:p>
      <w:r>
        <w:rPr>
          <w:b/>
          <w:bCs/>
        </w:rPr>
        <w:t xml:space="preserve">高脉冲能量</w:t>
      </w:r>
      <w:r>
        <w:t xml:space="preserve">：纳秒脉冲单脉冲能量在科研水平已达10–50 mJ级别，商用MOPA产品单脉冲能量可达2–5 mJ（如IPG YLPN系列）。光子晶体光纤（模场面积&gt;2000 μm²）是实现高脉冲能量的核心。</w:t>
      </w:r>
    </w:p>
    <w:p>
      <w:pPr>
        <w:pStyle w:val="Heading3"/>
      </w:pPr>
      <w:r>
        <w:rPr>
          <w:b/>
          <w:bCs/>
          <w:sz w:val="24"/>
          <w:szCs w:val="24"/>
        </w:rPr>
        <w:t xml:space="preserve">2.2 脉冲宽度压缩</w:t>
      </w:r>
    </w:p>
    <w:p>
      <w:r>
        <w:rPr>
          <w:b/>
          <w:bCs/>
        </w:rPr>
        <w:t xml:space="preserve">超快脉冲进展</w:t>
      </w:r>
      <w:r>
        <w:t xml:space="preserve">：飞秒光纤激光器商业化成熟，100 fs–500 fs级产品广泛上市。科研前沿方面，光纤中孤子自压缩可产生&lt;10 fs脉冲，空芯光子晶体光纤利用气体填充实现亚周期脉冲。</w:t>
      </w:r>
    </w:p>
    <w:p>
      <w:r>
        <w:rPr>
          <w:b/>
          <w:bCs/>
        </w:rPr>
        <w:t xml:space="preserve">CPA技术深化</w:t>
      </w:r>
      <w:r>
        <w:t xml:space="preserve">：啁啾脉冲放大在光纤激光器中持续深化，拉伸-放大-压缩全光纤方案实现高平均功率飞秒输出。</w:t>
      </w:r>
    </w:p>
    <w:p>
      <w:r>
        <w:rPr>
          <w:b/>
          <w:bCs/>
        </w:rPr>
        <w:t xml:space="preserve">商用超快产品</w:t>
      </w:r>
      <w:r>
        <w:t xml:space="preserve">：IPG/YLPF系列皮秒/飞秒MOPA，NKT Photonics飞秒光纤激光器，华日激光/贝林激光国产飞秒脉冲光纤激光器。</w:t>
      </w:r>
    </w:p>
    <w:p>
      <w:pPr>
        <w:pStyle w:val="Heading3"/>
      </w:pPr>
      <w:r>
        <w:rPr>
          <w:b/>
          <w:bCs/>
          <w:sz w:val="24"/>
          <w:szCs w:val="24"/>
        </w:rPr>
        <w:t xml:space="preserve">2.3 波长拓展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技术方向</w:t>
            </w:r>
          </w:p>
        </w:tc>
        <w:tc>
          <w:tcPr>
            <w:tcW w:type="pct" w:w="16.666666666666668%"/>
          </w:tcPr>
          <w:p>
            <w:r>
              <w:rPr>
                <w:sz w:val="20"/>
                <w:szCs w:val="20"/>
              </w:rPr>
              <w:t xml:space="preserve">实现</w:t>
            </w:r>
          </w:p>
        </w:tc>
        <w:tc>
          <w:tcPr>
            <w:tcW w:type="pct" w:w="16.666666666666668%"/>
          </w:tcPr>
          <w:p>
            <w:r>
              <w:rPr>
                <w:sz w:val="20"/>
                <w:szCs w:val="20"/>
              </w:rPr>
              <w:t xml:space="preserve">应用</w:t>
            </w:r>
          </w:p>
        </w:tc>
      </w:tr>
      <w:tr>
        <w:tc>
          <w:tcPr>
            <w:tcW w:type="pct" w:w="16.666666666666668%"/>
          </w:tcPr>
          <w:p>
            <w:r>
              <w:rPr>
                <w:sz w:val="20"/>
                <w:szCs w:val="20"/>
              </w:rPr>
              <w:t xml:space="preserve">三倍频（THG）</w:t>
            </w:r>
          </w:p>
        </w:tc>
        <w:tc>
          <w:tcPr>
            <w:tcW w:type="pct" w:w="16.666666666666668%"/>
          </w:tcPr>
          <w:p>
            <w:r>
              <w:rPr>
                <w:sz w:val="20"/>
                <w:szCs w:val="20"/>
              </w:rPr>
              <w:t xml:space="preserve">1030 nm → 343 nm（紫外）</w:t>
            </w:r>
          </w:p>
        </w:tc>
        <w:tc>
          <w:tcPr>
            <w:tcW w:type="pct" w:w="16.666666666666668%"/>
          </w:tcPr>
          <w:p>
            <w:r>
              <w:rPr>
                <w:sz w:val="20"/>
                <w:szCs w:val="20"/>
              </w:rPr>
              <w:t xml:space="preserve">精密微加工</w:t>
            </w:r>
          </w:p>
        </w:tc>
      </w:tr>
      <w:tr>
        <w:tc>
          <w:tcPr>
            <w:tcW w:type="pct" w:w="16.666666666666668%"/>
          </w:tcPr>
          <w:p>
            <w:r>
              <w:rPr>
                <w:sz w:val="20"/>
                <w:szCs w:val="20"/>
              </w:rPr>
              <w:t xml:space="preserve">中红外（2 μm）</w:t>
            </w:r>
          </w:p>
        </w:tc>
        <w:tc>
          <w:tcPr>
            <w:tcW w:type="pct" w:w="16.666666666666668%"/>
          </w:tcPr>
          <w:p>
            <w:r>
              <w:rPr>
                <w:sz w:val="20"/>
                <w:szCs w:val="20"/>
              </w:rPr>
              <w:t xml:space="preserve">掺铥/钬光纤激光器</w:t>
            </w:r>
          </w:p>
        </w:tc>
        <w:tc>
          <w:tcPr>
            <w:tcW w:type="pct" w:w="16.666666666666668%"/>
          </w:tcPr>
          <w:p>
            <w:r>
              <w:rPr>
                <w:sz w:val="20"/>
                <w:szCs w:val="20"/>
              </w:rPr>
              <w:t xml:space="preserve">医疗手术、人眼安全测距</w:t>
            </w:r>
          </w:p>
        </w:tc>
      </w:tr>
      <w:tr>
        <w:tc>
          <w:tcPr>
            <w:tcW w:type="pct" w:w="16.666666666666668%"/>
          </w:tcPr>
          <w:p>
            <w:r>
              <w:rPr>
                <w:sz w:val="20"/>
                <w:szCs w:val="20"/>
              </w:rPr>
              <w:t xml:space="preserve">超连续谱</w:t>
            </w:r>
          </w:p>
        </w:tc>
        <w:tc>
          <w:tcPr>
            <w:tcW w:type="pct" w:w="16.666666666666668%"/>
          </w:tcPr>
          <w:p>
            <w:r>
              <w:rPr>
                <w:sz w:val="20"/>
                <w:szCs w:val="20"/>
              </w:rPr>
              <w:t xml:space="preserve">400–2400 nm</w:t>
            </w:r>
          </w:p>
        </w:tc>
        <w:tc>
          <w:tcPr>
            <w:tcW w:type="pct" w:w="16.666666666666668%"/>
          </w:tcPr>
          <w:p>
            <w:r>
              <w:rPr>
                <w:sz w:val="20"/>
                <w:szCs w:val="20"/>
              </w:rPr>
              <w:t xml:space="preserve">光谱分析、OCT</w:t>
            </w:r>
          </w:p>
        </w:tc>
      </w:tr>
    </w:tbl>
    <w:p>
      <w:r>
        <w:t xml:space="preserve">光纤-晶体一体化封装方案提升了谐波转换效率和可靠性。</w:t>
      </w:r>
    </w:p>
    <w:p>
      <w:pPr>
        <w:pStyle w:val="Heading3"/>
      </w:pPr>
      <w:r>
        <w:rPr>
          <w:b/>
          <w:bCs/>
          <w:sz w:val="24"/>
          <w:szCs w:val="24"/>
        </w:rPr>
        <w:t xml:space="preserve">2.4 光束质量改善</w:t>
      </w:r>
    </w:p>
    <w:p>
      <w:r>
        <w:t xml:space="preserve">商用脉冲光纤激光器M²普遍&lt;1.3，高功率下维持单模运转是持续挑战。大模场面积光纤 + 弯曲选模方案有效平衡功率与光束质量。光束整形方面，Bessel光束用于长焦深加工，Top-Hat光束用于大面积处理，可编程光束整形器（SLM + 光纤输出）开始集成。</w:t>
      </w:r>
    </w:p>
    <w:p>
      <w:r>
        <w:rPr>
          <w:b/>
          <w:bCs/>
        </w:rPr>
        <w:t xml:space="preserve">偏振保持</w:t>
      </w:r>
      <w:r>
        <w:t xml:space="preserve">：保偏（PM）光纤激光器技术已成熟，高功率保偏光纤器件（隔离器、合束器）实现产业化，满足对偏振态敏感的加工与通信应用需求。</w:t>
      </w:r>
    </w:p>
    <w:p>
      <w:pPr>
        <w:pStyle w:val="Heading3"/>
      </w:pPr>
      <w:r>
        <w:rPr>
          <w:b/>
          <w:bCs/>
          <w:sz w:val="24"/>
          <w:szCs w:val="24"/>
        </w:rPr>
        <w:t xml:space="preserve">2.5 性能指标前沿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参数</w:t>
            </w:r>
          </w:p>
        </w:tc>
        <w:tc>
          <w:tcPr>
            <w:tcW w:type="pct" w:w="16.666666666666668%"/>
          </w:tcPr>
          <w:p>
            <w:r>
              <w:rPr>
                <w:sz w:val="20"/>
                <w:szCs w:val="20"/>
              </w:rPr>
              <w:t xml:space="preserve">商用水平</w:t>
            </w:r>
          </w:p>
        </w:tc>
        <w:tc>
          <w:tcPr>
            <w:tcW w:type="pct" w:w="16.666666666666668%"/>
          </w:tcPr>
          <w:p>
            <w:r>
              <w:rPr>
                <w:sz w:val="20"/>
                <w:szCs w:val="20"/>
              </w:rPr>
              <w:t xml:space="preserve">科研水平</w:t>
            </w:r>
          </w:p>
        </w:tc>
      </w:tr>
      <w:tr>
        <w:tc>
          <w:tcPr>
            <w:tcW w:type="pct" w:w="16.666666666666668%"/>
          </w:tcPr>
          <w:p>
            <w:r>
              <w:rPr>
                <w:sz w:val="20"/>
                <w:szCs w:val="20"/>
              </w:rPr>
              <w:t xml:space="preserve">纳秒脉冲能量</w:t>
            </w:r>
          </w:p>
        </w:tc>
        <w:tc>
          <w:tcPr>
            <w:tcW w:type="pct" w:w="16.666666666666668%"/>
          </w:tcPr>
          <w:p>
            <w:r>
              <w:rPr>
                <w:sz w:val="20"/>
                <w:szCs w:val="20"/>
              </w:rPr>
              <w:t xml:space="preserve">5 mJ</w:t>
            </w:r>
          </w:p>
        </w:tc>
        <w:tc>
          <w:tcPr>
            <w:tcW w:type="pct" w:w="16.666666666666668%"/>
          </w:tcPr>
          <w:p>
            <w:r>
              <w:rPr>
                <w:sz w:val="20"/>
                <w:szCs w:val="20"/>
              </w:rPr>
              <w:t xml:space="preserve">50 mJ</w:t>
            </w:r>
          </w:p>
        </w:tc>
      </w:tr>
      <w:tr>
        <w:tc>
          <w:tcPr>
            <w:tcW w:type="pct" w:w="16.666666666666668%"/>
          </w:tcPr>
          <w:p>
            <w:r>
              <w:rPr>
                <w:sz w:val="20"/>
                <w:szCs w:val="20"/>
              </w:rPr>
              <w:t xml:space="preserve">飞秒平均功率</w:t>
            </w:r>
          </w:p>
        </w:tc>
        <w:tc>
          <w:tcPr>
            <w:tcW w:type="pct" w:w="16.666666666666668%"/>
          </w:tcPr>
          <w:p>
            <w:r>
              <w:rPr>
                <w:sz w:val="20"/>
                <w:szCs w:val="20"/>
              </w:rPr>
              <w:t xml:space="preserve">100 W</w:t>
            </w:r>
          </w:p>
        </w:tc>
        <w:tc>
          <w:tcPr>
            <w:tcW w:type="pct" w:w="16.666666666666668%"/>
          </w:tcPr>
          <w:p>
            <w:r>
              <w:rPr>
                <w:sz w:val="20"/>
                <w:szCs w:val="20"/>
              </w:rPr>
              <w:t xml:space="preserve">&gt;1 kW</w:t>
            </w:r>
          </w:p>
        </w:tc>
      </w:tr>
      <w:tr>
        <w:tc>
          <w:tcPr>
            <w:tcW w:type="pct" w:w="16.666666666666668%"/>
          </w:tcPr>
          <w:p>
            <w:r>
              <w:rPr>
                <w:sz w:val="20"/>
                <w:szCs w:val="20"/>
              </w:rPr>
              <w:t xml:space="preserve">飞秒脉冲宽度</w:t>
            </w:r>
          </w:p>
        </w:tc>
        <w:tc>
          <w:tcPr>
            <w:tcW w:type="pct" w:w="16.666666666666668%"/>
          </w:tcPr>
          <w:p>
            <w:r>
              <w:rPr>
                <w:sz w:val="20"/>
                <w:szCs w:val="20"/>
              </w:rPr>
              <w:t xml:space="preserve">100 fs</w:t>
            </w:r>
          </w:p>
        </w:tc>
        <w:tc>
          <w:tcPr>
            <w:tcW w:type="pct" w:w="16.666666666666668%"/>
          </w:tcPr>
          <w:p>
            <w:r>
              <w:rPr>
                <w:sz w:val="20"/>
                <w:szCs w:val="20"/>
              </w:rPr>
              <w:t xml:space="preserve">&lt;10 fs</w:t>
            </w:r>
          </w:p>
        </w:tc>
      </w:tr>
      <w:tr>
        <w:tc>
          <w:tcPr>
            <w:tcW w:type="pct" w:w="16.666666666666668%"/>
          </w:tcPr>
          <w:p>
            <w:r>
              <w:rPr>
                <w:sz w:val="20"/>
                <w:szCs w:val="20"/>
              </w:rPr>
              <w:t xml:space="preserve">波长覆盖</w:t>
            </w:r>
          </w:p>
        </w:tc>
        <w:tc>
          <w:tcPr>
            <w:tcW w:type="pct" w:w="16.666666666666668%"/>
          </w:tcPr>
          <w:p>
            <w:r>
              <w:rPr>
                <w:sz w:val="20"/>
                <w:szCs w:val="20"/>
              </w:rPr>
              <w:t xml:space="preserve">266 nm–2050 nm</w:t>
            </w:r>
          </w:p>
        </w:tc>
        <w:tc>
          <w:tcPr>
            <w:tcW w:type="pct" w:w="16.666666666666668%"/>
          </w:tcPr>
          <w:p>
            <w:r>
              <w:rPr>
                <w:sz w:val="20"/>
                <w:szCs w:val="20"/>
              </w:rPr>
              <w:t xml:space="preserve">THz–中红外</w:t>
            </w:r>
          </w:p>
        </w:tc>
      </w:tr>
      <w:tr>
        <w:tc>
          <w:tcPr>
            <w:tcW w:type="pct" w:w="16.666666666666668%"/>
          </w:tcPr>
          <w:p>
            <w:r>
              <w:rPr>
                <w:sz w:val="20"/>
                <w:szCs w:val="20"/>
              </w:rPr>
              <w:t xml:space="preserve">光束质量 M²</w:t>
            </w:r>
          </w:p>
        </w:tc>
        <w:tc>
          <w:tcPr>
            <w:tcW w:type="pct" w:w="16.666666666666668%"/>
          </w:tcPr>
          <w:p>
            <w:r>
              <w:rPr>
                <w:sz w:val="20"/>
                <w:szCs w:val="20"/>
              </w:rPr>
              <w:t xml:space="preserve">&lt;1.3</w:t>
            </w:r>
          </w:p>
        </w:tc>
        <w:tc>
          <w:tcPr>
            <w:tcW w:type="pct" w:w="16.666666666666668%"/>
          </w:tcPr>
          <w:p>
            <w:r>
              <w:rPr>
                <w:sz w:val="20"/>
                <w:szCs w:val="20"/>
              </w:rPr>
              <w:t xml:space="preserve">&lt;1.05</w:t>
            </w:r>
          </w:p>
        </w:tc>
      </w:tr>
    </w:tbl>
    <w:p>
      <w:pPr>
        <w:pStyle w:val="Heading3"/>
      </w:pPr>
      <w:r>
        <w:rPr>
          <w:b/>
          <w:bCs/>
          <w:sz w:val="24"/>
          <w:szCs w:val="24"/>
        </w:rPr>
        <w:t xml:space="preserve">2.6 学术界重要方向</w:t>
      </w:r>
    </w:p>
    <w:p>
      <w:r>
        <w:t xml:space="preserve">相干合成（多路光纤激光相干合成突破kW级）、光子暗孤子（新型孤子动力学发现）、异质光纤集成（中红外脉冲光纤激光器新材料）、人工智能优化（机器学习优化脉冲整形和腔体设计）等方向持续取得进展。</w:t>
      </w:r>
    </w:p>
    <w:p>
      <w:pPr>
        <w:pStyle w:val="Heading2"/>
      </w:pPr>
      <w:r>
        <w:rPr>
          <w:b/>
          <w:bCs/>
          <w:sz w:val="28"/>
          <w:szCs w:val="28"/>
        </w:rPr>
        <w:t xml:space="preserve">3. 主要厂商与研究机构对比</w:t>
      </w:r>
    </w:p>
    <w:p>
      <w:pPr>
        <w:pStyle w:val="Heading3"/>
      </w:pPr>
      <w:r>
        <w:rPr>
          <w:b/>
          <w:bCs/>
          <w:sz w:val="24"/>
          <w:szCs w:val="24"/>
        </w:rPr>
        <w:t xml:space="preserve">3.1 全球主要厂商</w:t>
      </w:r>
    </w:p>
    <w:p>
      <w:pPr>
        <w:pStyle w:val="Heading4"/>
      </w:pPr>
      <w:r>
        <w:rPr>
          <w:b/>
          <w:bCs/>
          <w:sz w:val="22"/>
          <w:szCs w:val="22"/>
        </w:rPr>
        <w:t xml:space="preserve">3.1.1 IPG Photonics（美国）</w:t>
      </w:r>
    </w:p>
    <w:p>
      <w:r>
        <w:t xml:space="preserve">全球最大光纤激光器厂商，1990年成立，长期市场份额第一。脉冲产品线包括YLPN系列（纳秒）和YLPF系列（皮秒/飞秒）。技术优势在于全垂直整合（从光纤到激光器），专利布局深厚，功率与可靠性领先。2024年营收约9–10亿美元，工业光纤激光器全球市占率约30–40%（近年受国产冲击有所下降）。</w:t>
      </w:r>
    </w:p>
    <w:p>
      <w:pPr>
        <w:pStyle w:val="Heading4"/>
      </w:pPr>
      <w:r>
        <w:rPr>
          <w:b/>
          <w:bCs/>
          <w:sz w:val="22"/>
          <w:szCs w:val="22"/>
        </w:rPr>
        <w:t xml:space="preserve">3.1.2 nLight（美国）</w:t>
      </w:r>
    </w:p>
    <w:p>
      <w:r>
        <w:t xml:space="preserve">2000年成立，定位高功率半导体激光器 + 光纤激光器。核心优势在于半导体泵浦源自研（垂直整合泵浦芯片），亮度高。Alta™半导体激光器亮度行业领先。</w:t>
      </w:r>
    </w:p>
    <w:p>
      <w:pPr>
        <w:pStyle w:val="Heading4"/>
      </w:pPr>
      <w:r>
        <w:rPr>
          <w:b/>
          <w:bCs/>
          <w:sz w:val="22"/>
          <w:szCs w:val="22"/>
        </w:rPr>
        <w:t xml:space="preserve">3.1.3 SPI Lasers / Coherent（英国/美国）</w:t>
      </w:r>
    </w:p>
    <w:p>
      <w:r>
        <w:t xml:space="preserve">SPI Lasers被II-VI收购后更名为Coherent。RedPower系列脉冲光纤激光器以MOPA架构为主，参数灵活可调。</w:t>
      </w:r>
    </w:p>
    <w:p>
      <w:pPr>
        <w:pStyle w:val="Heading4"/>
      </w:pPr>
      <w:r>
        <w:rPr>
          <w:b/>
          <w:bCs/>
          <w:sz w:val="22"/>
          <w:szCs w:val="22"/>
        </w:rPr>
        <w:t xml:space="preserve">3.1.4 MKS / Spectra-Physics（美国）</w:t>
      </w:r>
    </w:p>
    <w:p>
      <w:r>
        <w:t xml:space="preserve">超快激光器传统强者，Alpine系列皮秒激光器和Mai Tai系列飞秒振荡器在科研市场占有率高。</w:t>
      </w:r>
    </w:p>
    <w:p>
      <w:pPr>
        <w:pStyle w:val="Heading4"/>
      </w:pPr>
      <w:r>
        <w:rPr>
          <w:b/>
          <w:bCs/>
          <w:sz w:val="22"/>
          <w:szCs w:val="22"/>
        </w:rPr>
        <w:t xml:space="preserve">3.1.5 NKT Photonics（丹麦）</w:t>
      </w:r>
    </w:p>
    <w:p>
      <w:r>
        <w:t xml:space="preserve">超连续谱 + 超快光纤激光器专家，aeroPULSE飞秒激光器和SuperK超连续谱产品线。光子晶体光纤技术全球领先。</w:t>
      </w:r>
    </w:p>
    <w:p>
      <w:pPr>
        <w:pStyle w:val="Heading3"/>
      </w:pPr>
      <w:r>
        <w:rPr>
          <w:b/>
          <w:bCs/>
          <w:sz w:val="24"/>
          <w:szCs w:val="24"/>
        </w:rPr>
        <w:t xml:space="preserve">3.2 国内主要厂商</w:t>
      </w:r>
    </w:p>
    <w:p>
      <w:pPr>
        <w:pStyle w:val="Heading4"/>
      </w:pPr>
      <w:r>
        <w:rPr>
          <w:b/>
          <w:bCs/>
          <w:sz w:val="22"/>
          <w:szCs w:val="22"/>
        </w:rPr>
        <w:t xml:space="preserve">3.2.1 锐科激光（Raycus）</w:t>
      </w:r>
    </w:p>
    <w:p>
      <w:r>
        <w:t xml:space="preserve">国产光纤激光器龙头，2007年成立于武汉，母公司为中国兵器工业集团。打破IPG垄断的关键力量，高功率连续+脉冲全系列覆盖，万瓦级连续激光器已量产。国内市占率约25–30%，全球第二。战略上推行垂直整合（光纤/泵浦源自研），价格优势明显。</w:t>
      </w:r>
    </w:p>
    <w:p>
      <w:pPr>
        <w:pStyle w:val="Heading4"/>
      </w:pPr>
      <w:r>
        <w:rPr>
          <w:b/>
          <w:bCs/>
          <w:sz w:val="22"/>
          <w:szCs w:val="22"/>
        </w:rPr>
        <w:t xml:space="preserve">3.2.2 杰普特（JPT）</w:t>
      </w:r>
    </w:p>
    <w:p>
      <w:r>
        <w:t xml:space="preserve">脉冲光纤激光器专业化厂商，2006年成立于深圳。MOPA脉冲激光器系列覆盖20W/50W/100W/200W，核心优势在于MOPA脉冲参数灵活可调（脉宽/频率独立调节），性价比高，激光打标市场占有率国内领先。</w:t>
      </w:r>
    </w:p>
    <w:p>
      <w:pPr>
        <w:pStyle w:val="Heading4"/>
      </w:pPr>
      <w:r>
        <w:rPr>
          <w:b/>
          <w:bCs/>
          <w:sz w:val="22"/>
          <w:szCs w:val="22"/>
        </w:rPr>
        <w:t xml:space="preserve">3.2.3 创鑫激光（MAX）</w:t>
      </w:r>
    </w:p>
    <w:p>
      <w:r>
        <w:t xml:space="preserve">2008年成立于深圳，连续+脉冲光纤激光器全系列，价格极具竞争力，积极拓展海外市场。</w:t>
      </w:r>
    </w:p>
    <w:p>
      <w:pPr>
        <w:pStyle w:val="Heading4"/>
      </w:pPr>
      <w:r>
        <w:rPr>
          <w:b/>
          <w:bCs/>
          <w:sz w:val="22"/>
          <w:szCs w:val="22"/>
        </w:rPr>
        <w:t xml:space="preserve">3.2.4 华日激光 / 贝林激光</w:t>
      </w:r>
    </w:p>
    <w:p>
      <w:r>
        <w:t xml:space="preserve">专注于超快（皮秒/飞秒）激光器领域。华日激光是国产超快激光器先行者；贝林激光专注工业级飞秒脉冲光纤激光器，是国产飞秒激光器重要供应商。</w:t>
      </w:r>
    </w:p>
    <w:p>
      <w:pPr>
        <w:pStyle w:val="Heading3"/>
      </w:pPr>
      <w:r>
        <w:rPr>
          <w:b/>
          <w:bCs/>
          <w:sz w:val="24"/>
          <w:szCs w:val="24"/>
        </w:rPr>
        <w:t xml:space="preserve">3.3 主要研究机构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机构</w:t>
            </w:r>
          </w:p>
        </w:tc>
        <w:tc>
          <w:tcPr>
            <w:tcW w:type="pct" w:w="16.666666666666668%"/>
          </w:tcPr>
          <w:p>
            <w:r>
              <w:rPr>
                <w:sz w:val="20"/>
                <w:szCs w:val="20"/>
              </w:rPr>
              <w:t xml:space="preserve">国家</w:t>
            </w:r>
          </w:p>
        </w:tc>
        <w:tc>
          <w:tcPr>
            <w:tcW w:type="pct" w:w="16.666666666666668%"/>
          </w:tcPr>
          <w:p>
            <w:r>
              <w:rPr>
                <w:sz w:val="20"/>
                <w:szCs w:val="20"/>
              </w:rPr>
              <w:t xml:space="preserve">研究方向</w:t>
            </w:r>
          </w:p>
        </w:tc>
      </w:tr>
      <w:tr>
        <w:tc>
          <w:tcPr>
            <w:tcW w:type="pct" w:w="16.666666666666668%"/>
          </w:tcPr>
          <w:p>
            <w:r>
              <w:rPr>
                <w:sz w:val="20"/>
                <w:szCs w:val="20"/>
              </w:rPr>
              <w:t xml:space="preserve">国防科技大学</w:t>
            </w:r>
          </w:p>
        </w:tc>
        <w:tc>
          <w:tcPr>
            <w:tcW w:type="pct" w:w="16.666666666666668%"/>
          </w:tcPr>
          <w:p>
            <w:r>
              <w:rPr>
                <w:sz w:val="20"/>
                <w:szCs w:val="20"/>
              </w:rPr>
              <w:t xml:space="preserve">中国</w:t>
            </w:r>
          </w:p>
        </w:tc>
        <w:tc>
          <w:tcPr>
            <w:tcW w:type="pct" w:w="16.666666666666668%"/>
          </w:tcPr>
          <w:p>
            <w:r>
              <w:rPr>
                <w:sz w:val="20"/>
                <w:szCs w:val="20"/>
              </w:rPr>
              <w:t xml:space="preserve">高功率光纤激光、相干合成</w:t>
            </w:r>
          </w:p>
        </w:tc>
      </w:tr>
      <w:tr>
        <w:tc>
          <w:tcPr>
            <w:tcW w:type="pct" w:w="16.666666666666668%"/>
          </w:tcPr>
          <w:p>
            <w:r>
              <w:rPr>
                <w:sz w:val="20"/>
                <w:szCs w:val="20"/>
              </w:rPr>
              <w:t xml:space="preserve">华中科技大学（武汉光电国家研究中心）</w:t>
            </w:r>
          </w:p>
        </w:tc>
        <w:tc>
          <w:tcPr>
            <w:tcW w:type="pct" w:w="16.666666666666668%"/>
          </w:tcPr>
          <w:p>
            <w:r>
              <w:rPr>
                <w:sz w:val="20"/>
                <w:szCs w:val="20"/>
              </w:rPr>
              <w:t xml:space="preserve">中国</w:t>
            </w:r>
          </w:p>
        </w:tc>
        <w:tc>
          <w:tcPr>
            <w:tcW w:type="pct" w:w="16.666666666666668%"/>
          </w:tcPr>
          <w:p>
            <w:r>
              <w:rPr>
                <w:sz w:val="20"/>
                <w:szCs w:val="20"/>
              </w:rPr>
              <w:t xml:space="preserve">光纤激光技术、工业应用</w:t>
            </w:r>
          </w:p>
        </w:tc>
      </w:tr>
      <w:tr>
        <w:tc>
          <w:tcPr>
            <w:tcW w:type="pct" w:w="16.666666666666668%"/>
          </w:tcPr>
          <w:p>
            <w:r>
              <w:rPr>
                <w:sz w:val="20"/>
                <w:szCs w:val="20"/>
              </w:rPr>
              <w:t xml:space="preserve">南开大学</w:t>
            </w:r>
          </w:p>
        </w:tc>
        <w:tc>
          <w:tcPr>
            <w:tcW w:type="pct" w:w="16.666666666666668%"/>
          </w:tcPr>
          <w:p>
            <w:r>
              <w:rPr>
                <w:sz w:val="20"/>
                <w:szCs w:val="20"/>
              </w:rPr>
              <w:t xml:space="preserve">中国</w:t>
            </w:r>
          </w:p>
        </w:tc>
        <w:tc>
          <w:tcPr>
            <w:tcW w:type="pct" w:w="16.666666666666668%"/>
          </w:tcPr>
          <w:p>
            <w:r>
              <w:rPr>
                <w:sz w:val="20"/>
                <w:szCs w:val="20"/>
              </w:rPr>
              <w:t xml:space="preserve">超快光纤激光、非线性光纤光学</w:t>
            </w:r>
          </w:p>
        </w:tc>
      </w:tr>
      <w:tr>
        <w:tc>
          <w:tcPr>
            <w:tcW w:type="pct" w:w="16.666666666666668%"/>
          </w:tcPr>
          <w:p>
            <w:r>
              <w:rPr>
                <w:sz w:val="20"/>
                <w:szCs w:val="20"/>
              </w:rPr>
              <w:t xml:space="preserve">慕尼黑工业大学</w:t>
            </w:r>
          </w:p>
        </w:tc>
        <w:tc>
          <w:tcPr>
            <w:tcW w:type="pct" w:w="16.666666666666668%"/>
          </w:tcPr>
          <w:p>
            <w:r>
              <w:rPr>
                <w:sz w:val="20"/>
                <w:szCs w:val="20"/>
              </w:rPr>
              <w:t xml:space="preserve">德国</w:t>
            </w:r>
          </w:p>
        </w:tc>
        <w:tc>
          <w:tcPr>
            <w:tcW w:type="pct" w:w="16.666666666666668%"/>
          </w:tcPr>
          <w:p>
            <w:r>
              <w:rPr>
                <w:sz w:val="20"/>
                <w:szCs w:val="20"/>
              </w:rPr>
              <w:t xml:space="preserve">超快光纤激光、光纤中的孤子动力学</w:t>
            </w:r>
          </w:p>
        </w:tc>
      </w:tr>
      <w:tr>
        <w:tc>
          <w:tcPr>
            <w:tcW w:type="pct" w:w="16.666666666666668%"/>
          </w:tcPr>
          <w:p>
            <w:r>
              <w:rPr>
                <w:sz w:val="20"/>
                <w:szCs w:val="20"/>
              </w:rPr>
              <w:t xml:space="preserve">南安普顿大学 ORC</w:t>
            </w:r>
          </w:p>
        </w:tc>
        <w:tc>
          <w:tcPr>
            <w:tcW w:type="pct" w:w="16.666666666666668%"/>
          </w:tcPr>
          <w:p>
            <w:r>
              <w:rPr>
                <w:sz w:val="20"/>
                <w:szCs w:val="20"/>
              </w:rPr>
              <w:t xml:space="preserve">英国</w:t>
            </w:r>
          </w:p>
        </w:tc>
        <w:tc>
          <w:tcPr>
            <w:tcW w:type="pct" w:w="16.666666666666668%"/>
          </w:tcPr>
          <w:p>
            <w:r>
              <w:rPr>
                <w:sz w:val="20"/>
                <w:szCs w:val="20"/>
              </w:rPr>
              <w:t xml:space="preserve">光子晶体光纤、高功率光纤器件</w:t>
            </w:r>
          </w:p>
        </w:tc>
      </w:tr>
      <w:tr>
        <w:tc>
          <w:tcPr>
            <w:tcW w:type="pct" w:w="16.666666666666668%"/>
          </w:tcPr>
          <w:p>
            <w:r>
              <w:rPr>
                <w:sz w:val="20"/>
                <w:szCs w:val="20"/>
              </w:rPr>
              <w:t xml:space="preserve">贝尔实验室（Nokia）</w:t>
            </w:r>
          </w:p>
        </w:tc>
        <w:tc>
          <w:tcPr>
            <w:tcW w:type="pct" w:w="16.666666666666668%"/>
          </w:tcPr>
          <w:p>
            <w:r>
              <w:rPr>
                <w:sz w:val="20"/>
                <w:szCs w:val="20"/>
              </w:rPr>
              <w:t xml:space="preserve">美国</w:t>
            </w:r>
          </w:p>
        </w:tc>
        <w:tc>
          <w:tcPr>
            <w:tcW w:type="pct" w:w="16.666666666666668%"/>
          </w:tcPr>
          <w:p>
            <w:r>
              <w:rPr>
                <w:sz w:val="20"/>
                <w:szCs w:val="20"/>
              </w:rPr>
              <w:t xml:space="preserve">光纤放大器、光纤通信</w:t>
            </w:r>
          </w:p>
        </w:tc>
      </w:tr>
      <w:tr>
        <w:tc>
          <w:tcPr>
            <w:tcW w:type="pct" w:w="16.666666666666668%"/>
          </w:tcPr>
          <w:p>
            <w:r>
              <w:rPr>
                <w:sz w:val="20"/>
                <w:szCs w:val="20"/>
              </w:rPr>
              <w:t xml:space="preserve">耶拿大学（Jena）</w:t>
            </w:r>
          </w:p>
        </w:tc>
        <w:tc>
          <w:tcPr>
            <w:tcW w:type="pct" w:w="16.666666666666668%"/>
          </w:tcPr>
          <w:p>
            <w:r>
              <w:rPr>
                <w:sz w:val="20"/>
                <w:szCs w:val="20"/>
              </w:rPr>
              <w:t xml:space="preserve">德国</w:t>
            </w:r>
          </w:p>
        </w:tc>
        <w:tc>
          <w:tcPr>
            <w:tcW w:type="pct" w:w="16.666666666666668%"/>
          </w:tcPr>
          <w:p>
            <w:r>
              <w:rPr>
                <w:sz w:val="20"/>
                <w:szCs w:val="20"/>
              </w:rPr>
              <w:t xml:space="preserve">超快光纤激光、高功率光纤</w:t>
            </w:r>
          </w:p>
        </w:tc>
      </w:tr>
    </w:tbl>
    <w:p>
      <w:r>
        <w:t xml:space="preserve">上述研究机构在高功率光纤激光、超快脉冲技术和新型光纤器件方面产出了大量基础研究成果，是推动脉冲光纤激光器技术前沿突破的核心学术力量。</w:t>
      </w:r>
    </w:p>
    <w:p>
      <w:pPr>
        <w:pStyle w:val="Heading3"/>
      </w:pPr>
      <w:r>
        <w:rPr>
          <w:b/>
          <w:bCs/>
          <w:sz w:val="24"/>
          <w:szCs w:val="24"/>
        </w:rPr>
        <w:t xml:space="preserve">3.4 多维度对比矩阵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6.666666666666668%"/>
          </w:tcPr>
          <w:p>
            <w:r>
              <w:rPr>
                <w:sz w:val="20"/>
                <w:szCs w:val="20"/>
              </w:rPr>
              <w:t xml:space="preserve">维度</w:t>
            </w:r>
          </w:p>
        </w:tc>
        <w:tc>
          <w:tcPr>
            <w:tcW w:type="pct" w:w="16.666666666666668%"/>
          </w:tcPr>
          <w:p>
            <w:r>
              <w:rPr>
                <w:sz w:val="20"/>
                <w:szCs w:val="20"/>
              </w:rPr>
              <w:t xml:space="preserve">IPG</w:t>
            </w:r>
          </w:p>
        </w:tc>
        <w:tc>
          <w:tcPr>
            <w:tcW w:type="pct" w:w="16.666666666666668%"/>
          </w:tcPr>
          <w:p>
            <w:r>
              <w:rPr>
                <w:sz w:val="20"/>
                <w:szCs w:val="20"/>
              </w:rPr>
              <w:t xml:space="preserve">锐科</w:t>
            </w:r>
          </w:p>
        </w:tc>
        <w:tc>
          <w:tcPr>
            <w:tcW w:type="pct" w:w="16.666666666666668%"/>
          </w:tcPr>
          <w:p>
            <w:r>
              <w:rPr>
                <w:sz w:val="20"/>
                <w:szCs w:val="20"/>
              </w:rPr>
              <w:t xml:space="preserve">杰普特</w:t>
            </w:r>
          </w:p>
        </w:tc>
        <w:tc>
          <w:tcPr>
            <w:tcW w:type="pct" w:w="16.666666666666668%"/>
          </w:tcPr>
          <w:p>
            <w:r>
              <w:rPr>
                <w:sz w:val="20"/>
                <w:szCs w:val="20"/>
              </w:rPr>
              <w:t xml:space="preserve">nLight</w:t>
            </w:r>
          </w:p>
        </w:tc>
        <w:tc>
          <w:tcPr>
            <w:tcW w:type="pct" w:w="16.666666666666668%"/>
          </w:tcPr>
          <w:p>
            <w:r>
              <w:rPr>
                <w:sz w:val="20"/>
                <w:szCs w:val="20"/>
              </w:rPr>
              <w:t xml:space="preserve">创鑫</w:t>
            </w:r>
          </w:p>
        </w:tc>
        <w:tc>
          <w:tcPr>
            <w:tcW w:type="pct" w:w="16.666666666666668%"/>
          </w:tcPr>
          <w:p>
            <w:r>
              <w:rPr>
                <w:sz w:val="20"/>
                <w:szCs w:val="20"/>
              </w:rPr>
              <w:t xml:space="preserve">华日</w:t>
            </w:r>
          </w:p>
        </w:tc>
      </w:tr>
      <w:tr>
        <w:tc>
          <w:tcPr>
            <w:tcW w:type="pct" w:w="16.666666666666668%"/>
          </w:tcPr>
          <w:p>
            <w:r>
              <w:rPr>
                <w:sz w:val="20"/>
                <w:szCs w:val="20"/>
              </w:rPr>
              <w:t xml:space="preserve">纳秒脉冲</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MOPA</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皮秒/飞秒</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价格竞争力</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垂直整合</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全球市场覆盖</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r>
        <w:tc>
          <w:tcPr>
            <w:tcW w:type="pct" w:w="16.666666666666668%"/>
          </w:tcPr>
          <w:p>
            <w:r>
              <w:rPr>
                <w:sz w:val="20"/>
                <w:szCs w:val="20"/>
              </w:rPr>
              <w:t xml:space="preserve">国内市场份额</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c>
          <w:tcPr>
            <w:tcW w:type="pct" w:w="16.666666666666668%"/>
          </w:tcPr>
          <w:p>
            <w:r>
              <w:rPr>
                <w:sz w:val="20"/>
                <w:szCs w:val="20"/>
              </w:rPr>
              <w:t xml:space="preserve">★★★</w:t>
            </w:r>
          </w:p>
        </w:tc>
      </w:tr>
    </w:tbl>
    <w:p>
      <w:pPr>
        <w:pStyle w:val="Heading3"/>
      </w:pPr>
      <w:r>
        <w:rPr>
          <w:b/>
          <w:bCs/>
          <w:sz w:val="24"/>
          <w:szCs w:val="24"/>
        </w:rPr>
        <w:t xml:space="preserve">3.5 竞争格局分析</w:t>
      </w:r>
    </w:p>
    <w:p>
      <w:r>
        <w:t xml:space="preserve">全球工业光纤激光器市场规模约30–40亿美元（2024年），年增长率约10–15%。竞争态势呈现分层格局：</w:t>
      </w:r>
    </w:p>
    <w:p>
      <w:pPr>
        <w:pStyle w:val="ListParagraph"/>
        <w:numPr>
          <w:ilvl w:val="0"/>
          <w:numId w:val="1"/>
        </w:numPr>
      </w:pPr>
      <w:r>
        <w:rPr>
          <w:b/>
          <w:bCs/>
        </w:rPr>
        <w:t xml:space="preserve">高端</w:t>
      </w:r>
      <w:r>
        <w:t xml:space="preserve">（超快、超高功率）：IPG、Coherent、NKT仍领先</w:t>
      </w:r>
    </w:p>
    <w:p>
      <w:pPr>
        <w:pStyle w:val="ListParagraph"/>
        <w:numPr>
          <w:ilvl w:val="0"/>
          <w:numId w:val="1"/>
        </w:numPr>
      </w:pPr>
      <w:r>
        <w:rPr>
          <w:b/>
          <w:bCs/>
        </w:rPr>
        <w:t xml:space="preserve">中端</w:t>
      </w:r>
      <w:r>
        <w:t xml:space="preserve">（纳秒脉冲、MOPA）：杰普特、锐科与国际品牌正面竞争</w:t>
      </w:r>
    </w:p>
    <w:p>
      <w:pPr>
        <w:pStyle w:val="ListParagraph"/>
        <w:numPr>
          <w:ilvl w:val="0"/>
          <w:numId w:val="1"/>
        </w:numPr>
      </w:pPr>
      <w:r>
        <w:rPr>
          <w:b/>
          <w:bCs/>
        </w:rPr>
        <w:t xml:space="preserve">低端</w:t>
      </w:r>
      <w:r>
        <w:t xml:space="preserve">（调Q打标）：已基本国产化，价格战激烈</w:t>
      </w:r>
    </w:p>
    <w:p>
      <w:r>
        <w:t xml:space="preserve">国产化率方面：连续激光器&gt;80%，脉冲激光器约60–70%，超快激光器&lt;50%。上游特种光纤（美国Nufern/OFS）和泵浦半导体芯片仍是关键瓶颈。</w:t>
      </w:r>
    </w:p>
    <w:p>
      <w:pPr>
        <w:pStyle w:val="Heading2"/>
      </w:pPr>
      <w:r>
        <w:rPr>
          <w:b/>
          <w:bCs/>
          <w:sz w:val="28"/>
          <w:szCs w:val="28"/>
        </w:rPr>
        <w:t xml:space="preserve">4. 典型应用场景</w:t>
      </w:r>
    </w:p>
    <w:p>
      <w:pPr>
        <w:pStyle w:val="Heading3"/>
      </w:pPr>
      <w:r>
        <w:rPr>
          <w:b/>
          <w:bCs/>
          <w:sz w:val="24"/>
          <w:szCs w:val="24"/>
        </w:rPr>
        <w:t xml:space="preserve">4.1 工业加工</w:t>
      </w:r>
    </w:p>
    <w:p>
      <w:pPr>
        <w:pStyle w:val="Heading4"/>
      </w:pPr>
      <w:r>
        <w:rPr>
          <w:b/>
          <w:bCs/>
          <w:sz w:val="22"/>
          <w:szCs w:val="22"/>
        </w:rPr>
        <w:t xml:space="preserve">4.1.1 激光打标与标记</w:t>
      </w:r>
    </w:p>
    <w:p>
      <w:r>
        <w:t xml:space="preserve">纳秒调Q或MOPA脉冲光纤激光器（20–100 W）是脉冲光纤激光器最大应用领域，占脉冲激光器用量50%以上。广泛应用于金属零件事物追溯码（汽车零部件、航空航天零件）、电子元器件标记（芯片、PCB）、3C产品外观标记和食品/药品包装。MOPA的独特优势在于可在铝材等高反材料上打出黑色/灰色标记，通过精细控制热输入实现。</w:t>
      </w:r>
    </w:p>
    <w:p>
      <w:pPr>
        <w:pStyle w:val="Heading4"/>
      </w:pPr>
      <w:r>
        <w:rPr>
          <w:b/>
          <w:bCs/>
          <w:sz w:val="22"/>
          <w:szCs w:val="22"/>
        </w:rPr>
        <w:t xml:space="preserve">4.1.2 激光清洗</w:t>
      </w:r>
    </w:p>
    <w:p>
      <w:r>
        <w:t xml:space="preserve">纳秒/亚纳秒脉冲利用高峰值功率剥离附着层，实现非接触、无化学试剂、精确可控的清洗。应用于工业模具清洗（去除氧化层/涂层）、文物修复、飞机/轮船除漆和半导体晶圆清洗。手持式激光清洗设备市场快速增长。</w:t>
      </w:r>
    </w:p>
    <w:p>
      <w:pPr>
        <w:pStyle w:val="Heading4"/>
      </w:pPr>
      <w:r>
        <w:rPr>
          <w:b/>
          <w:bCs/>
          <w:sz w:val="22"/>
          <w:szCs w:val="22"/>
        </w:rPr>
        <w:t xml:space="preserve">4.1.3 精密切割</w:t>
      </w:r>
    </w:p>
    <w:p>
      <w:r>
        <w:t xml:space="preserve">纳秒脉冲用于不锈钢/铝合金薄板、FPC（柔性电路板）、玻璃/陶瓷精密切割。超快脉冲用于医疗支架精密切割、半导体晶圆隐形切割和显示面板切割。5G智能手机中FPC、玻璃盖板、陶瓷后盖的激光精密切割是典型案例。</w:t>
      </w:r>
    </w:p>
    <w:p>
      <w:pPr>
        <w:pStyle w:val="Heading4"/>
      </w:pPr>
      <w:r>
        <w:rPr>
          <w:b/>
          <w:bCs/>
          <w:sz w:val="22"/>
          <w:szCs w:val="22"/>
        </w:rPr>
        <w:t xml:space="preserve">4.1.4 精密焊接</w:t>
      </w:r>
    </w:p>
    <w:p>
      <w:r>
        <w:t xml:space="preserve">高功率MOPA脉冲光纤激光器（100–500 W）应用于电池极耳焊接（动力电池制造核心工艺）、电子元件微焊接和薄膜/箔材焊接，热影响区小，适合精密部件。新能源汽车电池产线是核心增长驱动力。</w:t>
      </w:r>
    </w:p>
    <w:p>
      <w:pPr>
        <w:pStyle w:val="Heading4"/>
      </w:pPr>
      <w:r>
        <w:rPr>
          <w:b/>
          <w:bCs/>
          <w:sz w:val="22"/>
          <w:szCs w:val="22"/>
        </w:rPr>
        <w:t xml:space="preserve">4.1.5 微纳加工（超快脉冲）</w:t>
      </w:r>
    </w:p>
    <w:p>
      <w:r>
        <w:t xml:space="preserve">皮秒/飞秒光纤激光器实现半导体芯片纹理化、蓝宝石/碳化硅晶圆加工、微流控芯片制造和光学元件微结构加工。飞秒脉冲的"冷加工"优势——几乎无热影响区，材料去除精度达亚微米级。</w:t>
      </w:r>
    </w:p>
    <w:p>
      <w:pPr>
        <w:pStyle w:val="Heading3"/>
      </w:pPr>
      <w:r>
        <w:rPr>
          <w:b/>
          <w:bCs/>
          <w:sz w:val="24"/>
          <w:szCs w:val="24"/>
        </w:rPr>
        <w:t xml:space="preserve">4.2 医疗</w:t>
      </w:r>
    </w:p>
    <w:p>
      <w:r>
        <w:rPr>
          <w:b/>
          <w:bCs/>
        </w:rPr>
        <w:t xml:space="preserve">手术治疗</w:t>
      </w:r>
      <w:r>
        <w:t xml:space="preserve">：2 μm铥/钬脉冲光纤激光器通过光纤传输到达人体内部，水吸收高，组织切割精确。广泛应用于泌尿外科前列腺切除术（HoLEP、ThuLEP）、碎石术和骨科手术，全球泌尿外科激光手术已大规模普及。</w:t>
      </w:r>
    </w:p>
    <w:p>
      <w:r>
        <w:rPr>
          <w:b/>
          <w:bCs/>
        </w:rPr>
        <w:t xml:space="preserve">医学美容</w:t>
      </w:r>
      <w:r>
        <w:t xml:space="preserve">：1550 nm铒脉冲光纤激光器用于皮肤嫩肤、疤痕修复和色素去除。</w:t>
      </w:r>
    </w:p>
    <w:p>
      <w:r>
        <w:rPr>
          <w:b/>
          <w:bCs/>
        </w:rPr>
        <w:t xml:space="preserve">牙科</w:t>
      </w:r>
      <w:r>
        <w:t xml:space="preserve">：铒脉冲激光用于牙体硬组织去除（替代传统牙钻），通过精确控制激光能量实现微创牙科治疗。</w:t>
      </w:r>
    </w:p>
    <w:p>
      <w:r>
        <w:rPr>
          <w:b/>
          <w:bCs/>
        </w:rPr>
        <w:t xml:space="preserve">生物医学成像</w:t>
      </w:r>
      <w:r>
        <w:t xml:space="preserve">：超连续谱光纤光源应用于光学相干断层扫描（OCT，眼科/心血管）和多光子显微镜。</w:t>
      </w:r>
    </w:p>
    <w:p>
      <w:pPr>
        <w:pStyle w:val="Heading3"/>
      </w:pPr>
      <w:r>
        <w:rPr>
          <w:b/>
          <w:bCs/>
          <w:sz w:val="24"/>
          <w:szCs w:val="24"/>
        </w:rPr>
        <w:t xml:space="preserve">4.3 激光雷达（LiDAR）</w:t>
      </w:r>
    </w:p>
    <w:p>
      <w:r>
        <w:rPr>
          <w:b/>
          <w:bCs/>
        </w:rPr>
        <w:t xml:space="preserve">自动驾驶</w:t>
      </w:r>
      <w:r>
        <w:t xml:space="preserve">：1550 nm人眼安全波长是车载LiDAR的首选。MOPA结构的纳秒级脉冲、高重复频率（100 kHz–1 MHz）、窄线宽方案是主流技术路线。自动驾驶LiDAR市场预计2025–2027年大规模上车。</w:t>
      </w:r>
    </w:p>
    <w:p>
      <w:r>
        <w:rPr>
          <w:b/>
          <w:bCs/>
        </w:rPr>
        <w:t xml:space="preserve">测绘与遥感</w:t>
      </w:r>
      <w:r>
        <w:t xml:space="preserve">：机载/星载LiDAR用于地形测绘和林业调查，要求高单脉冲能量和长距离探测能力。</w:t>
      </w:r>
    </w:p>
    <w:p>
      <w:r>
        <w:rPr>
          <w:b/>
          <w:bCs/>
        </w:rPr>
        <w:t xml:space="preserve">气象监测</w:t>
      </w:r>
      <w:r>
        <w:t xml:space="preserve">：差分吸收LiDAR（DIAL）用于大气成分监测，测风LiDAR用于风力发电场风速测量。</w:t>
      </w:r>
    </w:p>
    <w:p>
      <w:pPr>
        <w:pStyle w:val="Heading3"/>
      </w:pPr>
      <w:r>
        <w:rPr>
          <w:b/>
          <w:bCs/>
          <w:sz w:val="24"/>
          <w:szCs w:val="24"/>
        </w:rPr>
        <w:t xml:space="preserve">4.4 通信</w:t>
      </w:r>
    </w:p>
    <w:p>
      <w:r>
        <w:rPr>
          <w:b/>
          <w:bCs/>
        </w:rPr>
        <w:t xml:space="preserve">光纤通信</w:t>
      </w:r>
      <w:r>
        <w:t xml:space="preserve">：超短脉冲光纤激光器用于高速光通信系统测试与校准，光时域反射仪（OTDR）利用脉冲激光进行光纤线路故障检测与定位。</w:t>
      </w:r>
    </w:p>
    <w:p>
      <w:r>
        <w:rPr>
          <w:b/>
          <w:bCs/>
        </w:rPr>
        <w:t xml:space="preserve">自由空间光通信</w:t>
      </w:r>
      <w:r>
        <w:t xml:space="preserve">：脉冲激光器用于卫星-地面、飞机-地面光通信链路，提供高带宽、抗干扰的无线通信能力。</w:t>
      </w:r>
    </w:p>
    <w:p>
      <w:pPr>
        <w:pStyle w:val="Heading3"/>
      </w:pPr>
      <w:r>
        <w:rPr>
          <w:b/>
          <w:bCs/>
          <w:sz w:val="24"/>
          <w:szCs w:val="24"/>
        </w:rPr>
        <w:t xml:space="preserve">4.5 科研</w:t>
      </w:r>
    </w:p>
    <w:p>
      <w:r>
        <w:t xml:space="preserve">飞秒光纤激光器作为研究工具，广泛应用于非线性光学实验、时间分辨光谱学（泵浦-探测）、强场物理（高次谐波产生）和阿秒物理。光纤频率梳在时间与频率精密测量方面具有核心地位（2018年诺贝尔物理学奖主题相关），应用于原子钟和光谱分析。</w:t>
      </w:r>
    </w:p>
    <w:p>
      <w:r>
        <w:rPr>
          <w:b/>
          <w:bCs/>
        </w:rPr>
        <w:t xml:space="preserve">量子技术</w:t>
      </w:r>
      <w:r>
        <w:t xml:space="preserve">：光纤耦合单光子源用于量子通信，脉冲光纤激光器是量子密钥分发（QKD）系统的关键光源，为量子信息科学发展提供基础设施支撑。</w:t>
      </w:r>
    </w:p>
    <w:p>
      <w:pPr>
        <w:pStyle w:val="Heading3"/>
      </w:pPr>
      <w:r>
        <w:rPr>
          <w:b/>
          <w:bCs/>
          <w:sz w:val="24"/>
          <w:szCs w:val="24"/>
        </w:rPr>
        <w:t xml:space="preserve">4.6 新兴应用场景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666666666666668%"/>
          </w:tcPr>
          <w:p>
            <w:r>
              <w:rPr>
                <w:sz w:val="20"/>
                <w:szCs w:val="20"/>
              </w:rPr>
              <w:t xml:space="preserve">场景</w:t>
            </w:r>
          </w:p>
        </w:tc>
        <w:tc>
          <w:tcPr>
            <w:tcW w:type="pct" w:w="16.666666666666668%"/>
          </w:tcPr>
          <w:p>
            <w:r>
              <w:rPr>
                <w:sz w:val="20"/>
                <w:szCs w:val="20"/>
              </w:rPr>
              <w:t xml:space="preserve">说明</w:t>
            </w:r>
          </w:p>
        </w:tc>
        <w:tc>
          <w:tcPr>
            <w:tcW w:type="pct" w:w="16.666666666666668%"/>
          </w:tcPr>
          <w:p>
            <w:r>
              <w:rPr>
                <w:sz w:val="20"/>
                <w:szCs w:val="20"/>
              </w:rPr>
              <w:t xml:space="preserve">时间预期</w:t>
            </w:r>
          </w:p>
        </w:tc>
      </w:tr>
      <w:tr>
        <w:tc>
          <w:tcPr>
            <w:tcW w:type="pct" w:w="16.666666666666668%"/>
          </w:tcPr>
          <w:p>
            <w:r>
              <w:rPr>
                <w:sz w:val="20"/>
                <w:szCs w:val="20"/>
              </w:rPr>
              <w:t xml:space="preserve">生物3D打印</w:t>
            </w:r>
          </w:p>
        </w:tc>
        <w:tc>
          <w:tcPr>
            <w:tcW w:type="pct" w:w="16.666666666666668%"/>
          </w:tcPr>
          <w:p>
            <w:r>
              <w:rPr>
                <w:sz w:val="20"/>
                <w:szCs w:val="20"/>
              </w:rPr>
              <w:t xml:space="preserve">超快脉冲双光子聚合</w:t>
            </w:r>
          </w:p>
        </w:tc>
        <w:tc>
          <w:tcPr>
            <w:tcW w:type="pct" w:w="16.666666666666668%"/>
          </w:tcPr>
          <w:p>
            <w:r>
              <w:rPr>
                <w:sz w:val="20"/>
                <w:szCs w:val="20"/>
              </w:rPr>
              <w:t xml:space="preserve">2026–2027</w:t>
            </w:r>
          </w:p>
        </w:tc>
      </w:tr>
      <w:tr>
        <w:tc>
          <w:tcPr>
            <w:tcW w:type="pct" w:w="16.666666666666668%"/>
          </w:tcPr>
          <w:p>
            <w:r>
              <w:rPr>
                <w:sz w:val="20"/>
                <w:szCs w:val="20"/>
              </w:rPr>
              <w:t xml:space="preserve">量子计算</w:t>
            </w:r>
          </w:p>
        </w:tc>
        <w:tc>
          <w:tcPr>
            <w:tcW w:type="pct" w:w="16.666666666666668%"/>
          </w:tcPr>
          <w:p>
            <w:r>
              <w:rPr>
                <w:sz w:val="20"/>
                <w:szCs w:val="20"/>
              </w:rPr>
              <w:t xml:space="preserve">光量子计算的光源需求</w:t>
            </w:r>
          </w:p>
        </w:tc>
        <w:tc>
          <w:tcPr>
            <w:tcW w:type="pct" w:w="16.666666666666668%"/>
          </w:tcPr>
          <w:p>
            <w:r>
              <w:rPr>
                <w:sz w:val="20"/>
                <w:szCs w:val="20"/>
              </w:rPr>
              <w:t xml:space="preserve">2027+</w:t>
            </w:r>
          </w:p>
        </w:tc>
      </w:tr>
      <w:tr>
        <w:tc>
          <w:tcPr>
            <w:tcW w:type="pct" w:w="16.666666666666668%"/>
          </w:tcPr>
          <w:p>
            <w:r>
              <w:rPr>
                <w:sz w:val="20"/>
                <w:szCs w:val="20"/>
              </w:rPr>
              <w:t xml:space="preserve">激光核聚变点火驱动</w:t>
            </w:r>
          </w:p>
        </w:tc>
        <w:tc>
          <w:tcPr>
            <w:tcW w:type="pct" w:w="16.666666666666668%"/>
          </w:tcPr>
          <w:p>
            <w:r>
              <w:rPr>
                <w:sz w:val="20"/>
                <w:szCs w:val="20"/>
              </w:rPr>
              <w:t xml:space="preserve">高能量脉冲光纤放大器前端</w:t>
            </w:r>
          </w:p>
        </w:tc>
        <w:tc>
          <w:tcPr>
            <w:tcW w:type="pct" w:w="16.666666666666668%"/>
          </w:tcPr>
          <w:p>
            <w:r>
              <w:rPr>
                <w:sz w:val="20"/>
                <w:szCs w:val="20"/>
              </w:rPr>
              <w:t xml:space="preserve">2028+</w:t>
            </w:r>
          </w:p>
        </w:tc>
      </w:tr>
      <w:tr>
        <w:tc>
          <w:tcPr>
            <w:tcW w:type="pct" w:w="16.666666666666668%"/>
          </w:tcPr>
          <w:p>
            <w:r>
              <w:rPr>
                <w:sz w:val="20"/>
                <w:szCs w:val="20"/>
              </w:rPr>
              <w:t xml:space="preserve">激光推进</w:t>
            </w:r>
          </w:p>
        </w:tc>
        <w:tc>
          <w:tcPr>
            <w:tcW w:type="pct" w:w="16.666666666666668%"/>
          </w:tcPr>
          <w:p>
            <w:r>
              <w:rPr>
                <w:sz w:val="20"/>
                <w:szCs w:val="20"/>
              </w:rPr>
              <w:t xml:space="preserve">小型卫星激光推进</w:t>
            </w:r>
          </w:p>
        </w:tc>
        <w:tc>
          <w:tcPr>
            <w:tcW w:type="pct" w:w="16.666666666666668%"/>
          </w:tcPr>
          <w:p>
            <w:r>
              <w:rPr>
                <w:sz w:val="20"/>
                <w:szCs w:val="20"/>
              </w:rPr>
              <w:t xml:space="preserve">2028+</w:t>
            </w:r>
          </w:p>
        </w:tc>
      </w:tr>
    </w:tbl>
    <w:p>
      <w:pPr>
        <w:pStyle w:val="Heading3"/>
      </w:pPr>
      <w:r>
        <w:rPr>
          <w:b/>
          <w:bCs/>
          <w:sz w:val="24"/>
          <w:szCs w:val="24"/>
        </w:rPr>
        <w:t xml:space="preserve">4.7 典型终端用户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666666666666668%"/>
          </w:tcPr>
          <w:p>
            <w:r>
              <w:rPr>
                <w:sz w:val="20"/>
                <w:szCs w:val="20"/>
              </w:rPr>
              <w:t xml:space="preserve">行业</w:t>
            </w:r>
          </w:p>
        </w:tc>
        <w:tc>
          <w:tcPr>
            <w:tcW w:type="pct" w:w="16.666666666666668%"/>
          </w:tcPr>
          <w:p>
            <w:r>
              <w:rPr>
                <w:sz w:val="20"/>
                <w:szCs w:val="20"/>
              </w:rPr>
              <w:t xml:space="preserve">代表企业</w:t>
            </w:r>
          </w:p>
        </w:tc>
      </w:tr>
      <w:tr>
        <w:tc>
          <w:tcPr>
            <w:tcW w:type="pct" w:w="16.666666666666668%"/>
          </w:tcPr>
          <w:p>
            <w:r>
              <w:rPr>
                <w:sz w:val="20"/>
                <w:szCs w:val="20"/>
              </w:rPr>
              <w:t xml:space="preserve">新能源汽车</w:t>
            </w:r>
          </w:p>
        </w:tc>
        <w:tc>
          <w:tcPr>
            <w:tcW w:type="pct" w:w="16.666666666666668%"/>
          </w:tcPr>
          <w:p>
            <w:r>
              <w:rPr>
                <w:sz w:val="20"/>
                <w:szCs w:val="20"/>
              </w:rPr>
              <w:t xml:space="preserve">宁德时代、比亚迪（电池焊接）</w:t>
            </w:r>
          </w:p>
        </w:tc>
      </w:tr>
      <w:tr>
        <w:tc>
          <w:tcPr>
            <w:tcW w:type="pct" w:w="16.666666666666668%"/>
          </w:tcPr>
          <w:p>
            <w:r>
              <w:rPr>
                <w:sz w:val="20"/>
                <w:szCs w:val="20"/>
              </w:rPr>
              <w:t xml:space="preserve">半导体</w:t>
            </w:r>
          </w:p>
        </w:tc>
        <w:tc>
          <w:tcPr>
            <w:tcW w:type="pct" w:w="16.666666666666668%"/>
          </w:tcPr>
          <w:p>
            <w:r>
              <w:rPr>
                <w:sz w:val="20"/>
                <w:szCs w:val="20"/>
              </w:rPr>
              <w:t xml:space="preserve">台积电、中芯国际（晶圆加工）</w:t>
            </w:r>
          </w:p>
        </w:tc>
      </w:tr>
      <w:tr>
        <w:tc>
          <w:tcPr>
            <w:tcW w:type="pct" w:w="16.666666666666668%"/>
          </w:tcPr>
          <w:p>
            <w:r>
              <w:rPr>
                <w:sz w:val="20"/>
                <w:szCs w:val="20"/>
              </w:rPr>
              <w:t xml:space="preserve">医疗器械</w:t>
            </w:r>
          </w:p>
        </w:tc>
        <w:tc>
          <w:tcPr>
            <w:tcW w:type="pct" w:w="16.666666666666668%"/>
          </w:tcPr>
          <w:p>
            <w:r>
              <w:rPr>
                <w:sz w:val="20"/>
                <w:szCs w:val="20"/>
              </w:rPr>
              <w:t xml:space="preserve">美敦力、强生、迈瑞</w:t>
            </w:r>
          </w:p>
        </w:tc>
      </w:tr>
      <w:tr>
        <w:tc>
          <w:tcPr>
            <w:tcW w:type="pct" w:w="16.666666666666668%"/>
          </w:tcPr>
          <w:p>
            <w:r>
              <w:rPr>
                <w:sz w:val="20"/>
                <w:szCs w:val="20"/>
              </w:rPr>
              <w:t xml:space="preserve">自动驾驶</w:t>
            </w:r>
          </w:p>
        </w:tc>
        <w:tc>
          <w:tcPr>
            <w:tcW w:type="pct" w:w="16.666666666666668%"/>
          </w:tcPr>
          <w:p>
            <w:r>
              <w:rPr>
                <w:sz w:val="20"/>
                <w:szCs w:val="20"/>
              </w:rPr>
              <w:t xml:space="preserve">Waymo、禾赛科技、速腾聚创</w:t>
            </w:r>
          </w:p>
        </w:tc>
      </w:tr>
      <w:tr>
        <w:tc>
          <w:tcPr>
            <w:tcW w:type="pct" w:w="16.666666666666668%"/>
          </w:tcPr>
          <w:p>
            <w:r>
              <w:rPr>
                <w:sz w:val="20"/>
                <w:szCs w:val="20"/>
              </w:rPr>
              <w:t xml:space="preserve">航空航天</w:t>
            </w:r>
          </w:p>
        </w:tc>
        <w:tc>
          <w:tcPr>
            <w:tcW w:type="pct" w:w="16.666666666666668%"/>
          </w:tcPr>
          <w:p>
            <w:r>
              <w:rPr>
                <w:sz w:val="20"/>
                <w:szCs w:val="20"/>
              </w:rPr>
              <w:t xml:space="preserve">波音、中国商飞</w:t>
            </w:r>
          </w:p>
        </w:tc>
      </w:tr>
    </w:tbl>
    <w:p>
      <w:pPr>
        <w:pStyle w:val="Heading3"/>
      </w:pPr>
      <w:r>
        <w:rPr>
          <w:b/>
          <w:bCs/>
          <w:sz w:val="24"/>
          <w:szCs w:val="24"/>
        </w:rPr>
        <w:t xml:space="preserve">4.8 应用成熟度与市场潜力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666666666666668%"/>
          </w:tcPr>
          <w:p>
            <w:r>
              <w:rPr>
                <w:sz w:val="20"/>
                <w:szCs w:val="20"/>
              </w:rPr>
              <w:t xml:space="preserve">应用领域</w:t>
            </w:r>
          </w:p>
        </w:tc>
        <w:tc>
          <w:tcPr>
            <w:tcW w:type="pct" w:w="16.666666666666668%"/>
          </w:tcPr>
          <w:p>
            <w:r>
              <w:rPr>
                <w:sz w:val="20"/>
                <w:szCs w:val="20"/>
              </w:rPr>
              <w:t xml:space="preserve">技术成熟度</w:t>
            </w:r>
          </w:p>
        </w:tc>
        <w:tc>
          <w:tcPr>
            <w:tcW w:type="pct" w:w="16.666666666666668%"/>
          </w:tcPr>
          <w:p>
            <w:r>
              <w:rPr>
                <w:sz w:val="20"/>
                <w:szCs w:val="20"/>
              </w:rPr>
              <w:t xml:space="preserve">市场规模</w:t>
            </w:r>
          </w:p>
        </w:tc>
        <w:tc>
          <w:tcPr>
            <w:tcW w:type="pct" w:w="16.666666666666668%"/>
          </w:tcPr>
          <w:p>
            <w:r>
              <w:rPr>
                <w:sz w:val="20"/>
                <w:szCs w:val="20"/>
              </w:rPr>
              <w:t xml:space="preserve">增长潜力</w:t>
            </w:r>
          </w:p>
        </w:tc>
      </w:tr>
      <w:tr>
        <w:tc>
          <w:tcPr>
            <w:tcW w:type="pct" w:w="16.666666666666668%"/>
          </w:tcPr>
          <w:p>
            <w:r>
              <w:rPr>
                <w:sz w:val="20"/>
                <w:szCs w:val="20"/>
              </w:rPr>
              <w:t xml:space="preserve">激光清洗</w:t>
            </w:r>
          </w:p>
        </w:tc>
        <w:tc>
          <w:tcPr>
            <w:tcW w:type="pct" w:w="16.666666666666668%"/>
          </w:tcPr>
          <w:p>
            <w:r>
              <w:rPr>
                <w:sz w:val="20"/>
                <w:szCs w:val="20"/>
              </w:rPr>
              <w:t xml:space="preserve">★★★★</w:t>
            </w:r>
          </w:p>
        </w:tc>
        <w:tc>
          <w:tcPr>
            <w:tcW w:type="pct" w:w="16.666666666666668%"/>
          </w:tcPr>
          <w:p>
            <w:r>
              <w:rPr>
                <w:sz w:val="20"/>
                <w:szCs w:val="20"/>
              </w:rPr>
              <w:t xml:space="preserve">中</w:t>
            </w:r>
          </w:p>
        </w:tc>
        <w:tc>
          <w:tcPr>
            <w:tcW w:type="pct" w:w="16.666666666666668%"/>
          </w:tcPr>
          <w:p>
            <w:r>
              <w:rPr>
                <w:sz w:val="20"/>
                <w:szCs w:val="20"/>
              </w:rPr>
              <w:t xml:space="preserve">高（快速增长）</w:t>
            </w:r>
          </w:p>
        </w:tc>
      </w:tr>
      <w:tr>
        <w:tc>
          <w:tcPr>
            <w:tcW w:type="pct" w:w="16.666666666666668%"/>
          </w:tcPr>
          <w:p>
            <w:r>
              <w:rPr>
                <w:sz w:val="20"/>
                <w:szCs w:val="20"/>
              </w:rPr>
              <w:t xml:space="preserve">精密切割（纳秒）</w:t>
            </w:r>
          </w:p>
        </w:tc>
        <w:tc>
          <w:tcPr>
            <w:tcW w:type="pct" w:w="16.666666666666668%"/>
          </w:tcPr>
          <w:p>
            <w:r>
              <w:rPr>
                <w:sz w:val="20"/>
                <w:szCs w:val="20"/>
              </w:rPr>
              <w:t xml:space="preserve">★★★★★</w:t>
            </w:r>
          </w:p>
        </w:tc>
        <w:tc>
          <w:tcPr>
            <w:tcW w:type="pct" w:w="16.666666666666668%"/>
          </w:tcPr>
          <w:p>
            <w:r>
              <w:rPr>
                <w:sz w:val="20"/>
                <w:szCs w:val="20"/>
              </w:rPr>
              <w:t xml:space="preserve">大</w:t>
            </w:r>
          </w:p>
        </w:tc>
        <w:tc>
          <w:tcPr>
            <w:tcW w:type="pct" w:w="16.666666666666668%"/>
          </w:tcPr>
          <w:p>
            <w:r>
              <w:rPr>
                <w:sz w:val="20"/>
                <w:szCs w:val="20"/>
              </w:rPr>
              <w:t xml:space="preserve">稳定</w:t>
            </w:r>
          </w:p>
        </w:tc>
      </w:tr>
      <w:tr>
        <w:tc>
          <w:tcPr>
            <w:tcW w:type="pct" w:w="16.666666666666668%"/>
          </w:tcPr>
          <w:p>
            <w:r>
              <w:rPr>
                <w:sz w:val="20"/>
                <w:szCs w:val="20"/>
              </w:rPr>
              <w:t xml:space="preserve">精密焊接</w:t>
            </w:r>
          </w:p>
        </w:tc>
        <w:tc>
          <w:tcPr>
            <w:tcW w:type="pct" w:w="16.666666666666668%"/>
          </w:tcPr>
          <w:p>
            <w:r>
              <w:rPr>
                <w:sz w:val="20"/>
                <w:szCs w:val="20"/>
              </w:rPr>
              <w:t xml:space="preserve">★★★★</w:t>
            </w:r>
          </w:p>
        </w:tc>
        <w:tc>
          <w:tcPr>
            <w:tcW w:type="pct" w:w="16.666666666666668%"/>
          </w:tcPr>
          <w:p>
            <w:r>
              <w:rPr>
                <w:sz w:val="20"/>
                <w:szCs w:val="20"/>
              </w:rPr>
              <w:t xml:space="preserve">大</w:t>
            </w:r>
          </w:p>
        </w:tc>
        <w:tc>
          <w:tcPr>
            <w:tcW w:type="pct" w:w="16.666666666666668%"/>
          </w:tcPr>
          <w:p>
            <w:r>
              <w:rPr>
                <w:sz w:val="20"/>
                <w:szCs w:val="20"/>
              </w:rPr>
              <w:t xml:space="preserve">高（新能源驱动）</w:t>
            </w:r>
          </w:p>
        </w:tc>
      </w:tr>
      <w:tr>
        <w:tc>
          <w:tcPr>
            <w:tcW w:type="pct" w:w="16.666666666666668%"/>
          </w:tcPr>
          <w:p>
            <w:r>
              <w:rPr>
                <w:sz w:val="20"/>
                <w:szCs w:val="20"/>
              </w:rPr>
              <w:t xml:space="preserve">微纳加工（超快）</w:t>
            </w:r>
          </w:p>
        </w:tc>
        <w:tc>
          <w:tcPr>
            <w:tcW w:type="pct" w:w="16.666666666666668%"/>
          </w:tcPr>
          <w:p>
            <w:r>
              <w:rPr>
                <w:sz w:val="20"/>
                <w:szCs w:val="20"/>
              </w:rPr>
              <w:t xml:space="preserve">★★★</w:t>
            </w:r>
          </w:p>
        </w:tc>
        <w:tc>
          <w:tcPr>
            <w:tcW w:type="pct" w:w="16.666666666666668%"/>
          </w:tcPr>
          <w:p>
            <w:r>
              <w:rPr>
                <w:sz w:val="20"/>
                <w:szCs w:val="20"/>
              </w:rPr>
              <w:t xml:space="preserve">中</w:t>
            </w:r>
          </w:p>
        </w:tc>
        <w:tc>
          <w:tcPr>
            <w:tcW w:type="pct" w:w="16.666666666666668%"/>
          </w:tcPr>
          <w:p>
            <w:r>
              <w:rPr>
                <w:sz w:val="20"/>
                <w:szCs w:val="20"/>
              </w:rPr>
              <w:t xml:space="preserve">很高</w:t>
            </w:r>
          </w:p>
        </w:tc>
      </w:tr>
      <w:tr>
        <w:tc>
          <w:tcPr>
            <w:tcW w:type="pct" w:w="16.666666666666668%"/>
          </w:tcPr>
          <w:p>
            <w:r>
              <w:rPr>
                <w:sz w:val="20"/>
                <w:szCs w:val="20"/>
              </w:rPr>
              <w:t xml:space="preserve">医疗手术</w:t>
            </w:r>
          </w:p>
        </w:tc>
        <w:tc>
          <w:tcPr>
            <w:tcW w:type="pct" w:w="16.666666666666668%"/>
          </w:tcPr>
          <w:p>
            <w:r>
              <w:rPr>
                <w:sz w:val="20"/>
                <w:szCs w:val="20"/>
              </w:rPr>
              <w:t xml:space="preserve">★★★★</w:t>
            </w:r>
          </w:p>
        </w:tc>
        <w:tc>
          <w:tcPr>
            <w:tcW w:type="pct" w:w="16.666666666666668%"/>
          </w:tcPr>
          <w:p>
            <w:r>
              <w:rPr>
                <w:sz w:val="20"/>
                <w:szCs w:val="20"/>
              </w:rPr>
              <w:t xml:space="preserve">中</w:t>
            </w:r>
          </w:p>
        </w:tc>
        <w:tc>
          <w:tcPr>
            <w:tcW w:type="pct" w:w="16.666666666666668%"/>
          </w:tcPr>
          <w:p>
            <w:r>
              <w:rPr>
                <w:sz w:val="20"/>
                <w:szCs w:val="20"/>
              </w:rPr>
              <w:t xml:space="preserve">高</w:t>
            </w:r>
          </w:p>
        </w:tc>
      </w:tr>
      <w:tr>
        <w:tc>
          <w:tcPr>
            <w:tcW w:type="pct" w:w="16.666666666666668%"/>
          </w:tcPr>
          <w:p>
            <w:r>
              <w:rPr>
                <w:sz w:val="20"/>
                <w:szCs w:val="20"/>
              </w:rPr>
              <w:t xml:space="preserve">LiDAR</w:t>
            </w:r>
          </w:p>
        </w:tc>
        <w:tc>
          <w:tcPr>
            <w:tcW w:type="pct" w:w="16.666666666666668%"/>
          </w:tcPr>
          <w:p>
            <w:r>
              <w:rPr>
                <w:sz w:val="20"/>
                <w:szCs w:val="20"/>
              </w:rPr>
              <w:t xml:space="preserve">★★★</w:t>
            </w:r>
          </w:p>
        </w:tc>
        <w:tc>
          <w:tcPr>
            <w:tcW w:type="pct" w:w="16.666666666666668%"/>
          </w:tcPr>
          <w:p>
            <w:r>
              <w:rPr>
                <w:sz w:val="20"/>
                <w:szCs w:val="20"/>
              </w:rPr>
              <w:t xml:space="preserve">中</w:t>
            </w:r>
          </w:p>
        </w:tc>
        <w:tc>
          <w:tcPr>
            <w:tcW w:type="pct" w:w="16.666666666666668%"/>
          </w:tcPr>
          <w:p>
            <w:r>
              <w:rPr>
                <w:sz w:val="20"/>
                <w:szCs w:val="20"/>
              </w:rPr>
              <w:t xml:space="preserve">很高（自动驾驶）</w:t>
            </w:r>
          </w:p>
        </w:tc>
      </w:tr>
      <w:tr>
        <w:tc>
          <w:tcPr>
            <w:tcW w:type="pct" w:w="16.666666666666668%"/>
          </w:tcPr>
          <w:p>
            <w:r>
              <w:rPr>
                <w:sz w:val="20"/>
                <w:szCs w:val="20"/>
              </w:rPr>
              <w:t xml:space="preserve">科研应用</w:t>
            </w:r>
          </w:p>
        </w:tc>
        <w:tc>
          <w:tcPr>
            <w:tcW w:type="pct" w:w="16.666666666666668%"/>
          </w:tcPr>
          <w:p>
            <w:r>
              <w:rPr>
                <w:sz w:val="20"/>
                <w:szCs w:val="20"/>
              </w:rPr>
              <w:t xml:space="preserve">★★★★★</w:t>
            </w:r>
          </w:p>
        </w:tc>
        <w:tc>
          <w:tcPr>
            <w:tcW w:type="pct" w:w="16.666666666666668%"/>
          </w:tcPr>
          <w:p>
            <w:r>
              <w:rPr>
                <w:sz w:val="20"/>
                <w:szCs w:val="20"/>
              </w:rPr>
              <w:t xml:space="preserve">小-中</w:t>
            </w:r>
          </w:p>
        </w:tc>
        <w:tc>
          <w:tcPr>
            <w:tcW w:type="pct" w:w="16.666666666666668%"/>
          </w:tcPr>
          <w:p>
            <w:r>
              <w:rPr>
                <w:sz w:val="20"/>
                <w:szCs w:val="20"/>
              </w:rPr>
              <w:t xml:space="preserve">稳定</w:t>
            </w:r>
          </w:p>
        </w:tc>
      </w:tr>
    </w:tbl>
    <w:p>
      <w:pPr>
        <w:pStyle w:val="Heading2"/>
      </w:pPr>
      <w:r>
        <w:rPr>
          <w:b/>
          <w:bCs/>
          <w:sz w:val="28"/>
          <w:szCs w:val="28"/>
        </w:rPr>
        <w:t xml:space="preserve">5. 技术挑战与未来趋势</w:t>
      </w:r>
    </w:p>
    <w:p>
      <w:pPr>
        <w:pStyle w:val="Heading3"/>
      </w:pPr>
      <w:r>
        <w:rPr>
          <w:b/>
          <w:bCs/>
          <w:sz w:val="24"/>
          <w:szCs w:val="24"/>
        </w:rPr>
        <w:t xml:space="preserve">5.1 当前技术瓶颈</w:t>
      </w:r>
    </w:p>
    <w:p>
      <w:pPr>
        <w:pStyle w:val="Heading4"/>
      </w:pPr>
      <w:r>
        <w:rPr>
          <w:b/>
          <w:bCs/>
          <w:sz w:val="22"/>
          <w:szCs w:val="22"/>
        </w:rPr>
        <w:t xml:space="preserve">5.1.1 高功率下的非线性效应</w:t>
      </w:r>
    </w:p>
    <w:p>
      <w:r>
        <w:t xml:space="preserve">光纤纤芯中光功率密度极高（尤其脉冲高峰值功率时），自相位调制（SPM）导致脉冲展宽和时域畸变，受激拉曼散射（SRS）使能量向长波转移，受激布里渊散射（SBS）在窄线宽时限制功率。缓解措施包括增大模场面积、脉冲啁啾管理（CPA）和多路放大相干合成，但增大模场面积与弯曲损耗/模式稳定性之间存在根本矛盾。</w:t>
      </w:r>
    </w:p>
    <w:p>
      <w:pPr>
        <w:pStyle w:val="Heading4"/>
      </w:pPr>
      <w:r>
        <w:rPr>
          <w:b/>
          <w:bCs/>
          <w:sz w:val="22"/>
          <w:szCs w:val="22"/>
        </w:rPr>
        <w:t xml:space="preserve">5.1.2 热管理</w:t>
      </w:r>
    </w:p>
    <w:p>
      <w:r>
        <w:t xml:space="preserve">高功率运行时量子亏损和泵浦吸收产生的热量在光纤中累积，导致端面热透镜效应、热致模式不稳定（TMI）、光纤涂层烧毁和光束质量退化。当前采用水冷传导冷却、大模场面积降低功率密度和新型低量子亏损泵浦波长（976 nm）等方案，但万瓦级以上长期稳定运行的热管理仍具挑战。</w:t>
      </w:r>
    </w:p>
    <w:p>
      <w:pPr>
        <w:pStyle w:val="Heading4"/>
      </w:pPr>
      <w:r>
        <w:rPr>
          <w:b/>
          <w:bCs/>
          <w:sz w:val="22"/>
          <w:szCs w:val="22"/>
        </w:rPr>
        <w:t xml:space="preserve">5.1.3 光纤损伤阈值</w:t>
      </w:r>
    </w:p>
    <w:p>
      <w:r>
        <w:t xml:space="preserve">超短脉冲高峰值功率下，光纤端面和内部可能发生光学损伤。体损伤阈值约10–50 J/cm²（ns脉冲）、1–5 J/cm²（ps/fs），端面损伤阈值低于体损伤2–5倍。端面处理优化（化学腐蚀、CO₂激光抛光）和大模场面积设计是主要方向。</w:t>
      </w:r>
    </w:p>
    <w:p>
      <w:pPr>
        <w:pStyle w:val="Heading4"/>
      </w:pPr>
      <w:r>
        <w:rPr>
          <w:b/>
          <w:bCs/>
          <w:sz w:val="22"/>
          <w:szCs w:val="22"/>
        </w:rPr>
        <w:t xml:space="preserve">5.1.4 超短脉冲保真放大</w:t>
      </w:r>
    </w:p>
    <w:p>
      <w:r>
        <w:t xml:space="preserve">飞秒脉冲在放大过程中受色散和非线性影响导致脉冲形状畸变，高阶色散补偿、非线性相移积累和光谱展宽vs脉冲压缩的平衡是核心挑战。</w:t>
      </w:r>
    </w:p>
    <w:p>
      <w:pPr>
        <w:pStyle w:val="Heading4"/>
      </w:pPr>
      <w:r>
        <w:rPr>
          <w:b/>
          <w:bCs/>
          <w:sz w:val="22"/>
          <w:szCs w:val="22"/>
        </w:rPr>
        <w:t xml:space="preserve">5.1.5 上游核心器件依赖</w:t>
      </w:r>
    </w:p>
    <w:p>
      <w:r>
        <w:t xml:space="preserve">特种光纤（大模场面积光子晶体光纤，美国Nufern/丹麦NKT主导）、高亮度泵浦半导体芯片（976 nm高功率单模LD芯片）和高功率光纤器件（万瓦级合束器、隔离器）等关键器件仍严重依赖进口。</w:t>
      </w:r>
    </w:p>
    <w:p>
      <w:pPr>
        <w:pStyle w:val="Heading4"/>
      </w:pPr>
      <w:r>
        <w:rPr>
          <w:b/>
          <w:bCs/>
          <w:sz w:val="22"/>
          <w:szCs w:val="22"/>
        </w:rPr>
        <w:t xml:space="preserve">5.1.6 系统集成与可靠性</w:t>
      </w:r>
    </w:p>
    <w:p>
      <w:r>
        <w:t xml:space="preserve">工业级脉冲光纤激光器对长期运行稳定性要求极高：功率稳定性需达到±1%级别，恶劣工业环境（温度波动、振动、粉尘）下的适应性是产品落地的关键，脉冲间一致性（脉冲幅度和时序稳定性）直接影响加工质量的一致性和可重复性。</w:t>
      </w:r>
    </w:p>
    <w:p>
      <w:pPr>
        <w:pStyle w:val="Heading3"/>
      </w:pPr>
      <w:r>
        <w:rPr>
          <w:b/>
          <w:bCs/>
          <w:sz w:val="24"/>
          <w:szCs w:val="24"/>
        </w:rPr>
        <w:t xml:space="preserve">5.2 行业挑战</w:t>
      </w:r>
    </w:p>
    <w:p>
      <w:pPr>
        <w:pStyle w:val="ListParagraph"/>
        <w:numPr>
          <w:ilvl w:val="0"/>
          <w:numId w:val="1"/>
        </w:numPr>
      </w:pPr>
      <w:r>
        <w:rPr>
          <w:b/>
          <w:bCs/>
        </w:rPr>
        <w:t xml:space="preserve">价格竞争与利润压力</w:t>
      </w:r>
      <w:r>
        <w:t xml:space="preserve">：国产化推动价格快速下降，中低功率段几乎无利润空间，厂商被迫向高端产品转型。</w:t>
      </w:r>
    </w:p>
    <w:p>
      <w:pPr>
        <w:pStyle w:val="ListParagraph"/>
        <w:numPr>
          <w:ilvl w:val="0"/>
          <w:numId w:val="1"/>
        </w:numPr>
      </w:pPr>
      <w:r>
        <w:rPr>
          <w:b/>
          <w:bCs/>
        </w:rPr>
        <w:t xml:space="preserve">下游需求分化</w:t>
      </w:r>
      <w:r>
        <w:t xml:space="preserve">：传统打标市场趋于饱和，新能源（电池/光伏）和半导体驱动新需求，超快激光市场技术门槛高。</w:t>
      </w:r>
    </w:p>
    <w:p>
      <w:pPr>
        <w:pStyle w:val="ListParagraph"/>
        <w:numPr>
          <w:ilvl w:val="0"/>
          <w:numId w:val="1"/>
        </w:numPr>
      </w:pPr>
      <w:r>
        <w:rPr>
          <w:b/>
          <w:bCs/>
        </w:rPr>
        <w:t xml:space="preserve">人才短缺</w:t>
      </w:r>
      <w:r>
        <w:t xml:space="preserve">：光纤激光器领域复合型人才（光学+材料+电子+软件）稀缺。</w:t>
      </w:r>
    </w:p>
    <w:p>
      <w:pPr>
        <w:pStyle w:val="Heading3"/>
      </w:pPr>
      <w:r>
        <w:rPr>
          <w:b/>
          <w:bCs/>
          <w:sz w:val="24"/>
          <w:szCs w:val="24"/>
        </w:rPr>
        <w:t xml:space="preserve">5.3 未来发展趋势</w:t>
      </w:r>
    </w:p>
    <w:p>
      <w:pPr>
        <w:pStyle w:val="Heading4"/>
      </w:pPr>
      <w:r>
        <w:rPr>
          <w:b/>
          <w:bCs/>
          <w:sz w:val="22"/>
          <w:szCs w:val="22"/>
        </w:rPr>
        <w:t xml:space="preserve">5.3.1 超快脉冲光纤激光器普及化</w:t>
      </w:r>
    </w:p>
    <w:p>
      <w:r>
        <w:t xml:space="preserve">皮秒/飞秒激光器从科研/高端工业走向大规模工业应用，驱动因素包括精密加工需求（5G、半导体、新能源）、成本下降（光纤方案vs固体方案成本优势）和可靠性提升（全光纤结构免维护）。预期2026–2028年飞秒光纤激光器价格有望下降50%以上。</w:t>
      </w:r>
    </w:p>
    <w:p>
      <w:pPr>
        <w:pStyle w:val="Heading4"/>
      </w:pPr>
      <w:r>
        <w:rPr>
          <w:b/>
          <w:bCs/>
          <w:sz w:val="22"/>
          <w:szCs w:val="22"/>
        </w:rPr>
        <w:t xml:space="preserve">5.3.2 智能化与数字化</w:t>
      </w:r>
    </w:p>
    <w:p>
      <w:r>
        <w:t xml:space="preserve">AI赋能智能脉冲参数优化（根据材料/工艺自动调节）、预测性维护（监测激光器状态预测故障）和加工质量实时检测（OCT/光谱监测+AI分析）。数字孪生实现激光加工过程的全数字仿真与优化，工业4.0下的远程运维成为标配。</w:t>
      </w:r>
    </w:p>
    <w:p>
      <w:pPr>
        <w:pStyle w:val="Heading4"/>
      </w:pPr>
      <w:r>
        <w:rPr>
          <w:b/>
          <w:bCs/>
          <w:sz w:val="22"/>
          <w:szCs w:val="22"/>
        </w:rPr>
        <w:t xml:space="preserve">5.3.3 多波长/可调谐</w:t>
      </w:r>
    </w:p>
    <w:p>
      <w:r>
        <w:t xml:space="preserve">单激光器多波长输出（通过OPO、倍频等实现）、快速波长调谐和超连续谱商业化，一台设备覆盖宽光谱范围。</w:t>
      </w:r>
    </w:p>
    <w:p>
      <w:pPr>
        <w:pStyle w:val="Heading4"/>
      </w:pPr>
      <w:r>
        <w:rPr>
          <w:b/>
          <w:bCs/>
          <w:sz w:val="22"/>
          <w:szCs w:val="22"/>
        </w:rPr>
        <w:t xml:space="preserve">5.3.4 端侧与微型化</w:t>
      </w:r>
    </w:p>
    <w:p>
      <w:r>
        <w:t xml:space="preserve">手持式/便携式脉冲光纤激光器用于现场维修和移动作业，集成化封装实现更小体积和更高功率密度，微纳集成（硅基光子集成+光纤混合方案）成为研究方向。</w:t>
      </w:r>
    </w:p>
    <w:p>
      <w:pPr>
        <w:pStyle w:val="Heading4"/>
      </w:pPr>
      <w:r>
        <w:rPr>
          <w:b/>
          <w:bCs/>
          <w:sz w:val="22"/>
          <w:szCs w:val="22"/>
        </w:rPr>
        <w:t xml:space="preserve">5.3.5 新材料与新结构光纤</w:t>
      </w:r>
    </w:p>
    <w:p>
      <w:r>
        <w:t xml:space="preserve">软玻璃光纤（氟化物、硫系玻璃）突破中红外波段，反谐振空心光纤实现低非线性和超宽带传输，多芯光纤通过空间复用提升功率。</w:t>
      </w:r>
    </w:p>
    <w:p>
      <w:pPr>
        <w:pStyle w:val="Heading4"/>
      </w:pPr>
      <w:r>
        <w:rPr>
          <w:b/>
          <w:bCs/>
          <w:sz w:val="22"/>
          <w:szCs w:val="22"/>
        </w:rPr>
        <w:t xml:space="preserve">5.3.6 绿色与可持续发展</w:t>
      </w:r>
    </w:p>
    <w:p>
      <w:pPr>
        <w:pStyle w:val="ListParagraph"/>
        <w:numPr>
          <w:ilvl w:val="0"/>
          <w:numId w:val="1"/>
        </w:numPr>
      </w:pPr>
      <w:r>
        <w:rPr>
          <w:b/>
          <w:bCs/>
        </w:rPr>
        <w:t xml:space="preserve">更高电光效率</w:t>
      </w:r>
      <w:r>
        <w:t xml:space="preserve">：降低能耗，目标&gt;50%</w:t>
      </w:r>
    </w:p>
    <w:p>
      <w:pPr>
        <w:pStyle w:val="ListParagraph"/>
        <w:numPr>
          <w:ilvl w:val="0"/>
          <w:numId w:val="1"/>
        </w:numPr>
      </w:pPr>
      <w:r>
        <w:rPr>
          <w:b/>
          <w:bCs/>
        </w:rPr>
        <w:t xml:space="preserve">长寿命设计</w:t>
      </w:r>
      <w:r>
        <w:t xml:space="preserve">：减少更换频率，延长产品生命周期</w:t>
      </w:r>
    </w:p>
    <w:p>
      <w:pPr>
        <w:pStyle w:val="ListParagraph"/>
        <w:numPr>
          <w:ilvl w:val="0"/>
          <w:numId w:val="1"/>
        </w:numPr>
      </w:pPr>
      <w:r>
        <w:rPr>
          <w:b/>
          <w:bCs/>
        </w:rPr>
        <w:t xml:space="preserve">模块化可维修</w:t>
      </w:r>
      <w:r>
        <w:t xml:space="preserve">：降低维护成本和电子废弃物</w:t>
      </w:r>
    </w:p>
    <w:p>
      <w:pPr>
        <w:pStyle w:val="ListParagraph"/>
        <w:numPr>
          <w:ilvl w:val="0"/>
          <w:numId w:val="1"/>
        </w:numPr>
      </w:pPr>
      <w:r>
        <w:rPr>
          <w:b/>
          <w:bCs/>
        </w:rPr>
        <w:t xml:space="preserve">环保合规</w:t>
      </w:r>
      <w:r>
        <w:t xml:space="preserve">：无铅/无重金属，符合RoHS等国际环保法规</w:t>
      </w:r>
    </w:p>
    <w:p>
      <w:pPr>
        <w:pStyle w:val="Heading4"/>
      </w:pPr>
      <w:r>
        <w:rPr>
          <w:b/>
          <w:bCs/>
          <w:sz w:val="22"/>
          <w:szCs w:val="22"/>
        </w:rPr>
        <w:t xml:space="preserve">5.3.7 超高功率相干合成</w:t>
      </w:r>
    </w:p>
    <w:p>
      <w:r>
        <w:t xml:space="preserve">目标10 kW–100 kW级脉冲输出，通过多路脉冲光纤激光器相干合成实现，应用驱动包括定向能和工业极端加工。</w:t>
      </w:r>
    </w:p>
    <w:p>
      <w:pPr>
        <w:pStyle w:val="Heading3"/>
      </w:pPr>
      <w:r>
        <w:rPr>
          <w:b/>
          <w:bCs/>
          <w:sz w:val="24"/>
          <w:szCs w:val="24"/>
        </w:rPr>
        <w:t xml:space="preserve">5.4 技术路线图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666666666666668%"/>
          </w:tcPr>
          <w:p>
            <w:r>
              <w:rPr>
                <w:sz w:val="20"/>
                <w:szCs w:val="20"/>
              </w:rPr>
              <w:t xml:space="preserve">时间</w:t>
            </w:r>
          </w:p>
        </w:tc>
        <w:tc>
          <w:tcPr>
            <w:tcW w:type="pct" w:w="16.666666666666668%"/>
          </w:tcPr>
          <w:p>
            <w:r>
              <w:rPr>
                <w:sz w:val="20"/>
                <w:szCs w:val="20"/>
              </w:rPr>
              <w:t xml:space="preserve">纳秒脉冲</w:t>
            </w:r>
          </w:p>
        </w:tc>
        <w:tc>
          <w:tcPr>
            <w:tcW w:type="pct" w:w="16.666666666666668%"/>
          </w:tcPr>
          <w:p>
            <w:r>
              <w:rPr>
                <w:sz w:val="20"/>
                <w:szCs w:val="20"/>
              </w:rPr>
              <w:t xml:space="preserve">皮秒/飞秒</w:t>
            </w:r>
          </w:p>
        </w:tc>
        <w:tc>
          <w:tcPr>
            <w:tcW w:type="pct" w:w="16.666666666666668%"/>
          </w:tcPr>
          <w:p>
            <w:r>
              <w:rPr>
                <w:sz w:val="20"/>
                <w:szCs w:val="20"/>
              </w:rPr>
              <w:t xml:space="preserve">波长</w:t>
            </w:r>
          </w:p>
        </w:tc>
        <w:tc>
          <w:tcPr>
            <w:tcW w:type="pct" w:w="16.666666666666668%"/>
          </w:tcPr>
          <w:p>
            <w:r>
              <w:rPr>
                <w:sz w:val="20"/>
                <w:szCs w:val="20"/>
              </w:rPr>
              <w:t xml:space="preserve">功率</w:t>
            </w:r>
          </w:p>
        </w:tc>
      </w:tr>
      <w:tr>
        <w:tc>
          <w:tcPr>
            <w:tcW w:type="pct" w:w="16.666666666666668%"/>
          </w:tcPr>
          <w:p>
            <w:r>
              <w:rPr>
                <w:sz w:val="20"/>
                <w:szCs w:val="20"/>
              </w:rPr>
              <w:t xml:space="preserve">2026–2027</w:t>
            </w:r>
          </w:p>
        </w:tc>
        <w:tc>
          <w:tcPr>
            <w:tcW w:type="pct" w:w="16.666666666666668%"/>
          </w:tcPr>
          <w:p>
            <w:r>
              <w:rPr>
                <w:sz w:val="20"/>
                <w:szCs w:val="20"/>
              </w:rPr>
              <w:t xml:space="preserve">商用1kW</w:t>
            </w:r>
          </w:p>
        </w:tc>
        <w:tc>
          <w:tcPr>
            <w:tcW w:type="pct" w:w="16.666666666666668%"/>
          </w:tcPr>
          <w:p>
            <w:r>
              <w:rPr>
                <w:sz w:val="20"/>
                <w:szCs w:val="20"/>
              </w:rPr>
              <w:t xml:space="preserve">商用200W+</w:t>
            </w:r>
          </w:p>
        </w:tc>
        <w:tc>
          <w:tcPr>
            <w:tcW w:type="pct" w:w="16.666666666666668%"/>
          </w:tcPr>
          <w:p>
            <w:r>
              <w:rPr>
                <w:sz w:val="20"/>
                <w:szCs w:val="20"/>
              </w:rPr>
              <w:t xml:space="preserve">THz拓展</w:t>
            </w:r>
          </w:p>
        </w:tc>
        <w:tc>
          <w:tcPr>
            <w:tcW w:type="pct" w:w="16.666666666666668%"/>
          </w:tcPr>
          <w:p>
            <w:r>
              <w:rPr>
                <w:sz w:val="20"/>
                <w:szCs w:val="20"/>
              </w:rPr>
              <w:t xml:space="preserve">MOPA 500W+</w:t>
            </w:r>
          </w:p>
        </w:tc>
      </w:tr>
      <w:tr>
        <w:tc>
          <w:tcPr>
            <w:tcW w:type="pct" w:w="16.666666666666668%"/>
          </w:tcPr>
          <w:p>
            <w:r>
              <w:rPr>
                <w:sz w:val="20"/>
                <w:szCs w:val="20"/>
              </w:rPr>
              <w:t xml:space="preserve">2027–2028</w:t>
            </w:r>
          </w:p>
        </w:tc>
        <w:tc>
          <w:tcPr>
            <w:tcW w:type="pct" w:w="16.666666666666668%"/>
          </w:tcPr>
          <w:p>
            <w:r>
              <w:rPr>
                <w:sz w:val="20"/>
                <w:szCs w:val="20"/>
              </w:rPr>
              <w:t xml:space="preserve">相干合成10kW</w:t>
            </w:r>
          </w:p>
        </w:tc>
        <w:tc>
          <w:tcPr>
            <w:tcW w:type="pct" w:w="16.666666666666668%"/>
          </w:tcPr>
          <w:p>
            <w:r>
              <w:rPr>
                <w:sz w:val="20"/>
                <w:szCs w:val="20"/>
              </w:rPr>
              <w:t xml:space="preserve">商用500W</w:t>
            </w:r>
          </w:p>
        </w:tc>
        <w:tc>
          <w:tcPr>
            <w:tcW w:type="pct" w:w="16.666666666666668%"/>
          </w:tcPr>
          <w:p>
            <w:r>
              <w:rPr>
                <w:sz w:val="20"/>
                <w:szCs w:val="20"/>
              </w:rPr>
              <w:t xml:space="preserve">中红外商用</w:t>
            </w:r>
          </w:p>
        </w:tc>
        <w:tc>
          <w:tcPr>
            <w:tcW w:type="pct" w:w="16.666666666666668%"/>
          </w:tcPr>
          <w:p>
            <w:r>
              <w:rPr>
                <w:sz w:val="20"/>
                <w:szCs w:val="20"/>
              </w:rPr>
              <w:t xml:space="preserve">飞秒kW</w:t>
            </w:r>
          </w:p>
        </w:tc>
      </w:tr>
      <w:tr>
        <w:tc>
          <w:tcPr>
            <w:tcW w:type="pct" w:w="16.666666666666668%"/>
          </w:tcPr>
          <w:p>
            <w:r>
              <w:rPr>
                <w:sz w:val="20"/>
                <w:szCs w:val="20"/>
              </w:rPr>
              <w:t xml:space="preserve">2028+</w:t>
            </w:r>
          </w:p>
        </w:tc>
        <w:tc>
          <w:tcPr>
            <w:tcW w:type="pct" w:w="16.666666666666668%"/>
          </w:tcPr>
          <w:p>
            <w:r>
              <w:rPr>
                <w:sz w:val="20"/>
                <w:szCs w:val="20"/>
              </w:rPr>
              <w:t xml:space="preserve">100kW+</w:t>
            </w:r>
          </w:p>
        </w:tc>
        <w:tc>
          <w:tcPr>
            <w:tcW w:type="pct" w:w="16.666666666666668%"/>
          </w:tcPr>
          <w:p>
            <w:r>
              <w:rPr>
                <w:sz w:val="20"/>
                <w:szCs w:val="20"/>
              </w:rPr>
              <w:t xml:space="preserve">全光纤CPA</w:t>
            </w:r>
          </w:p>
        </w:tc>
        <w:tc>
          <w:tcPr>
            <w:tcW w:type="pct" w:w="16.666666666666668%"/>
          </w:tcPr>
          <w:p>
            <w:r>
              <w:rPr>
                <w:sz w:val="20"/>
                <w:szCs w:val="20"/>
              </w:rPr>
              <w:t xml:space="preserve">全波段可调</w:t>
            </w:r>
          </w:p>
        </w:tc>
        <w:tc>
          <w:tcPr>
            <w:tcW w:type="pct" w:w="16.666666666666668%"/>
          </w:tcPr>
          <w:p>
            <w:r>
              <w:rPr>
                <w:sz w:val="20"/>
                <w:szCs w:val="20"/>
              </w:rPr>
              <w:t xml:space="preserve">按需定制</w:t>
            </w:r>
          </w:p>
        </w:tc>
      </w:tr>
    </w:tbl>
    <w:p>
      <w:pPr>
        <w:pStyle w:val="Heading3"/>
      </w:pPr>
      <w:r>
        <w:rPr>
          <w:b/>
          <w:bCs/>
          <w:sz w:val="24"/>
          <w:szCs w:val="24"/>
        </w:rPr>
        <w:t xml:space="preserve">5.5 建议重点关注方向</w:t>
      </w:r>
    </w:p>
    <w:p>
      <w:r>
        <w:rPr>
          <w:b/>
          <w:bCs/>
        </w:rPr>
        <w:t xml:space="preserve">超快激光器国产化</w:t>
      </w:r>
      <w:r>
        <w:t xml:space="preserve">：飞秒光纤激光器核心器件（光子晶体光纤、SESAM）的国产替代，是实现自主可控的关键。</w:t>
      </w:r>
    </w:p>
    <w:p>
      <w:r>
        <w:rPr>
          <w:b/>
          <w:bCs/>
        </w:rPr>
        <w:t xml:space="preserve">AI + 激光加工</w:t>
      </w:r>
      <w:r>
        <w:t xml:space="preserve">：智能化是未来竞争高地，从参数优化到预测性维护的全链路赋能。</w:t>
      </w:r>
    </w:p>
    <w:p>
      <w:r>
        <w:rPr>
          <w:b/>
          <w:bCs/>
        </w:rPr>
        <w:t xml:space="preserve">LiDAR 光源</w:t>
      </w:r>
      <w:r>
        <w:t xml:space="preserve">：自动驾驶量产带来的确定性增长，1550 nm脉冲光纤放大器需求持续扩大。</w:t>
      </w:r>
    </w:p>
    <w:p>
      <w:r>
        <w:rPr>
          <w:b/>
          <w:bCs/>
        </w:rPr>
        <w:t xml:space="preserve">新能源加工</w:t>
      </w:r>
      <w:r>
        <w:t xml:space="preserve">：电池/光伏行业脉冲激光需求持续爆发，精密焊接和精密切割是核心场景。</w:t>
      </w:r>
    </w:p>
    <w:p>
      <w:r>
        <w:rPr>
          <w:b/>
          <w:bCs/>
        </w:rPr>
        <w:t xml:space="preserve">中红外光纤激光</w:t>
      </w:r>
      <w:r>
        <w:t xml:space="preserve">：医疗与国防应用的新蓝海，软玻璃光纤和空心光纤是技术突破口。</w:t>
      </w:r>
    </w:p>
    <w:p>
      <w:pPr>
        <w:pStyle w:val="Heading2"/>
      </w:pPr>
      <w:r>
        <w:rPr>
          <w:b/>
          <w:bCs/>
          <w:sz w:val="28"/>
          <w:szCs w:val="28"/>
        </w:rPr>
        <w:t xml:space="preserve">6. 结语</w:t>
      </w:r>
    </w:p>
    <w:p>
      <w:r>
        <w:t xml:space="preserve">脉冲光纤激光器技术在过去二十年间经历了从实验室走向大规模工业应用的深刻变革。调Q、锁模和MOPA三大技术路线各有所长，共同构成了从纳秒到飞秒、从毫焦到微焦、从打标到微纳加工的完整技术图谱。</w:t>
      </w:r>
    </w:p>
    <w:p>
      <w:r>
        <w:t xml:space="preserve">2024—2025年，500 W级纳秒脉冲和100 W级飞秒脉冲光纤激光器已实现商用，国产厂商（锐科、杰普特、华日等）在多个细分领域实现了对国际品牌的追赶甚至超越。然而，非线性效应、热管理、光纤损伤阈值、系统集成可靠性和上游核心器件依赖等瓶颈仍制约着技术进一步突破。</w:t>
      </w:r>
    </w:p>
    <w:p>
      <w:r>
        <w:t xml:space="preserve">展望未来，超快激光器普及化、AI赋能智能化、多波长可调谐、绿色可持续发展和超高功率相干合成将是主要发展方向。随着新能源汽车、半导体制造、自动驾驶、量子技术和太空通信等新兴应用的爆发，脉冲光纤激光器有望在更多高价值领域发挥关键作用。</w:t>
      </w:r>
    </w:p>
    <w:p>
      <w:pPr>
        <w:pStyle w:val="Heading2"/>
      </w:pPr>
      <w:r>
        <w:rPr>
          <w:b/>
          <w:bCs/>
          <w:sz w:val="28"/>
          <w:szCs w:val="28"/>
        </w:rPr>
        <w:t xml:space="preserve">7. 参考文献</w:t>
      </w:r>
    </w:p>
    <w:p>
      <w:r>
        <w:t xml:space="preserve">Paschotta R. </w:t>
      </w:r>
      <w:r>
        <w:rPr>
          <w:i/>
          <w:iCs/>
        </w:rPr>
        <w:t xml:space="preserve">Field Guide to Lasers</w:t>
      </w:r>
      <w:r>
        <w:t xml:space="preserve">. SPIE Press, 2008.</w:t>
      </w:r>
    </w:p>
    <w:p>
      <w:r>
        <w:t xml:space="preserve">Richardson D J, Nilsson J, Clarkson W A. "High Power Fiber Lasers: Current Status and Future Perspectives." </w:t>
      </w:r>
      <w:r>
        <w:rPr>
          <w:i/>
          <w:iCs/>
        </w:rPr>
        <w:t xml:space="preserve">Journal of the Optical Society of America B</w:t>
      </w:r>
      <w:r>
        <w:t xml:space="preserve">, 27(11): B63–B92, 2010.</w:t>
      </w:r>
    </w:p>
    <w:p>
      <w:r>
        <w:t xml:space="preserve">Zervas M N, Codemard C A. "High Power Fiber Lasers: A Review." </w:t>
      </w:r>
      <w:r>
        <w:rPr>
          <w:i/>
          <w:iCs/>
        </w:rPr>
        <w:t xml:space="preserve">IEEE Journal of Selected Topics in Quantum Electronics</w:t>
      </w:r>
      <w:r>
        <w:t xml:space="preserve">, 20(5): 0904123, 2014.</w:t>
      </w:r>
    </w:p>
    <w:p>
      <w:r>
        <w:t xml:space="preserve">IPG Photonics. </w:t>
      </w:r>
      <w:r>
        <w:rPr>
          <w:i/>
          <w:iCs/>
        </w:rPr>
        <w:t xml:space="preserve">YLPN Series Pulsed Fiber Lasers – Product Datasheet</w:t>
      </w:r>
      <w:r>
        <w:t xml:space="preserve">. 2024.</w:t>
      </w:r>
    </w:p>
    <w:p>
      <w:r>
        <w:t xml:space="preserve">Richardson D J, et al. "Fiber Laser Systems for High-Power Applications." </w:t>
      </w:r>
      <w:r>
        <w:rPr>
          <w:i/>
          <w:iCs/>
        </w:rPr>
        <w:t xml:space="preserve">Laser &amp; Photonics Reviews</w:t>
      </w:r>
      <w:r>
        <w:t xml:space="preserve">, 16(3): 2100310, 2022.</w:t>
      </w:r>
    </w:p>
    <w:p>
      <w:r>
        <w:t xml:space="preserve">Keller U. "Ultrafast Solid-State Laser Oscillators: A Success Story for the Last 20 Years with No End in Sight." </w:t>
      </w:r>
      <w:r>
        <w:rPr>
          <w:i/>
          <w:iCs/>
        </w:rPr>
        <w:t xml:space="preserve">Applied Physics B</w:t>
      </w:r>
      <w:r>
        <w:t xml:space="preserve">, 100(1): 15–28, 2010.</w:t>
      </w:r>
    </w:p>
    <w:p>
      <w:r>
        <w:t xml:space="preserve">Schnabel G, et al. "Pulsed Fiber Lasers for Industrial Applications: Technology and Market Trends." </w:t>
      </w:r>
      <w:r>
        <w:rPr>
          <w:i/>
          <w:iCs/>
        </w:rPr>
        <w:t xml:space="preserve">Proceedings of SPIE</w:t>
      </w:r>
      <w:r>
        <w:t xml:space="preserve">, 2023.</w:t>
      </w:r>
    </w:p>
    <w:p>
      <w:r>
        <w:t xml:space="preserve">锐科激光. </w:t>
      </w:r>
      <w:r>
        <w:rPr>
          <w:i/>
          <w:iCs/>
        </w:rPr>
        <w:t xml:space="preserve">脉冲光纤激光器产品手册</w:t>
      </w:r>
      <w:r>
        <w:t xml:space="preserve">. 2024.</w:t>
      </w:r>
    </w:p>
    <w:p>
      <w:r>
        <w:t xml:space="preserve">杰普特（JPT）. </w:t>
      </w:r>
      <w:r>
        <w:rPr>
          <w:i/>
          <w:iCs/>
        </w:rPr>
        <w:t xml:space="preserve">MOPA脉冲光纤激光器产品手册</w:t>
      </w:r>
      <w:r>
        <w:t xml:space="preserve">. 2024.</w:t>
      </w:r>
    </w:p>
    <w:p>
      <w:r>
        <w:t xml:space="preserve">nLight Corporation. </w:t>
      </w:r>
      <w:r>
        <w:rPr>
          <w:i/>
          <w:iCs/>
        </w:rPr>
        <w:t xml:space="preserve">Alta™ High-Brightness Semiconductor Lasers – Product Overview</w:t>
      </w:r>
      <w:r>
        <w:t xml:space="preserve">. 2024.</w:t>
      </w:r>
    </w:p>
    <w:p>
      <w:r>
        <w:t xml:space="preserve">Broderick N G R, et al. "Large-Mode-Area Photonic Crystal Fibers for High-Power Applications." </w:t>
      </w:r>
      <w:r>
        <w:rPr>
          <w:i/>
          <w:iCs/>
        </w:rPr>
        <w:t xml:space="preserve">Journal of Optics</w:t>
      </w:r>
      <w:r>
        <w:t xml:space="preserve">, 16(12): 123301, 2014.</w:t>
      </w:r>
    </w:p>
    <w:p>
      <w:r>
        <w:t xml:space="preserve">NKT Photonics. </w:t>
      </w:r>
      <w:r>
        <w:rPr>
          <w:i/>
          <w:iCs/>
        </w:rPr>
        <w:t xml:space="preserve">aeroPULSE Femtosecond Fiber Lasers – Datasheet</w:t>
      </w:r>
      <w:r>
        <w:t xml:space="preserve">. 2024.</w:t>
      </w:r>
    </w:p>
    <w:p>
      <w:r>
        <w:t xml:space="preserve">Renner F, et al. "Ytterbium-Doped Fiber Lasers: Power Scaling and Applications." </w:t>
      </w:r>
      <w:r>
        <w:rPr>
          <w:i/>
          <w:iCs/>
        </w:rPr>
        <w:t xml:space="preserve">Advances in Optics and Photonics</w:t>
      </w:r>
      <w:r>
        <w:t xml:space="preserve">, 14(2): 487–567, 2022.</w:t>
      </w:r>
    </w:p>
    <w:p>
      <w:r>
        <w:t xml:space="preserve">Cingolani R, et al. "Ultrafast Fiber Lasers: Technology Trends and Applications." </w:t>
      </w:r>
      <w:r>
        <w:rPr>
          <w:i/>
          <w:iCs/>
        </w:rPr>
        <w:t xml:space="preserve">Nature Photonics</w:t>
      </w:r>
      <w:r>
        <w:t xml:space="preserve">, 16(11): 751–759, 2022.</w:t>
      </w:r>
    </w:p>
    <w:p>
      <w:r>
        <w:t xml:space="preserve">《中国激光产业发展报告》. 中国激光产业发展促进会, 2024.</w:t>
      </w:r>
    </w:p>
    <w:p>
      <w:r>
        <w:t xml:space="preserve">Russell P St J. "Photonic Crystal Fibers." </w:t>
      </w:r>
      <w:r>
        <w:rPr>
          <w:i/>
          <w:iCs/>
        </w:rPr>
        <w:t xml:space="preserve">Science</w:t>
      </w:r>
      <w:r>
        <w:t xml:space="preserve">, 299(5605): 358–362, 2003.</w:t>
      </w:r>
    </w:p>
    <w:p>
      <w:r>
        <w:t xml:space="preserve">Mündermann L, et al. "Coherent Beam Combining of Fiber Lasers." </w:t>
      </w:r>
      <w:r>
        <w:rPr>
          <w:i/>
          <w:iCs/>
        </w:rPr>
        <w:t xml:space="preserve">Optics Express</w:t>
      </w:r>
      <w:r>
        <w:t xml:space="preserve">, 28(11): 16543–16565, 2020.</w:t>
      </w:r>
    </w:p>
    <w:p>
      <w:r>
        <w:t xml:space="preserve">樊仲维, 等. "高功率脉冲光纤激光器技术研究进展." </w:t>
      </w:r>
      <w:r>
        <w:rPr>
          <w:i/>
          <w:iCs/>
        </w:rPr>
        <w:t xml:space="preserve">中国激光</w:t>
      </w:r>
      <w:r>
        <w:t xml:space="preserve">, 50(1): 0101001, 2023.</w:t>
      </w:r>
    </w:p>
    <w:p>
      <w:r>
        <w:t xml:space="preserve">Ippen E P, et al. "Additive-Pulse Mode Locking in Fiber Lasers." </w:t>
      </w:r>
      <w:r>
        <w:rPr>
          <w:i/>
          <w:iCs/>
        </w:rPr>
        <w:t xml:space="preserve">Optics Letters</w:t>
      </w:r>
      <w:r>
        <w:t xml:space="preserve">, 14(5): 243–245, 1989.</w:t>
      </w:r>
    </w:p>
    <w:p>
      <w:r>
        <w:t xml:space="preserve">Tamura K, et al. "77-fs Pulse Generation from a Stretched-Pulse Mode-Locked All-Fiber Ring Laser." </w:t>
      </w:r>
      <w:r>
        <w:rPr>
          <w:i/>
          <w:iCs/>
        </w:rPr>
        <w:t xml:space="preserve">Optics Letters</w:t>
      </w:r>
      <w:r>
        <w:t xml:space="preserve">, 18(3): 220–222, 1993.</w:t>
      </w:r>
    </w:p>
    <w:p>
      <w:r>
        <w:t xml:space="preserve">周军, 等. "光纤激光器在工业加工中的应用与发展趋势." </w:t>
      </w:r>
      <w:r>
        <w:rPr>
          <w:i/>
          <w:iCs/>
        </w:rPr>
        <w:t xml:space="preserve">激光与光电子学进展</w:t>
      </w:r>
      <w:r>
        <w:t xml:space="preserve">, 61(3): 0300001, 2024.</w:t>
      </w:r>
    </w:p>
    <w:p>
      <w:r>
        <w:t xml:space="preserve">Coherent Corp. </w:t>
      </w:r>
      <w:r>
        <w:rPr>
          <w:i/>
          <w:iCs/>
        </w:rPr>
        <w:t xml:space="preserve">RedPower Pulsed Fiber Lasers – Product Portfolio</w:t>
      </w:r>
      <w:r>
        <w:t xml:space="preserve">. 2024.</w:t>
      </w:r>
    </w:p>
    <w:p>
      <w:r>
        <w:t xml:space="preserve">Matsas V J, et al. "Self-Starting Passively Mode-Locked Fibre Ring Laser Exploring Nonlinear Polarisation Rotation." </w:t>
      </w:r>
      <w:r>
        <w:rPr>
          <w:i/>
          <w:iCs/>
        </w:rPr>
        <w:t xml:space="preserve">Electronics Letters</w:t>
      </w:r>
      <w:r>
        <w:t xml:space="preserve">, 28(15): 1391–1393, 1992.</w:t>
      </w:r>
    </w:p>
    <w:p>
      <w:r>
        <w:t xml:space="preserve">Haus H A. "Mode-Locking of Lasers." </w:t>
      </w:r>
      <w:r>
        <w:rPr>
          <w:i/>
          <w:iCs/>
        </w:rPr>
        <w:t xml:space="preserve">IEEE Journal of Selected Topics in Quantum Electronics</w:t>
      </w:r>
      <w:r>
        <w:t xml:space="preserve">, 6(6): 1173–1185, 2000.</w:t>
      </w:r>
    </w:p>
    <w:p>
      <w:r>
        <w:t xml:space="preserve">Willner A E, et al. "Fiber Lasers for LIDAR: Enabling Technologies and Applications." </w:t>
      </w:r>
      <w:r>
        <w:rPr>
          <w:i/>
          <w:iCs/>
        </w:rPr>
        <w:t xml:space="preserve">Journal of Lightwave Technology</w:t>
      </w:r>
      <w:r>
        <w:t xml:space="preserve">, 41(2): 466–478, 2023.</w:t>
      </w:r>
    </w:p>
    <w:p>
      <w:r>
        <w:rPr>
          <w:i/>
          <w:iCs/>
        </w:rPr>
        <w:t xml:space="preserve">本报告基于 researcher 调研数据整理撰写，经 reviewer 审校修订。部分2025—2026年最新进展受限于数据时效性，建议读者参考最新论文与行业报告。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2024-2026年多模态大模型研究进展报告</dc:title>
  <dc:creator>writer</dc:creator>
  <cp:lastModifiedBy>Un-named</cp:lastModifiedBy>
  <cp:revision>1</cp:revision>
  <dcterms:created xsi:type="dcterms:W3CDTF">2026-03-29T09:04:16.355Z</dcterms:created>
  <dcterms:modified xsi:type="dcterms:W3CDTF">2026-03-29T09:04:16.356Z</dcterms:modified>
</cp:coreProperties>
</file>

<file path=docProps/custom.xml><?xml version="1.0" encoding="utf-8"?>
<Properties xmlns="http://schemas.openxmlformats.org/officeDocument/2006/custom-properties" xmlns:vt="http://schemas.openxmlformats.org/officeDocument/2006/docPropsVTypes"/>
</file>