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0"/>
        </w:rPr>
        <w:t>Problem 1.1 Written Report: The Salk Vaccine Field Trial</w:t>
      </w:r>
    </w:p>
    <w:p>
      <w:pPr>
        <w:spacing w:after="200"/>
      </w:pPr>
      <w:r>
        <w:rPr>
          <w:i/>
          <w:color w:val="555555"/>
        </w:rPr>
        <w:t>Data Analysis written report | Module 1 Review</w:t>
      </w:r>
    </w:p>
    <w:p>
      <w:pPr>
        <w:pStyle w:val="Heading1"/>
        <w:spacing w:before="320" w:after="160"/>
      </w:pPr>
      <w:r>
        <w:rPr>
          <w:rFonts w:ascii="Calibri" w:hAnsi="Calibri"/>
          <w:color w:val="2E74B5"/>
          <w:sz w:val="32"/>
        </w:rPr>
        <w:t>Overview</w:t>
      </w:r>
    </w:p>
    <w:p>
      <w:pPr>
        <w:spacing w:after="120" w:line="264" w:lineRule="auto"/>
      </w:pPr>
      <w:r>
        <w:t>This report compares two Salk vaccine field trial designs: the NFIP study and the later randomized controlled double-blind experiment. The main lesson is that a lower polio rate among vaccinated children is suggestive, but the reliability of the estimate depends strongly on the experimental design. Randomization, placebo control, and blinding are important because they make the treatment and control groups comparable except for the vaccine itself.</w:t>
      </w:r>
    </w:p>
    <w:p>
      <w:pPr>
        <w:pStyle w:val="Heading1"/>
        <w:spacing w:before="320" w:after="160"/>
      </w:pPr>
      <w:r>
        <w:rPr>
          <w:rFonts w:ascii="Calibri" w:hAnsi="Calibri"/>
          <w:color w:val="2E74B5"/>
          <w:sz w:val="32"/>
        </w:rPr>
        <w:t>1. Proposed Randomized Controlled Double-Blind Experiment</w:t>
      </w:r>
    </w:p>
    <w:p>
      <w:pPr>
        <w:spacing w:after="120" w:line="264" w:lineRule="auto"/>
      </w:pPr>
      <w:r>
        <w:t>I would first recruit eligible children and obtain parental consent before assigning any treatment. Among consenting children, I would randomly assign each child to either the vaccine group or the control group. The control group should receive a placebo, such as a salt injection, so that both groups experience the same procedure except for the active vaccine. The assignment should be concealed from children, parents, doctors, nurses, and outcome evaluators. Each child should be followed for the same period of time, and polio cases should be diagnosed using the same criteria in both groups. At the end, compare the polio rate in the vaccine group with the polio rate in the placebo group.</w:t>
      </w:r>
    </w:p>
    <w:p>
      <w:pPr>
        <w:pStyle w:val="Heading1"/>
        <w:spacing w:before="320" w:after="160"/>
      </w:pPr>
      <w:r>
        <w:rPr>
          <w:rFonts w:ascii="Calibri" w:hAnsi="Calibri"/>
          <w:color w:val="2E74B5"/>
          <w:sz w:val="32"/>
        </w:rPr>
        <w:t>2. Estimates of Vaccine Effectiveness</w:t>
      </w:r>
    </w:p>
    <w:p>
      <w:pPr>
        <w:spacing w:after="120" w:line="264" w:lineRule="auto"/>
      </w:pPr>
      <w:r>
        <w:t>The NFIP study gives two possible comparisons. Comparing Grade 2 vaccinated children with Grade 1 and Grade 3 unvaccinated children gives 25 versus 54 polio cases per 100,000. This suggests a reduction of 29 cases per 100,000, or about a 54% lower observed rate. Comparing Grade 2 vaccinated children with Grade 2 no-consent children gives 25 versus 44 cases per 100,000, about a 43% lower observed rate.</w:t>
      </w:r>
    </w:p>
    <w:p>
      <w:pPr>
        <w:spacing w:after="120" w:line="264" w:lineRule="auto"/>
      </w:pPr>
      <w:r>
        <w:t>The randomized double-blind experiment gives the cleaner estimate: vaccine treatment had 28 cases per 100,000, while the salt-injection control group had 71 cases per 100,000. This is a reduction of 43 cases per 100,000, or about a 61% lower observed rate. Both studies suggest the vaccine is effective, but the randomized double-blind trial is more reliable.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744"/>
            <w:shd w:fill="F2F4F7"/>
            <w:vAlign w:val="center"/>
            <w:tcMar>
              <w:top w:w="80" w:type="dxa"/>
              <w:start w:w="120" w:type="dxa"/>
              <w:bottom w:w="80" w:type="dxa"/>
              <w:end w:w="120" w:type="dxa"/>
            </w:tcMar>
          </w:tcPr>
          <w:p>
            <w:pPr>
              <w:spacing w:after="0"/>
            </w:pPr>
            <w:r/>
            <w:r>
              <w:rPr>
                <w:b/>
                <w:sz w:val="18"/>
              </w:rPr>
              <w:t>Study comparison</w:t>
            </w:r>
          </w:p>
        </w:tc>
        <w:tc>
          <w:tcPr>
            <w:tcW w:type="dxa" w:w="1512"/>
            <w:shd w:fill="F2F4F7"/>
            <w:vAlign w:val="center"/>
            <w:tcMar>
              <w:top w:w="80" w:type="dxa"/>
              <w:start w:w="120" w:type="dxa"/>
              <w:bottom w:w="80" w:type="dxa"/>
              <w:end w:w="120" w:type="dxa"/>
            </w:tcMar>
          </w:tcPr>
          <w:p>
            <w:pPr>
              <w:spacing w:after="0"/>
              <w:jc w:val="center"/>
            </w:pPr>
            <w:r/>
            <w:r>
              <w:rPr>
                <w:b/>
                <w:sz w:val="18"/>
              </w:rPr>
              <w:t>Vaccine or treatment rate</w:t>
            </w:r>
          </w:p>
        </w:tc>
        <w:tc>
          <w:tcPr>
            <w:tcW w:type="dxa" w:w="1512"/>
            <w:shd w:fill="F2F4F7"/>
            <w:vAlign w:val="center"/>
            <w:tcMar>
              <w:top w:w="80" w:type="dxa"/>
              <w:start w:w="120" w:type="dxa"/>
              <w:bottom w:w="80" w:type="dxa"/>
              <w:end w:w="120" w:type="dxa"/>
            </w:tcMar>
          </w:tcPr>
          <w:p>
            <w:pPr>
              <w:spacing w:after="0"/>
              <w:jc w:val="center"/>
            </w:pPr>
            <w:r/>
            <w:r>
              <w:rPr>
                <w:b/>
                <w:sz w:val="18"/>
              </w:rPr>
              <w:t>Comparison rate</w:t>
            </w:r>
          </w:p>
        </w:tc>
        <w:tc>
          <w:tcPr>
            <w:tcW w:type="dxa" w:w="1512"/>
            <w:shd w:fill="F2F4F7"/>
            <w:vAlign w:val="center"/>
            <w:tcMar>
              <w:top w:w="80" w:type="dxa"/>
              <w:start w:w="120" w:type="dxa"/>
              <w:bottom w:w="80" w:type="dxa"/>
              <w:end w:w="120" w:type="dxa"/>
            </w:tcMar>
          </w:tcPr>
          <w:p>
            <w:pPr>
              <w:spacing w:after="0"/>
              <w:jc w:val="center"/>
            </w:pPr>
            <w:r/>
            <w:r>
              <w:rPr>
                <w:b/>
                <w:sz w:val="18"/>
              </w:rPr>
              <w:t>Difference per 100,000</w:t>
            </w:r>
          </w:p>
        </w:tc>
        <w:tc>
          <w:tcPr>
            <w:tcW w:type="dxa" w:w="1512"/>
            <w:shd w:fill="F2F4F7"/>
            <w:vAlign w:val="center"/>
            <w:tcMar>
              <w:top w:w="80" w:type="dxa"/>
              <w:start w:w="120" w:type="dxa"/>
              <w:bottom w:w="80" w:type="dxa"/>
              <w:end w:w="120" w:type="dxa"/>
            </w:tcMar>
          </w:tcPr>
          <w:p>
            <w:pPr>
              <w:spacing w:after="0"/>
              <w:jc w:val="center"/>
            </w:pPr>
            <w:r/>
            <w:r>
              <w:rPr>
                <w:b/>
                <w:sz w:val="18"/>
              </w:rPr>
              <w:t>Approx. rate reduction</w:t>
            </w:r>
          </w:p>
        </w:tc>
      </w:tr>
      <w:tr>
        <w:tc>
          <w:tcPr>
            <w:tcW w:type="dxa" w:w="3744"/>
            <w:vAlign w:val="center"/>
            <w:tcMar>
              <w:top w:w="80" w:type="dxa"/>
              <w:start w:w="120" w:type="dxa"/>
              <w:bottom w:w="80" w:type="dxa"/>
              <w:end w:w="120" w:type="dxa"/>
            </w:tcMar>
          </w:tcPr>
          <w:p>
            <w:pPr>
              <w:spacing w:after="0"/>
            </w:pPr>
            <w:r/>
            <w:r>
              <w:rPr>
                <w:sz w:val="18"/>
              </w:rPr>
              <w:t>NFIP: Grade 2 vaccine vs Grade 1/3 no vaccine</w:t>
            </w:r>
          </w:p>
        </w:tc>
        <w:tc>
          <w:tcPr>
            <w:tcW w:type="dxa" w:w="1512"/>
            <w:vAlign w:val="center"/>
            <w:tcMar>
              <w:top w:w="80" w:type="dxa"/>
              <w:start w:w="120" w:type="dxa"/>
              <w:bottom w:w="80" w:type="dxa"/>
              <w:end w:w="120" w:type="dxa"/>
            </w:tcMar>
          </w:tcPr>
          <w:p>
            <w:pPr>
              <w:spacing w:after="0"/>
              <w:jc w:val="center"/>
            </w:pPr>
            <w:r/>
            <w:r>
              <w:rPr>
                <w:sz w:val="18"/>
              </w:rPr>
              <w:t>25</w:t>
            </w:r>
          </w:p>
        </w:tc>
        <w:tc>
          <w:tcPr>
            <w:tcW w:type="dxa" w:w="1512"/>
            <w:vAlign w:val="center"/>
            <w:tcMar>
              <w:top w:w="80" w:type="dxa"/>
              <w:start w:w="120" w:type="dxa"/>
              <w:bottom w:w="80" w:type="dxa"/>
              <w:end w:w="120" w:type="dxa"/>
            </w:tcMar>
          </w:tcPr>
          <w:p>
            <w:pPr>
              <w:spacing w:after="0"/>
              <w:jc w:val="center"/>
            </w:pPr>
            <w:r/>
            <w:r>
              <w:rPr>
                <w:sz w:val="18"/>
              </w:rPr>
              <w:t>54</w:t>
            </w:r>
          </w:p>
        </w:tc>
        <w:tc>
          <w:tcPr>
            <w:tcW w:type="dxa" w:w="1512"/>
            <w:vAlign w:val="center"/>
            <w:tcMar>
              <w:top w:w="80" w:type="dxa"/>
              <w:start w:w="120" w:type="dxa"/>
              <w:bottom w:w="80" w:type="dxa"/>
              <w:end w:w="120" w:type="dxa"/>
            </w:tcMar>
          </w:tcPr>
          <w:p>
            <w:pPr>
              <w:spacing w:after="0"/>
              <w:jc w:val="center"/>
            </w:pPr>
            <w:r/>
            <w:r>
              <w:rPr>
                <w:sz w:val="18"/>
              </w:rPr>
              <w:t>29</w:t>
            </w:r>
          </w:p>
        </w:tc>
        <w:tc>
          <w:tcPr>
            <w:tcW w:type="dxa" w:w="1512"/>
            <w:vAlign w:val="center"/>
            <w:tcMar>
              <w:top w:w="80" w:type="dxa"/>
              <w:start w:w="120" w:type="dxa"/>
              <w:bottom w:w="80" w:type="dxa"/>
              <w:end w:w="120" w:type="dxa"/>
            </w:tcMar>
          </w:tcPr>
          <w:p>
            <w:pPr>
              <w:spacing w:after="0"/>
              <w:jc w:val="center"/>
            </w:pPr>
            <w:r/>
            <w:r>
              <w:rPr>
                <w:sz w:val="18"/>
              </w:rPr>
              <w:t>54%</w:t>
            </w:r>
          </w:p>
        </w:tc>
      </w:tr>
      <w:tr>
        <w:tc>
          <w:tcPr>
            <w:tcW w:type="dxa" w:w="3744"/>
            <w:vAlign w:val="center"/>
            <w:tcMar>
              <w:top w:w="80" w:type="dxa"/>
              <w:start w:w="120" w:type="dxa"/>
              <w:bottom w:w="80" w:type="dxa"/>
              <w:end w:w="120" w:type="dxa"/>
            </w:tcMar>
          </w:tcPr>
          <w:p>
            <w:pPr>
              <w:spacing w:after="0"/>
            </w:pPr>
            <w:r/>
            <w:r>
              <w:rPr>
                <w:sz w:val="18"/>
              </w:rPr>
              <w:t>NFIP: Grade 2 vaccine vs Grade 2 no consent</w:t>
            </w:r>
          </w:p>
        </w:tc>
        <w:tc>
          <w:tcPr>
            <w:tcW w:type="dxa" w:w="1512"/>
            <w:vAlign w:val="center"/>
            <w:tcMar>
              <w:top w:w="80" w:type="dxa"/>
              <w:start w:w="120" w:type="dxa"/>
              <w:bottom w:w="80" w:type="dxa"/>
              <w:end w:w="120" w:type="dxa"/>
            </w:tcMar>
          </w:tcPr>
          <w:p>
            <w:pPr>
              <w:spacing w:after="0"/>
              <w:jc w:val="center"/>
            </w:pPr>
            <w:r/>
            <w:r>
              <w:rPr>
                <w:sz w:val="18"/>
              </w:rPr>
              <w:t>25</w:t>
            </w:r>
          </w:p>
        </w:tc>
        <w:tc>
          <w:tcPr>
            <w:tcW w:type="dxa" w:w="1512"/>
            <w:vAlign w:val="center"/>
            <w:tcMar>
              <w:top w:w="80" w:type="dxa"/>
              <w:start w:w="120" w:type="dxa"/>
              <w:bottom w:w="80" w:type="dxa"/>
              <w:end w:w="120" w:type="dxa"/>
            </w:tcMar>
          </w:tcPr>
          <w:p>
            <w:pPr>
              <w:spacing w:after="0"/>
              <w:jc w:val="center"/>
            </w:pPr>
            <w:r/>
            <w:r>
              <w:rPr>
                <w:sz w:val="18"/>
              </w:rPr>
              <w:t>44</w:t>
            </w:r>
          </w:p>
        </w:tc>
        <w:tc>
          <w:tcPr>
            <w:tcW w:type="dxa" w:w="1512"/>
            <w:vAlign w:val="center"/>
            <w:tcMar>
              <w:top w:w="80" w:type="dxa"/>
              <w:start w:w="120" w:type="dxa"/>
              <w:bottom w:w="80" w:type="dxa"/>
              <w:end w:w="120" w:type="dxa"/>
            </w:tcMar>
          </w:tcPr>
          <w:p>
            <w:pPr>
              <w:spacing w:after="0"/>
              <w:jc w:val="center"/>
            </w:pPr>
            <w:r/>
            <w:r>
              <w:rPr>
                <w:sz w:val="18"/>
              </w:rPr>
              <w:t>19</w:t>
            </w:r>
          </w:p>
        </w:tc>
        <w:tc>
          <w:tcPr>
            <w:tcW w:type="dxa" w:w="1512"/>
            <w:vAlign w:val="center"/>
            <w:tcMar>
              <w:top w:w="80" w:type="dxa"/>
              <w:start w:w="120" w:type="dxa"/>
              <w:bottom w:w="80" w:type="dxa"/>
              <w:end w:w="120" w:type="dxa"/>
            </w:tcMar>
          </w:tcPr>
          <w:p>
            <w:pPr>
              <w:spacing w:after="0"/>
              <w:jc w:val="center"/>
            </w:pPr>
            <w:r/>
            <w:r>
              <w:rPr>
                <w:sz w:val="18"/>
              </w:rPr>
              <w:t>43%</w:t>
            </w:r>
          </w:p>
        </w:tc>
      </w:tr>
      <w:tr>
        <w:tc>
          <w:tcPr>
            <w:tcW w:type="dxa" w:w="3744"/>
            <w:vAlign w:val="center"/>
            <w:tcMar>
              <w:top w:w="80" w:type="dxa"/>
              <w:start w:w="120" w:type="dxa"/>
              <w:bottom w:w="80" w:type="dxa"/>
              <w:end w:w="120" w:type="dxa"/>
            </w:tcMar>
          </w:tcPr>
          <w:p>
            <w:pPr>
              <w:spacing w:after="0"/>
            </w:pPr>
            <w:r/>
            <w:r>
              <w:rPr>
                <w:sz w:val="18"/>
              </w:rPr>
              <w:t>Randomized trial: vaccine vs salt control</w:t>
            </w:r>
          </w:p>
        </w:tc>
        <w:tc>
          <w:tcPr>
            <w:tcW w:type="dxa" w:w="1512"/>
            <w:vAlign w:val="center"/>
            <w:tcMar>
              <w:top w:w="80" w:type="dxa"/>
              <w:start w:w="120" w:type="dxa"/>
              <w:bottom w:w="80" w:type="dxa"/>
              <w:end w:w="120" w:type="dxa"/>
            </w:tcMar>
          </w:tcPr>
          <w:p>
            <w:pPr>
              <w:spacing w:after="0"/>
              <w:jc w:val="center"/>
            </w:pPr>
            <w:r/>
            <w:r>
              <w:rPr>
                <w:sz w:val="18"/>
              </w:rPr>
              <w:t>28</w:t>
            </w:r>
          </w:p>
        </w:tc>
        <w:tc>
          <w:tcPr>
            <w:tcW w:type="dxa" w:w="1512"/>
            <w:vAlign w:val="center"/>
            <w:tcMar>
              <w:top w:w="80" w:type="dxa"/>
              <w:start w:w="120" w:type="dxa"/>
              <w:bottom w:w="80" w:type="dxa"/>
              <w:end w:w="120" w:type="dxa"/>
            </w:tcMar>
          </w:tcPr>
          <w:p>
            <w:pPr>
              <w:spacing w:after="0"/>
              <w:jc w:val="center"/>
            </w:pPr>
            <w:r/>
            <w:r>
              <w:rPr>
                <w:sz w:val="18"/>
              </w:rPr>
              <w:t>71</w:t>
            </w:r>
          </w:p>
        </w:tc>
        <w:tc>
          <w:tcPr>
            <w:tcW w:type="dxa" w:w="1512"/>
            <w:vAlign w:val="center"/>
            <w:tcMar>
              <w:top w:w="80" w:type="dxa"/>
              <w:start w:w="120" w:type="dxa"/>
              <w:bottom w:w="80" w:type="dxa"/>
              <w:end w:w="120" w:type="dxa"/>
            </w:tcMar>
          </w:tcPr>
          <w:p>
            <w:pPr>
              <w:spacing w:after="0"/>
              <w:jc w:val="center"/>
            </w:pPr>
            <w:r/>
            <w:r>
              <w:rPr>
                <w:sz w:val="18"/>
              </w:rPr>
              <w:t>43</w:t>
            </w:r>
          </w:p>
        </w:tc>
        <w:tc>
          <w:tcPr>
            <w:tcW w:type="dxa" w:w="1512"/>
            <w:vAlign w:val="center"/>
            <w:tcMar>
              <w:top w:w="80" w:type="dxa"/>
              <w:start w:w="120" w:type="dxa"/>
              <w:bottom w:w="80" w:type="dxa"/>
              <w:end w:w="120" w:type="dxa"/>
            </w:tcMar>
          </w:tcPr>
          <w:p>
            <w:pPr>
              <w:spacing w:after="0"/>
              <w:jc w:val="center"/>
            </w:pPr>
            <w:r/>
            <w:r>
              <w:rPr>
                <w:sz w:val="18"/>
              </w:rPr>
              <w:t>61%</w:t>
            </w:r>
          </w:p>
        </w:tc>
      </w:tr>
    </w:tbl>
    <w:p>
      <w:pPr>
        <w:pStyle w:val="Heading1"/>
        <w:spacing w:before="320" w:after="160"/>
      </w:pPr>
      <w:r>
        <w:rPr>
          <w:rFonts w:ascii="Calibri" w:hAnsi="Calibri"/>
          <w:color w:val="2E74B5"/>
          <w:sz w:val="32"/>
        </w:rPr>
        <w:t>3(a). Grade Differences and Reliability of the NFIP Estimate</w:t>
      </w:r>
    </w:p>
    <w:p>
      <w:pPr>
        <w:spacing w:after="120" w:line="264" w:lineRule="auto"/>
      </w:pPr>
      <w:r>
        <w:t>Yes, differences between Grade 2 students and Grade 1 or Grade 3 students could influence the NFIP result. For example, if age affects susceptibility to polio, then Grade 2 students might naturally have a different polio risk even without vaccination. In that case, comparing vaccinated Grade 2 students with unvaccinated Grade 1 and Grade 3 students mixes the vaccine effect with an age or grade effect. A better design would randomize children within the same grade. For example, among consenting Grade 2 students, randomly assign half to vaccine and half to placebo. This keeps grade fixed and prevents age differences from driving the estimate.</w:t>
      </w:r>
    </w:p>
    <w:p>
      <w:pPr>
        <w:pStyle w:val="Heading1"/>
        <w:spacing w:before="320" w:after="160"/>
      </w:pPr>
      <w:r>
        <w:rPr>
          <w:rFonts w:ascii="Calibri" w:hAnsi="Calibri"/>
          <w:color w:val="2E74B5"/>
          <w:sz w:val="32"/>
        </w:rPr>
        <w:t>3(b). Lack of Blinding and Possible Bias</w:t>
      </w:r>
    </w:p>
    <w:p>
      <w:pPr>
        <w:spacing w:after="120" w:line="264" w:lineRule="auto"/>
      </w:pPr>
      <w:r>
        <w:t>Yes, lack of blinding could bias the result. Polio is infectious, and children or parents who know they received the vaccine might behave differently. They may feel safer, attend more group activities, or seek medical attention differently. Doctors who know a child is vaccinated might also diagnose ambiguous symptoms differently. These behavior and measurement differences could change the observed polio rates even if the biological effect of the vaccine were smaller. A double-blind design helps prevent this: children, parents, caregivers, and outcome assessors should not know who received vaccine and who received placebo until after outcomes are recorded.</w:t>
      </w:r>
    </w:p>
    <w:p>
      <w:pPr>
        <w:pStyle w:val="Heading1"/>
        <w:spacing w:before="320" w:after="160"/>
      </w:pPr>
      <w:r>
        <w:rPr>
          <w:rFonts w:ascii="Calibri" w:hAnsi="Calibri"/>
          <w:color w:val="2E74B5"/>
          <w:sz w:val="32"/>
        </w:rPr>
        <w:t>3(c). Separating the Vaccine Effect from the Act of Getting an Injection</w:t>
      </w:r>
    </w:p>
    <w:p>
      <w:pPr>
        <w:spacing w:after="120" w:line="264" w:lineRule="auto"/>
      </w:pPr>
      <w:r>
        <w:t>Even if “getting vaccinated” reduces infection, the active vaccine may not be the only reason. For example, families who bring children for vaccination may be more health-conscious, or the injection visit may involve advice that changes behavior. To isolate the vaccine itself, the control group should receive a placebo injection. Then both groups have the same participation experience, but only one group receives the active vaccine.</w:t>
      </w:r>
    </w:p>
    <w:p>
      <w:pPr>
        <w:pStyle w:val="Heading1"/>
        <w:spacing w:before="320" w:after="160"/>
      </w:pPr>
      <w:r>
        <w:rPr>
          <w:rFonts w:ascii="Calibri" w:hAnsi="Calibri"/>
          <w:color w:val="2E74B5"/>
          <w:sz w:val="32"/>
        </w:rPr>
        <w:t>4. Why No-Consent Groups Had Lower Polio Rates Than Control Groups</w:t>
      </w:r>
    </w:p>
    <w:p>
      <w:pPr>
        <w:spacing w:after="120" w:line="264" w:lineRule="auto"/>
      </w:pPr>
      <w:r>
        <w:t>The no-consent groups were not randomly selected. Parents who refused participation may have differed systematically from parents who consented. For example, no-consent families may have lived in less exposed areas, avoided crowded settings, had different health behaviors, or perceived their children as lower risk. Because refusal is a choice, the no-consent group can have a different baseline risk. Therefore its lower polio rate does not mean refusal protected children; it mainly shows selection bias.</w:t>
      </w:r>
    </w:p>
    <w:p>
      <w:pPr>
        <w:pStyle w:val="Heading1"/>
        <w:spacing w:before="320" w:after="160"/>
      </w:pPr>
      <w:r>
        <w:rPr>
          <w:rFonts w:ascii="Calibri" w:hAnsi="Calibri"/>
          <w:color w:val="2E74B5"/>
          <w:sz w:val="32"/>
        </w:rPr>
        <w:t>5. Were Parents Correct to Refuse Participation the Next Year?</w:t>
      </w:r>
    </w:p>
    <w:p>
      <w:pPr>
        <w:spacing w:after="120" w:line="264" w:lineRule="auto"/>
      </w:pPr>
      <w:r>
        <w:t>Their conclusion was not correct. In the randomized trial, the consenting children had an average polio rate of about 49 per 100,000 because this combines the vaccine group and the salt-control group. But consent itself was not the cause of higher risk. Among consenting children, randomization produced a vaccine group with 28 cases per 100,000 and a control group with 71 cases per 100,000. The relevant question for a future participant is whether the trial offers possible vaccine protection and whether assignment is fair, not whether the earlier no-consent group happened to have a slightly lower rate.</w:t>
      </w:r>
    </w:p>
    <w:p>
      <w:pPr>
        <w:spacing w:after="120" w:line="264" w:lineRule="auto"/>
      </w:pPr>
      <w:r>
        <w:t>If many parents refuse in the next year, the trial becomes less reliable and less useful. The sample size falls, the consenting group may become less representative, and the estimate of vaccine effectiveness may become biased or less precise. Widespread refusal could delay learning whether the vaccine works and could slow public health action.</w:t>
      </w:r>
    </w:p>
    <w:p>
      <w:pPr>
        <w:pStyle w:val="Heading1"/>
        <w:spacing w:before="320" w:after="160"/>
      </w:pPr>
      <w:r>
        <w:rPr>
          <w:rFonts w:ascii="Calibri" w:hAnsi="Calibri"/>
          <w:color w:val="2E74B5"/>
          <w:sz w:val="32"/>
        </w:rPr>
        <w:t>Conclusion</w:t>
      </w:r>
    </w:p>
    <w:p>
      <w:pPr>
        <w:spacing w:after="120" w:line="264" w:lineRule="auto"/>
      </w:pPr>
      <w:r>
        <w:t>The Salk vaccine data illustrate why experimental design matters. The NFIP study suggested that the vaccine worked, but its comparisons were vulnerable to grade differences, consent bias, and lack of blinding. The randomized controlled double-blind experiment was stronger because it compared similar consenting children who differed only by random assignment to vaccine or placebo. Its 28 versus 71 cases per 100,000 comparison gives the most credible evidence that the vaccine was effective.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