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Times New Roman" w:hAnsi="Times New Roman"/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МЕХАНИКИ И ОПТИКИ»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Факультет инфокоммуникационных технологий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rPr>
          <w:rFonts w:ascii="Times New Roman" w:cs="Times New Roman" w:hAnsi="Times New Roman" w:eastAsia="Times New Roman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2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«Построение диаграмм потоков данных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информационной системы»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по дисциплине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«Проектирование инфокоммуникационных систем»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Выполнил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Ершов И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А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группа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K4110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с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before="240"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− ознакомиться с методологией построения диаграмм потоков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Концепция</w:t>
      </w:r>
    </w:p>
    <w:p>
      <w:pPr>
        <w:pStyle w:val="Normal.0"/>
        <w:rPr>
          <w:rFonts w:ascii="Times New Roman" w:cs="Times New Roman" w:hAnsi="Times New Roman" w:eastAsia="Times New Roman"/>
          <w:sz w:val="27"/>
          <w:szCs w:val="27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Диаграммы потоков данных позволяют дополнить функциональную модель на основе методологии </w:t>
      </w:r>
      <w:r>
        <w:rPr>
          <w:rFonts w:ascii="Times New Roman" w:hAnsi="Times New Roman"/>
          <w:sz w:val="27"/>
          <w:szCs w:val="27"/>
          <w:rtl w:val="0"/>
          <w:lang w:val="ru-RU"/>
        </w:rPr>
        <w:t>IDEF0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Ниже приведены диаграммы описывающие процессы происходящие с данными рассматриваемой системы</w:t>
      </w:r>
      <w:r>
        <w:rPr>
          <w:rFonts w:ascii="Times New Roman" w:hAnsi="Times New Roman"/>
          <w:sz w:val="27"/>
          <w:szCs w:val="27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Манипуляция пользователя с объявлениями в роли продавца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На данной диаграмме потоков данных описан процесс обработки действий пользователя приводящий к изменениям в базе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Находясь в приложении у пользователя должна быть возможность совершать манипуляции с интерфейсом для изменения существующих объявлений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ему принадлежат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Совершая добавление нового объявления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редактирование или удаление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совершает действия инициирущие добавление записей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их модификацию или удаление из БД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7"/>
          <w:szCs w:val="27"/>
        </w:rPr>
      </w:pPr>
      <w:r>
        <w:rPr>
          <w:rFonts w:ascii="Times New Roman" w:cs="Times New Roman" w:hAnsi="Times New Roman" w:eastAsia="Times New Roman"/>
          <w:sz w:val="27"/>
          <w:szCs w:val="27"/>
        </w:rPr>
        <w:drawing>
          <wp:inline distT="0" distB="0" distL="0" distR="0">
            <wp:extent cx="6477091" cy="395024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9-12 в 13.13.4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1" cy="3950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процесса редактирования объявления была проведена декомпозиция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редактировании данных объявления пользователю должна быть предоставлена информация об уже существующей записи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возможность редактирования отдельных её полей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Выбирая действие редактирования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попадает на экран с отображением информации объявления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расположенной в редактируемых полях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диаграмме ниже описан процесс работы с данными при их редактировании пользователем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477090" cy="315366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9-12 в 13.51.4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3153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Манипуляция пользователя с объявлениями в роли покупателя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Пользователь должен иметь возможность задавать поисковые запросы по определённым параметрам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Получив отображённый список объявлений по желаемым параметрам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может выполнить ряд действий по отношению к конкретному объявлению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бронирование или покупка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 диаграмме описан процесс взаимодействия пользователя с данными об объявлениях предоставляемые посредством интереса мобильного 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1" cy="286025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9-12 в 13.54.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1" cy="28602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процесса покупки тура была проведена декомпозиция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просмотре конкретного объявления пользователь должен иметь возможность совершать покупку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ему необходимо предоставить платёжную информацию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обязательную для совершения платежа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успешной валидации введённых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ресурсов банка совершается транзакция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Результатом является внесение информации о покупке в БД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477091" cy="263696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9-12 в 14.03.1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1" cy="2636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</w:pPr>
      <w:r>
        <w:rPr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Диаграммы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DFD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позволяют описывать процессы происходящие с потоками данных внутри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Данная методология гармонично дополняет диаграммы построенные на основе нотации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IDEF0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приводит к более информативному пониманию и описанию систему в целом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8"/>
      <w:footerReference w:type="default" r:id="rId9"/>
      <w:pgSz w:w="11900" w:h="16840" w:orient="portrait"/>
      <w:pgMar w:top="1133" w:right="566" w:bottom="1133" w:left="113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