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23D"/>
          <w:sz w:val="44"/>
        </w:rPr>
        <w:t>Field Observation Follow-up Note</w:t>
      </w:r>
    </w:p>
    <w:p>
      <w:pPr>
        <w:spacing w:after="280"/>
      </w:pPr>
      <w:r>
        <w:rPr>
          <w:rFonts w:ascii="Calibri" w:hAnsi="Calibri"/>
          <w:b w:val="0"/>
          <w:color w:val="526A75"/>
          <w:sz w:val="20"/>
        </w:rPr>
        <w:t>De-identified test fixture | Harbor Community Day Center | 2026-08-18</w:t>
      </w:r>
    </w:p>
    <w:p>
      <w:pPr>
        <w:pStyle w:val="Heading1"/>
      </w:pPr>
      <w:r>
        <w:t>Observed signal</w:t>
      </w:r>
    </w:p>
    <w:p>
      <w:r>
        <w:t>Across three afternoon activity sessions, staff recorded shorter periods of sustained attention, more requests to leave early, and lower participation during repeated worksheet-based activities. The same participants remained engaged longer during live music and small-group storytelling.</w:t>
      </w:r>
    </w:p>
    <w:p>
      <w:pPr>
        <w:pStyle w:val="Heading1"/>
      </w:pPr>
      <w:r>
        <w:t>Psychological concern to explore</w:t>
      </w:r>
    </w:p>
    <w:p>
      <w:r>
        <w:t>The pattern may indicate reduced engagement and a need for stronger social connection. Two residents also initiated repeated conversations about having fewer family visits. These observations support a loneliness-related concern for follow-up, but they do not establish a diagnosis.</w:t>
      </w:r>
    </w:p>
    <w:p>
      <w:pPr>
        <w:pStyle w:val="Heading1"/>
      </w:pPr>
      <w:r>
        <w:t>Uncertainty</w:t>
      </w:r>
    </w:p>
    <w:p>
      <w:r>
        <w:t>The current evidence cannot distinguish activity repetition, session length, fatigue, hearing access, or a sustained cognitive or emotional change. Baseline attention, activity duration, and response after changing the format were not recorded consistently.</w:t>
      </w:r>
    </w:p>
    <w:p>
      <w:pPr>
        <w:pStyle w:val="Heading1"/>
      </w:pPr>
      <w:r>
        <w:t>Next collection prompts</w:t>
      </w:r>
    </w:p>
    <w:p>
      <w:r>
        <w:t>At the next visit, record the activity type, the approximate time when attention changes, whether the pattern repeats for the same person, and whether engagement improves after switching to a social or movement-based format. Ask a neutral follow-up about desired companionship and preferred contact.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26A75"/>
        <w:sz w:val="16"/>
      </w:rPr>
      <w:t>CNPAF Community | Synthetic, de-identified QA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32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36E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36EB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