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792F85">
      <w:pPr>
        <w:pStyle w:val="papertitle"/>
        <w:rPr>
          <w:rFonts w:eastAsia="MS Mincho"/>
        </w:rPr>
      </w:pPr>
      <w:r>
        <w:rPr>
          <w:rFonts w:eastAsia="MS Mincho"/>
        </w:rPr>
        <w:t>Memetic algorithms applied to clustering</w:t>
      </w:r>
    </w:p>
    <w:p w:rsidR="008A55B5" w:rsidRDefault="00792F85">
      <w:pPr>
        <w:pStyle w:val="papersubtitle"/>
        <w:rPr>
          <w:rFonts w:eastAsia="MS Mincho"/>
        </w:rPr>
      </w:pPr>
      <w:r>
        <w:rPr>
          <w:rFonts w:eastAsia="MS Mincho"/>
        </w:rPr>
        <w:t>CI final project</w:t>
      </w:r>
      <w:r w:rsidR="008A55B5">
        <w:rPr>
          <w:rFonts w:eastAsia="MS Mincho"/>
        </w:rPr>
        <w:t xml:space="preserve"> </w:t>
      </w:r>
      <w:r>
        <w:rPr>
          <w:rFonts w:eastAsia="MS Mincho"/>
          <w:b/>
          <w:bCs w:val="0"/>
          <w:i/>
          <w:iCs/>
        </w:rPr>
        <w:t>(January 2014</w:t>
      </w:r>
      <w:r w:rsidR="008A55B5">
        <w:rPr>
          <w:rFonts w:eastAsia="MS Mincho"/>
          <w:b/>
          <w:bCs w:val="0"/>
          <w:i/>
          <w:iCs/>
        </w:rPr>
        <w:t>)</w:t>
      </w:r>
    </w:p>
    <w:p w:rsidR="008A55B5" w:rsidRDefault="008A55B5">
      <w:pPr>
        <w:rPr>
          <w:rFonts w:eastAsia="MS Mincho"/>
        </w:rPr>
      </w:pPr>
    </w:p>
    <w:p w:rsidR="008A55B5" w:rsidRDefault="008A55B5">
      <w:pPr>
        <w:pStyle w:val="Author"/>
        <w:rPr>
          <w:rFonts w:eastAsia="MS Mincho"/>
        </w:rPr>
        <w:sectPr w:rsidR="008A55B5" w:rsidSect="00D93DD8">
          <w:pgSz w:w="11909" w:h="16834" w:code="9"/>
          <w:pgMar w:top="1080" w:right="734" w:bottom="2434" w:left="734" w:header="720" w:footer="720" w:gutter="0"/>
          <w:cols w:space="720"/>
          <w:docGrid w:linePitch="360"/>
        </w:sectPr>
      </w:pPr>
    </w:p>
    <w:p w:rsidR="00792F85" w:rsidRPr="00792F85" w:rsidRDefault="00792F85" w:rsidP="00792F85">
      <w:pPr>
        <w:pStyle w:val="Author"/>
        <w:ind w:left="720" w:firstLine="720"/>
        <w:jc w:val="both"/>
        <w:rPr>
          <w:rFonts w:eastAsia="MS Mincho"/>
          <w:lang w:val="es-ES"/>
        </w:rPr>
      </w:pPr>
      <w:r w:rsidRPr="00792F85">
        <w:rPr>
          <w:rFonts w:eastAsia="MS Mincho"/>
          <w:lang w:val="es-ES"/>
        </w:rPr>
        <w:lastRenderedPageBreak/>
        <w:t>José A. Magaña Mesa</w:t>
      </w:r>
      <w:r>
        <w:rPr>
          <w:rFonts w:eastAsia="MS Mincho"/>
          <w:lang w:val="es-ES"/>
        </w:rPr>
        <w:tab/>
      </w:r>
      <w:r>
        <w:rPr>
          <w:rFonts w:eastAsia="MS Mincho"/>
          <w:lang w:val="es-ES"/>
        </w:rPr>
        <w:tab/>
      </w:r>
      <w:r>
        <w:rPr>
          <w:rFonts w:eastAsia="MS Mincho"/>
          <w:lang w:val="es-ES"/>
        </w:rPr>
        <w:tab/>
      </w:r>
      <w:r>
        <w:rPr>
          <w:rFonts w:eastAsia="MS Mincho"/>
          <w:lang w:val="es-ES"/>
        </w:rPr>
        <w:tab/>
      </w:r>
      <w:hyperlink r:id="rId6" w:history="1">
        <w:r w:rsidRPr="00792F85">
          <w:rPr>
            <w:rStyle w:val="Hyperlink"/>
            <w:rFonts w:eastAsia="MS Mincho"/>
            <w:lang w:val="es-ES"/>
          </w:rPr>
          <w:t>jose_a_magana@hotmail.com</w:t>
        </w:r>
      </w:hyperlink>
    </w:p>
    <w:p w:rsidR="008A55B5" w:rsidRPr="00792F85" w:rsidRDefault="008A55B5">
      <w:pPr>
        <w:pStyle w:val="Affiliation"/>
        <w:rPr>
          <w:rFonts w:eastAsia="MS Mincho"/>
          <w:lang w:val="es-ES"/>
        </w:rPr>
      </w:pPr>
    </w:p>
    <w:p w:rsidR="008A55B5" w:rsidRPr="00792F85" w:rsidRDefault="008A55B5">
      <w:pPr>
        <w:rPr>
          <w:rFonts w:eastAsia="MS Mincho"/>
          <w:lang w:val="es-ES"/>
        </w:rPr>
      </w:pPr>
    </w:p>
    <w:p w:rsidR="008A55B5" w:rsidRPr="00792F85" w:rsidRDefault="008A55B5">
      <w:pPr>
        <w:rPr>
          <w:rFonts w:eastAsia="MS Mincho"/>
          <w:lang w:val="es-ES"/>
        </w:rPr>
        <w:sectPr w:rsidR="008A55B5" w:rsidRPr="00792F85" w:rsidSect="00D93DD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206F94" w:rsidRDefault="00206F94" w:rsidP="00753F7B">
      <w:pPr>
        <w:pStyle w:val="BodyText"/>
      </w:pPr>
    </w:p>
    <w:p w:rsidR="00206F94" w:rsidRDefault="00206F94" w:rsidP="00753F7B">
      <w:pPr>
        <w:pStyle w:val="BodyText"/>
      </w:pPr>
      <w:r>
        <w:rPr>
          <w:noProof/>
        </w:rPr>
        <w:drawing>
          <wp:inline distT="0" distB="0" distL="0" distR="0">
            <wp:extent cx="6630035" cy="286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39DB.tmp"/>
                    <pic:cNvPicPr/>
                  </pic:nvPicPr>
                  <pic:blipFill>
                    <a:blip r:embed="rId7">
                      <a:extLst>
                        <a:ext uri="{28A0092B-C50C-407E-A947-70E740481C1C}">
                          <a14:useLocalDpi xmlns:a14="http://schemas.microsoft.com/office/drawing/2010/main" val="0"/>
                        </a:ext>
                      </a:extLst>
                    </a:blip>
                    <a:stretch>
                      <a:fillRect/>
                    </a:stretch>
                  </pic:blipFill>
                  <pic:spPr>
                    <a:xfrm>
                      <a:off x="0" y="0"/>
                      <a:ext cx="6630035" cy="2866390"/>
                    </a:xfrm>
                    <a:prstGeom prst="rect">
                      <a:avLst/>
                    </a:prstGeom>
                  </pic:spPr>
                </pic:pic>
              </a:graphicData>
            </a:graphic>
          </wp:inline>
        </w:drawing>
      </w:r>
    </w:p>
    <w:p w:rsidR="00206F94" w:rsidRDefault="00946040" w:rsidP="00753F7B">
      <w:pPr>
        <w:pStyle w:val="BodyText"/>
      </w:pPr>
      <w:bookmarkStart w:id="0" w:name="_GoBack"/>
      <w:r>
        <w:rPr>
          <w:noProof/>
        </w:rPr>
        <w:lastRenderedPageBreak/>
        <w:drawing>
          <wp:inline distT="0" distB="0" distL="0" distR="0">
            <wp:extent cx="5670550" cy="379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790950"/>
                    </a:xfrm>
                    <a:prstGeom prst="rect">
                      <a:avLst/>
                    </a:prstGeom>
                    <a:noFill/>
                    <a:ln>
                      <a:noFill/>
                    </a:ln>
                  </pic:spPr>
                </pic:pic>
              </a:graphicData>
            </a:graphic>
          </wp:inline>
        </w:drawing>
      </w:r>
      <w:bookmarkEnd w:id="0"/>
    </w:p>
    <w:p w:rsidR="00206F94" w:rsidRDefault="00206F94" w:rsidP="00753F7B">
      <w:pPr>
        <w:pStyle w:val="BodyText"/>
      </w:pPr>
      <w:r>
        <w:rPr>
          <w:noProof/>
        </w:rPr>
        <w:drawing>
          <wp:inline distT="0" distB="0" distL="0" distR="0">
            <wp:extent cx="552527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6C0E.tmp"/>
                    <pic:cNvPicPr/>
                  </pic:nvPicPr>
                  <pic:blipFill>
                    <a:blip r:embed="rId9">
                      <a:extLst>
                        <a:ext uri="{28A0092B-C50C-407E-A947-70E740481C1C}">
                          <a14:useLocalDpi xmlns:a14="http://schemas.microsoft.com/office/drawing/2010/main" val="0"/>
                        </a:ext>
                      </a:extLst>
                    </a:blip>
                    <a:stretch>
                      <a:fillRect/>
                    </a:stretch>
                  </pic:blipFill>
                  <pic:spPr>
                    <a:xfrm>
                      <a:off x="0" y="0"/>
                      <a:ext cx="5525272" cy="2162477"/>
                    </a:xfrm>
                    <a:prstGeom prst="rect">
                      <a:avLst/>
                    </a:prstGeom>
                  </pic:spPr>
                </pic:pic>
              </a:graphicData>
            </a:graphic>
          </wp:inline>
        </w:drawing>
      </w:r>
    </w:p>
    <w:p w:rsidR="00206F94" w:rsidRDefault="00206F94" w:rsidP="00753F7B">
      <w:pPr>
        <w:pStyle w:val="BodyText"/>
      </w:pPr>
    </w:p>
    <w:p w:rsidR="008A55B5" w:rsidRDefault="008A55B5">
      <w:pPr>
        <w:pStyle w:val="Heading1"/>
        <w:rPr>
          <w:rFonts w:eastAsia="MS Mincho"/>
        </w:rPr>
      </w:pPr>
      <w:r>
        <w:rPr>
          <w:rFonts w:eastAsia="MS Mincho"/>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Default="008A55B5">
      <w:pPr>
        <w:pStyle w:val="Heading1"/>
        <w:rPr>
          <w:rFonts w:eastAsia="MS Mincho"/>
        </w:rPr>
      </w:pPr>
      <w:r>
        <w:rPr>
          <w:rFonts w:eastAsia="MS Mincho"/>
        </w:rPr>
        <w:t>Prepare Your Paper Before Styling</w:t>
      </w:r>
    </w:p>
    <w:p w:rsidR="008A55B5" w:rsidRDefault="008A55B5" w:rsidP="00753F7B">
      <w:pPr>
        <w:pStyle w:val="BodyText"/>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w:t>
      </w:r>
      <w:r>
        <w:lastRenderedPageBreak/>
        <w:t xml:space="preserve">the end of a paragraph. Do not add any kind of pagination anywhere in the paper. Do not number text heads-the template will do that for </w:t>
      </w:r>
      <w:proofErr w:type="gramStart"/>
      <w:r>
        <w:t>you.</w:t>
      </w:r>
      <w:proofErr w:type="gramEnd"/>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lastRenderedPageBreak/>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7919DE">
      <w:pPr>
        <w:pStyle w:val="Heading1"/>
        <w:spacing w:before="120"/>
        <w:rPr>
          <w:rFonts w:eastAsia="MS Mincho"/>
        </w:rPr>
      </w:pPr>
      <w:r>
        <w:rPr>
          <w:rFonts w:eastAsia="MS Mincho"/>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lastRenderedPageBreak/>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D93DD8">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rsidP="00065E89">
      <w:pPr>
        <w:pStyle w:val="references"/>
        <w:numPr>
          <w:ilvl w:val="0"/>
          <w:numId w:val="0"/>
        </w:numPr>
        <w:ind w:left="360" w:hanging="360"/>
        <w:rPr>
          <w:rFonts w:eastAsia="MS Mincho"/>
        </w:rPr>
      </w:pPr>
    </w:p>
    <w:p w:rsidR="00065E89" w:rsidRDefault="00065E89" w:rsidP="00065E89">
      <w:pPr>
        <w:pStyle w:val="references"/>
        <w:numPr>
          <w:ilvl w:val="0"/>
          <w:numId w:val="0"/>
        </w:numPr>
        <w:ind w:left="360" w:hanging="360"/>
        <w:rPr>
          <w:rFonts w:eastAsia="MS Mincho"/>
        </w:rPr>
      </w:pPr>
      <w:r>
        <w:rPr>
          <w:rFonts w:eastAsia="MS Mincho"/>
        </w:rPr>
        <w:t>Dolphins</w:t>
      </w:r>
    </w:p>
    <w:p w:rsidR="00E64275" w:rsidRDefault="00065E89" w:rsidP="00E64275">
      <w:pPr>
        <w:pStyle w:val="Heading2"/>
      </w:pPr>
      <w:r>
        <w:t>Lusseau, K. Schneider, O. J. Boisseau, P. Haase, E. Slooten, and S. M. Dawson, Behavioral Ecology and Sociobiology</w:t>
      </w:r>
    </w:p>
    <w:p w:rsidR="00065E89" w:rsidRDefault="00065E89" w:rsidP="00065E89">
      <w:pPr>
        <w:pStyle w:val="references"/>
        <w:numPr>
          <w:ilvl w:val="0"/>
          <w:numId w:val="0"/>
        </w:numPr>
        <w:ind w:left="360" w:hanging="360"/>
        <w:rPr>
          <w:rFonts w:ascii="Arial" w:hAnsi="Arial" w:cs="Arial"/>
          <w:color w:val="112A6D"/>
          <w:sz w:val="20"/>
          <w:szCs w:val="20"/>
        </w:rPr>
      </w:pPr>
      <w:r>
        <w:rPr>
          <w:rFonts w:ascii="Arial" w:hAnsi="Arial" w:cs="Arial"/>
          <w:color w:val="112A6D"/>
          <w:sz w:val="20"/>
          <w:szCs w:val="20"/>
        </w:rPr>
        <w:t xml:space="preserve"> 54, 396-405 (2003).</w:t>
      </w:r>
    </w:p>
    <w:p w:rsidR="00E64275" w:rsidRDefault="00E64275" w:rsidP="00065E89">
      <w:pPr>
        <w:pStyle w:val="references"/>
        <w:numPr>
          <w:ilvl w:val="0"/>
          <w:numId w:val="0"/>
        </w:numPr>
        <w:ind w:left="360" w:hanging="360"/>
        <w:rPr>
          <w:rFonts w:ascii="Arial" w:hAnsi="Arial" w:cs="Arial"/>
          <w:color w:val="112A6D"/>
          <w:sz w:val="20"/>
          <w:szCs w:val="20"/>
        </w:rPr>
      </w:pPr>
      <w:r>
        <w:rPr>
          <w:rFonts w:ascii="Arial" w:hAnsi="Arial" w:cs="Arial"/>
          <w:color w:val="112A6D"/>
          <w:sz w:val="20"/>
          <w:szCs w:val="20"/>
        </w:rPr>
        <w:t>Dolphins GT</w:t>
      </w:r>
    </w:p>
    <w:p w:rsidR="001121C1" w:rsidRDefault="00D1478D" w:rsidP="00065E89">
      <w:pPr>
        <w:pStyle w:val="references"/>
        <w:numPr>
          <w:ilvl w:val="0"/>
          <w:numId w:val="0"/>
        </w:numPr>
        <w:ind w:left="360" w:hanging="360"/>
        <w:rPr>
          <w:rFonts w:ascii="Arial" w:hAnsi="Arial" w:cs="Arial"/>
          <w:color w:val="112A6D"/>
          <w:sz w:val="20"/>
          <w:szCs w:val="20"/>
        </w:rPr>
      </w:pPr>
      <w:hyperlink r:id="rId10" w:history="1">
        <w:r w:rsidR="001121C1">
          <w:rPr>
            <w:rStyle w:val="Hyperlink"/>
          </w:rPr>
          <w:t>http://www.ncbi.nlm.nih.gov/pmc/articles/PMC3825126/</w:t>
        </w:r>
      </w:hyperlink>
    </w:p>
    <w:p w:rsidR="00E64275" w:rsidRDefault="00D1478D" w:rsidP="00065E89">
      <w:pPr>
        <w:pStyle w:val="references"/>
        <w:numPr>
          <w:ilvl w:val="0"/>
          <w:numId w:val="0"/>
        </w:numPr>
        <w:ind w:left="360" w:hanging="360"/>
        <w:rPr>
          <w:rFonts w:eastAsia="MS Mincho"/>
        </w:rPr>
        <w:sectPr w:rsidR="00E64275" w:rsidSect="00D93DD8">
          <w:type w:val="continuous"/>
          <w:pgSz w:w="11909" w:h="16834" w:code="9"/>
          <w:pgMar w:top="1080" w:right="734" w:bottom="2434" w:left="734" w:header="720" w:footer="720" w:gutter="0"/>
          <w:cols w:space="360"/>
          <w:docGrid w:linePitch="360"/>
        </w:sectPr>
      </w:pPr>
      <w:hyperlink r:id="rId11" w:history="1">
        <w:r w:rsidR="00E64275">
          <w:rPr>
            <w:rStyle w:val="Hyperlink"/>
          </w:rPr>
          <w:t>http://www.ncbi.nlm.nih.gov/pmc/articles/PMC3825126/figure/fig4/</w:t>
        </w:r>
      </w:hyperlink>
    </w:p>
    <w:p w:rsidR="008A55B5" w:rsidRDefault="008A55B5" w:rsidP="00276735">
      <w:pPr>
        <w:jc w:val="both"/>
      </w:pPr>
    </w:p>
    <w:sectPr w:rsidR="008A55B5" w:rsidSect="00D93DD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65E89"/>
    <w:rsid w:val="000B4641"/>
    <w:rsid w:val="0010711E"/>
    <w:rsid w:val="001121C1"/>
    <w:rsid w:val="00127EDD"/>
    <w:rsid w:val="00206F94"/>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7C5A"/>
    <w:rsid w:val="007919DE"/>
    <w:rsid w:val="00792F85"/>
    <w:rsid w:val="007C0308"/>
    <w:rsid w:val="008014D2"/>
    <w:rsid w:val="008054BC"/>
    <w:rsid w:val="0088117D"/>
    <w:rsid w:val="008A55B5"/>
    <w:rsid w:val="008A75C8"/>
    <w:rsid w:val="00946040"/>
    <w:rsid w:val="0097508D"/>
    <w:rsid w:val="00A510F7"/>
    <w:rsid w:val="00AC6519"/>
    <w:rsid w:val="00CB66E6"/>
    <w:rsid w:val="00D1478D"/>
    <w:rsid w:val="00D9156D"/>
    <w:rsid w:val="00D93DD8"/>
    <w:rsid w:val="00E64275"/>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e_a_magana@hotmail.com" TargetMode="External"/><Relationship Id="rId11" Type="http://schemas.openxmlformats.org/officeDocument/2006/relationships/hyperlink" Target="http://www.ncbi.nlm.nih.gov/pmc/articles/PMC3825126/figure/fig4/" TargetMode="External"/><Relationship Id="rId5" Type="http://schemas.openxmlformats.org/officeDocument/2006/relationships/webSettings" Target="webSettings.xml"/><Relationship Id="rId10" Type="http://schemas.openxmlformats.org/officeDocument/2006/relationships/hyperlink" Target="http://www.ncbi.nlm.nih.gov/pmc/articles/PMC3825126/" TargetMode="External"/><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Jose Antonio Magaña Mesa</cp:lastModifiedBy>
  <cp:revision>7</cp:revision>
  <dcterms:created xsi:type="dcterms:W3CDTF">2014-01-03T20:01:00Z</dcterms:created>
  <dcterms:modified xsi:type="dcterms:W3CDTF">2014-01-07T10:30:00Z</dcterms:modified>
</cp:coreProperties>
</file>