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line="480"/>
        <w:jc w:val="center"/>
      </w:pPr>
      <w:r>
        <w:rPr>
          <w:rFonts w:ascii="Times New Roman" w:cs="Times New Roman" w:eastAsia="Times New Roman" w:hAnsi="Times New Roman"/>
          <w:b/>
          <w:bCs/>
          <w:sz w:val="36"/>
          <w:szCs w:val="36"/>
        </w:rPr>
        <w:t xml:space="preserve">Detecting Chain-of-Thought Poisoning</w:t>
      </w:r>
    </w:p>
    <w:p>
      <w:pPr>
        <w:spacing w:after="200" w:line="480"/>
        <w:jc w:val="center"/>
      </w:pPr>
      <w:r>
        <w:rPr>
          <w:rFonts w:ascii="Times New Roman" w:cs="Times New Roman" w:eastAsia="Times New Roman" w:hAnsi="Times New Roman"/>
          <w:b/>
          <w:bCs/>
          <w:sz w:val="36"/>
          <w:szCs w:val="36"/>
        </w:rPr>
        <w:t xml:space="preserve">in Enterprise LLM Applications</w:t>
      </w:r>
    </w:p>
    <w:p>
      <w:pPr>
        <w:spacing w:after="100" w:line="480"/>
        <w:jc w:val="center"/>
      </w:pPr>
      <w:r>
        <w:rPr>
          <w:rFonts w:ascii="Times New Roman" w:cs="Times New Roman" w:eastAsia="Times New Roman" w:hAnsi="Times New Roman"/>
          <w:sz w:val="24"/>
          <w:szCs w:val="24"/>
        </w:rPr>
        <w:t xml:space="preserve">A Defense-in-Depth Approach for SOC Security Triage</w:t>
      </w:r>
    </w:p>
    <w:p>
      <w:pPr>
        <w:spacing w:before="1200"/>
      </w:pPr>
    </w:p>
    <w:p>
      <w:pPr>
        <w:spacing w:line="480"/>
        <w:jc w:val="center"/>
      </w:pPr>
      <w:r>
        <w:rPr>
          <w:rFonts w:ascii="Times New Roman" w:cs="Times New Roman" w:eastAsia="Times New Roman" w:hAnsi="Times New Roman"/>
          <w:sz w:val="24"/>
          <w:szCs w:val="24"/>
        </w:rPr>
        <w:t xml:space="preserve">Tendai Nemure</w:t>
      </w:r>
    </w:p>
    <w:p>
      <w:pPr>
        <w:spacing w:line="480"/>
        <w:jc w:val="center"/>
      </w:pPr>
      <w:r>
        <w:rPr>
          <w:rFonts w:ascii="Times New Roman" w:cs="Times New Roman" w:eastAsia="Times New Roman" w:hAnsi="Times New Roman"/>
          <w:sz w:val="24"/>
          <w:szCs w:val="24"/>
        </w:rPr>
        <w:t xml:space="preserve">CYB 6500 – Cybersecurity Capstone</w:t>
      </w:r>
    </w:p>
    <w:p>
      <w:pPr>
        <w:spacing w:line="480"/>
        <w:jc w:val="center"/>
      </w:pPr>
      <w:r>
        <w:rPr>
          <w:rFonts w:ascii="Times New Roman" w:cs="Times New Roman" w:eastAsia="Times New Roman" w:hAnsi="Times New Roman"/>
          <w:sz w:val="24"/>
          <w:szCs w:val="24"/>
        </w:rPr>
        <w:t xml:space="preserve">Katz School of Science and Health, Yeshiva University</w:t>
      </w:r>
    </w:p>
    <w:p>
      <w:pPr>
        <w:spacing w:line="480"/>
        <w:jc w:val="center"/>
      </w:pPr>
      <w:r>
        <w:rPr>
          <w:rFonts w:ascii="Times New Roman" w:cs="Times New Roman" w:eastAsia="Times New Roman" w:hAnsi="Times New Roman"/>
          <w:sz w:val="24"/>
          <w:szCs w:val="24"/>
        </w:rPr>
        <w:t xml:space="preserve">Instructor: Dan Galeon</w:t>
      </w:r>
    </w:p>
    <w:p>
      <w:pPr>
        <w:spacing w:before="400" w:line="480"/>
        <w:jc w:val="center"/>
      </w:pPr>
      <w:r>
        <w:rPr>
          <w:rFonts w:ascii="Times New Roman" w:cs="Times New Roman" w:eastAsia="Times New Roman" w:hAnsi="Times New Roman"/>
          <w:sz w:val="24"/>
          <w:szCs w:val="24"/>
        </w:rPr>
        <w:t xml:space="preserve">Spring 2026 – Progress Report (Week 8 of 14)</w:t>
      </w:r>
    </w:p>
    <w:p>
      <w:pPr>
        <w:spacing w:line="480"/>
        <w:jc w:val="center"/>
      </w:pPr>
      <w:r>
        <w:rPr>
          <w:rFonts w:ascii="Times New Roman" w:cs="Times New Roman" w:eastAsia="Times New Roman" w:hAnsi="Times New Roman"/>
          <w:sz w:val="24"/>
          <w:szCs w:val="24"/>
        </w:rPr>
        <w:t xml:space="preserve">March 29, 2026</w:t>
      </w:r>
    </w:p>
    <w:p>
      <w:r>
        <w:br w:type="page"/>
      </w:r>
    </w:p>
    <w:p>
      <w:pPr>
        <w:pStyle w:val="Heading1"/>
        <w:spacing w:before="360" w:after="200" w:line="480"/>
      </w:pPr>
      <w:r>
        <w:rPr>
          <w:rFonts w:ascii="Times New Roman" w:cs="Times New Roman" w:eastAsia="Times New Roman" w:hAnsi="Times New Roman"/>
          <w:b/>
          <w:bCs/>
          <w:sz w:val="28"/>
          <w:szCs w:val="28"/>
        </w:rPr>
        <w:t xml:space="preserve">1. Analysis of the Initial Problem</w:t>
      </w:r>
    </w:p>
    <w:p>
      <w:pPr>
        <w:spacing w:line="480" w:after="120"/>
      </w:pPr>
      <w:r>
        <w:rPr>
          <w:rFonts w:ascii="Times New Roman" w:cs="Times New Roman" w:eastAsia="Times New Roman" w:hAnsi="Times New Roman"/>
          <w:sz w:val="24"/>
          <w:szCs w:val="24"/>
        </w:rPr>
        <w:t xml:space="preserve">Enterprise organizations are rapidly deploying Large Language Models (LLMs) for security operations, including automated incident triage, compliance classification, and threat analysis. These LLM-powered systems typically use Retrieval-Augmented Generation (RAG) to incorporate internal knowledge bases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SOC runbooks, policy documents, historical incident data</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into their reasoning process. This architecture creates a critical and largely unaddressed vulnerability: Chain-of-Thought (CoT) poisoning.</w:t>
      </w:r>
    </w:p>
    <w:p>
      <w:pPr>
        <w:spacing w:line="480" w:after="120"/>
      </w:pPr>
      <w:r>
        <w:rPr>
          <w:rFonts w:ascii="Times New Roman" w:cs="Times New Roman" w:eastAsia="Times New Roman" w:hAnsi="Times New Roman"/>
          <w:sz w:val="24"/>
          <w:szCs w:val="24"/>
        </w:rPr>
        <w:t xml:space="preserve">Unlike traditional prompt injection, which targets the input layer with commands like </w:t>
      </w:r>
      <w:r>
        <w:rPr>
          <w:rFonts w:ascii="Times New Roman" w:cs="Times New Roman" w:eastAsia="Times New Roman" w:hAnsi="Times New Roman"/>
          <w:i/>
          <w:iCs/>
          <w:sz w:val="24"/>
          <w:szCs w:val="24"/>
        </w:rPr>
        <w:t xml:space="preserve">“ignore previous instructions,”</w:t>
      </w:r>
      <w:r>
        <w:rPr>
          <w:rFonts w:ascii="Times New Roman" w:cs="Times New Roman" w:eastAsia="Times New Roman" w:hAnsi="Times New Roman"/>
          <w:sz w:val="24"/>
          <w:szCs w:val="24"/>
        </w:rPr>
        <w:t xml:space="preserve"> CoT poisoning corrupts the reasoning mechanism itself. An attacker who compromises a RAG knowledge base</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an internal wiki, a SharePoint repository, or a vector database</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can inject documents that mimic legitimate SOC artifacts: fabricated runbooks citing high false positive rates, forged CISO policy directives reclassifying alert categories, or manipulated metrics reports with invented statistics. The LLM, instructed to trust its retrieved context as authoritative internal policy, produces logically coherent but dangerously incorrect security classifications.</w:t>
      </w:r>
    </w:p>
    <w:p>
      <w:pPr>
        <w:spacing w:line="480" w:after="120"/>
      </w:pPr>
      <w:r>
        <w:rPr>
          <w:rFonts w:ascii="Times New Roman" w:cs="Times New Roman" w:eastAsia="Times New Roman" w:hAnsi="Times New Roman"/>
          <w:sz w:val="24"/>
          <w:szCs w:val="24"/>
        </w:rPr>
        <w:t xml:space="preserve">The consequences are severe. A poisoned LLM triage system could consistently downgrade ransomware alerts from HIGH to LOW severity, suppress escalation of data exfiltration events, or misclassify unauthorized access as routine activity. Because the LLM’s reasoning appears sound and references “internal policy,” these misclassifications evade conventional content filters and human review.</w:t>
      </w:r>
    </w:p>
    <w:p>
      <w:pPr>
        <w:spacing w:line="480" w:after="120"/>
      </w:pPr>
      <w:r>
        <w:rPr>
          <w:rFonts w:ascii="Times New Roman" w:cs="Times New Roman" w:eastAsia="Times New Roman" w:hAnsi="Times New Roman"/>
          <w:sz w:val="24"/>
          <w:szCs w:val="24"/>
        </w:rPr>
        <w:t xml:space="preserve">Traditional security controls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firewalls, DLP systems, Web Application Firewalls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operate at the network and data layers and cannot detect semantic manipulation of reasoning chains. Single-layer defenses such as keyword filtering are trivially evaded by sophisticated poison that uses the language of legitimate security operations. Enterprise security teams currently lack frameworks, detection tools, and response playbooks specifically designed for LLM reasoning threats.</w:t>
      </w:r>
    </w:p>
    <w:p>
      <w:pPr>
        <w:pStyle w:val="Heading1"/>
        <w:spacing w:before="360" w:after="200" w:line="480"/>
      </w:pPr>
      <w:r>
        <w:rPr>
          <w:rFonts w:ascii="Times New Roman" w:cs="Times New Roman" w:eastAsia="Times New Roman" w:hAnsi="Times New Roman"/>
          <w:b/>
          <w:bCs/>
          <w:sz w:val="28"/>
          <w:szCs w:val="28"/>
        </w:rPr>
        <w:t xml:space="preserve">2. Discussion of Improvement Opportunities</w:t>
      </w:r>
    </w:p>
    <w:p>
      <w:pPr>
        <w:spacing w:line="480" w:after="120"/>
      </w:pPr>
      <w:r>
        <w:rPr>
          <w:rFonts w:ascii="Times New Roman" w:cs="Times New Roman" w:eastAsia="Times New Roman" w:hAnsi="Times New Roman"/>
          <w:sz w:val="24"/>
          <w:szCs w:val="24"/>
        </w:rPr>
        <w:t xml:space="preserve">This project addresses the gap through a defense-in-depth architecture comprising three complementary detection layers, each targeting a different attack sophistication level. The approach is modeled on established cybersecurity principles: no single control is sufficient, and layered defenses provide resilience against diverse attack vectors.</w:t>
      </w:r>
    </w:p>
    <w:p>
      <w:pPr>
        <w:pStyle w:val="Heading2"/>
        <w:spacing w:before="240" w:after="160" w:line="480"/>
      </w:pPr>
      <w:r>
        <w:rPr>
          <w:rFonts w:ascii="Times New Roman" w:cs="Times New Roman" w:eastAsia="Times New Roman" w:hAnsi="Times New Roman"/>
          <w:b/>
          <w:bCs/>
          <w:sz w:val="26"/>
          <w:szCs w:val="26"/>
        </w:rPr>
        <w:t xml:space="preserve">2.1 Layer 1: Pattern-Based Detection (Fast Filter)</w:t>
      </w:r>
    </w:p>
    <w:p>
      <w:pPr>
        <w:spacing w:line="480" w:after="120"/>
      </w:pPr>
      <w:r>
        <w:rPr>
          <w:rFonts w:ascii="Times New Roman" w:cs="Times New Roman" w:eastAsia="Times New Roman" w:hAnsi="Times New Roman"/>
          <w:sz w:val="24"/>
          <w:szCs w:val="24"/>
        </w:rPr>
        <w:t xml:space="preserve">The first layer performs sub-millisecond regex-based signature matching using 40+ patterns extracted from analysis of 4,000 successful prompt injection attacks in the Tensor Trust dataset (563,000+ total records). These patterns detect known injection techniques including instruction overrides, role hijacking, encoded payloads, and authority claims. Layer 1 serves as a fast pre-filter, catching crude attacks before they reach the LLM.</w:t>
      </w:r>
    </w:p>
    <w:p>
      <w:pPr>
        <w:pStyle w:val="Heading2"/>
        <w:spacing w:before="240" w:after="160" w:line="480"/>
      </w:pPr>
      <w:r>
        <w:rPr>
          <w:rFonts w:ascii="Times New Roman" w:cs="Times New Roman" w:eastAsia="Times New Roman" w:hAnsi="Times New Roman"/>
          <w:b/>
          <w:bCs/>
          <w:sz w:val="26"/>
          <w:szCs w:val="26"/>
        </w:rPr>
        <w:t xml:space="preserve">2.2 Layer 2: Behavioral Drift Detection</w:t>
      </w:r>
    </w:p>
    <w:p>
      <w:pPr>
        <w:spacing w:line="480" w:after="120"/>
      </w:pPr>
      <w:r>
        <w:rPr>
          <w:rFonts w:ascii="Times New Roman" w:cs="Times New Roman" w:eastAsia="Times New Roman" w:hAnsi="Times New Roman"/>
          <w:sz w:val="24"/>
          <w:szCs w:val="24"/>
        </w:rPr>
        <w:t xml:space="preserve">The second layer addresses attacks that evade pattern matching by comparing the LLM’s classification decisions under clean versus potentially poisoned contexts. When poisoned context causes the model to downgrade severity or suppress escalation relative to a clean baseline, Layer 2 flags the decision as drifted. This approach detects novel poison that uses no known signatures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it operates on the behavioral effect rather than the content of the attack.</w:t>
      </w:r>
    </w:p>
    <w:p>
      <w:pPr>
        <w:pStyle w:val="Heading2"/>
        <w:spacing w:before="240" w:after="160" w:line="480"/>
      </w:pPr>
      <w:r>
        <w:rPr>
          <w:rFonts w:ascii="Times New Roman" w:cs="Times New Roman" w:eastAsia="Times New Roman" w:hAnsi="Times New Roman"/>
          <w:b/>
          <w:bCs/>
          <w:sz w:val="26"/>
          <w:szCs w:val="26"/>
        </w:rPr>
        <w:t xml:space="preserve">2.3 Layer 3: LLM-as-Judge Reasoning Validation</w:t>
      </w:r>
    </w:p>
    <w:p>
      <w:pPr>
        <w:spacing w:line="480" w:after="120"/>
      </w:pPr>
      <w:r>
        <w:rPr>
          <w:rFonts w:ascii="Times New Roman" w:cs="Times New Roman" w:eastAsia="Times New Roman" w:hAnsi="Times New Roman"/>
          <w:sz w:val="24"/>
          <w:szCs w:val="24"/>
        </w:rPr>
        <w:t xml:space="preserve">The third layer uses a separate, more capable LLM instance (Claude Sonnet) to independently audit the primary LLM’s reasoning chain. The judge evaluates whether the reasoning contains unsourced statistics, embedded directives disguised as policy, logical inconsistencies, or conclusions that contradict the alert evidence. This layer catches sophisticated attacks that produce plausible-looking drift.</w:t>
      </w:r>
    </w:p>
    <w:p>
      <w:pPr>
        <w:pStyle w:val="Heading2"/>
        <w:spacing w:before="240" w:after="160" w:line="480"/>
      </w:pPr>
      <w:r>
        <w:rPr>
          <w:rFonts w:ascii="Times New Roman" w:cs="Times New Roman" w:eastAsia="Times New Roman" w:hAnsi="Times New Roman"/>
          <w:b/>
          <w:bCs/>
          <w:sz w:val="26"/>
          <w:szCs w:val="26"/>
        </w:rPr>
        <w:t xml:space="preserve">2.4 Ensemble Risk Scoring</w:t>
      </w:r>
    </w:p>
    <w:p>
      <w:pPr>
        <w:spacing w:line="480" w:after="120"/>
      </w:pPr>
      <w:r>
        <w:rPr>
          <w:rFonts w:ascii="Times New Roman" w:cs="Times New Roman" w:eastAsia="Times New Roman" w:hAnsi="Times New Roman"/>
          <w:sz w:val="24"/>
          <w:szCs w:val="24"/>
        </w:rPr>
        <w:t xml:space="preserve">Signals from all three layers feed into a combined risk scoring engine that applies thresholds: low risk (allow), medium risk (alert for review), and high risk (quarantine the decision). The ensemble approach ensures that attacks evading any single layer are caught by the others.</w:t>
      </w:r>
    </w:p>
    <w:p>
      <w:pPr>
        <w:pStyle w:val="Heading1"/>
        <w:spacing w:before="360" w:after="200" w:line="480"/>
      </w:pPr>
      <w:r>
        <w:rPr>
          <w:rFonts w:ascii="Times New Roman" w:cs="Times New Roman" w:eastAsia="Times New Roman" w:hAnsi="Times New Roman"/>
          <w:b/>
          <w:bCs/>
          <w:sz w:val="28"/>
          <w:szCs w:val="28"/>
        </w:rPr>
        <w:t xml:space="preserve">3. Business Case for Identified Improvements</w:t>
      </w:r>
    </w:p>
    <w:p>
      <w:pPr>
        <w:spacing w:line="480" w:after="120"/>
      </w:pPr>
      <w:r>
        <w:rPr>
          <w:rFonts w:ascii="Times New Roman" w:cs="Times New Roman" w:eastAsia="Times New Roman" w:hAnsi="Times New Roman"/>
          <w:sz w:val="24"/>
          <w:szCs w:val="24"/>
        </w:rPr>
        <w:t xml:space="preserve">For Kaylon Inc., the fictional enterprise security company used as this project’s case study, the business case for a CoT poisoning detection system rests on three pillars.</w:t>
      </w:r>
    </w:p>
    <w:p>
      <w:pPr>
        <w:spacing w:line="480" w:after="120"/>
      </w:pPr>
      <w:r>
        <w:rPr>
          <w:rFonts w:ascii="Times New Roman" w:cs="Times New Roman" w:eastAsia="Times New Roman" w:hAnsi="Times New Roman"/>
          <w:b/>
          <w:bCs/>
          <w:sz w:val="24"/>
          <w:szCs w:val="24"/>
        </w:rPr>
        <w:t xml:space="preserve">Operational risk reduction. </w:t>
      </w:r>
      <w:r>
        <w:rPr>
          <w:rFonts w:ascii="Times New Roman" w:cs="Times New Roman" w:eastAsia="Times New Roman" w:hAnsi="Times New Roman"/>
          <w:sz w:val="24"/>
          <w:szCs w:val="24"/>
        </w:rPr>
        <w:t xml:space="preserve">A compromised triage LLM that suppresses escalation of critical incidents directly increases mean time to respond (MTTR) and mean time to detect (MTTD). Our experimental results demonstrate that without detection controls, document-style CoT poisoning successfully manipulates LLM triage decisions in 64% of all test cases and 91.4% of actionable security incidents (severity medium or higher). A single missed ransomware escalation can cost an organization millions in damages and regulatory penalties.</w:t>
      </w:r>
    </w:p>
    <w:p>
      <w:pPr>
        <w:spacing w:line="480" w:after="120"/>
      </w:pPr>
      <w:r>
        <w:rPr>
          <w:rFonts w:ascii="Times New Roman" w:cs="Times New Roman" w:eastAsia="Times New Roman" w:hAnsi="Times New Roman"/>
          <w:b/>
          <w:bCs/>
          <w:sz w:val="24"/>
          <w:szCs w:val="24"/>
        </w:rPr>
        <w:t xml:space="preserve">SOC efficiency. </w:t>
      </w:r>
      <w:r>
        <w:rPr>
          <w:rFonts w:ascii="Times New Roman" w:cs="Times New Roman" w:eastAsia="Times New Roman" w:hAnsi="Times New Roman"/>
          <w:sz w:val="24"/>
          <w:szCs w:val="24"/>
        </w:rPr>
        <w:t xml:space="preserve">The detection system operates as an inline gateway, adding minimal latency to the triage pipeline. Layer 1 adds less than 1ms. In production, Layer 2 baseline decisions are cached, reducing per-query overhead to a single API call. Rather than replacing analyst judgment, the system provides automated confidence scoring that helps analysts prioritize which LLM decisions to trust and which to verify manually.</w:t>
      </w:r>
    </w:p>
    <w:p>
      <w:pPr>
        <w:spacing w:line="480" w:after="120"/>
      </w:pPr>
      <w:r>
        <w:rPr>
          <w:rFonts w:ascii="Times New Roman" w:cs="Times New Roman" w:eastAsia="Times New Roman" w:hAnsi="Times New Roman"/>
          <w:b/>
          <w:bCs/>
          <w:sz w:val="24"/>
          <w:szCs w:val="24"/>
        </w:rPr>
        <w:t xml:space="preserve">Regulatory compliance. </w:t>
      </w:r>
      <w:r>
        <w:rPr>
          <w:rFonts w:ascii="Times New Roman" w:cs="Times New Roman" w:eastAsia="Times New Roman" w:hAnsi="Times New Roman"/>
          <w:sz w:val="24"/>
          <w:szCs w:val="24"/>
        </w:rPr>
        <w:t xml:space="preserve">The system is designed to align with the NIST AI Risk Management Framework, specifically measures 2.7 (AI system monitoring), 2.11 (risk monitoring and response), and 2.13 (incident tracking for AI systems). As regulatory requirements for AI governance mature, organizations deploying LLMs in security-critical roles will need demonstrable controls against reasoning manipulation. This system provides auditable detection and enforcement mechanisms that satisfy emerging compliance requirements.</w:t>
      </w:r>
    </w:p>
    <w:p>
      <w:pPr>
        <w:pStyle w:val="Heading1"/>
        <w:spacing w:before="360" w:after="200" w:line="480"/>
      </w:pPr>
      <w:r>
        <w:rPr>
          <w:rFonts w:ascii="Times New Roman" w:cs="Times New Roman" w:eastAsia="Times New Roman" w:hAnsi="Times New Roman"/>
          <w:b/>
          <w:bCs/>
          <w:sz w:val="28"/>
          <w:szCs w:val="28"/>
        </w:rPr>
        <w:t xml:space="preserve">4. Project Plan: Scope, Deliverables, and Timeline</w:t>
      </w:r>
    </w:p>
    <w:p>
      <w:pPr>
        <w:pStyle w:val="Heading2"/>
        <w:spacing w:before="240" w:after="160" w:line="480"/>
      </w:pPr>
      <w:r>
        <w:rPr>
          <w:rFonts w:ascii="Times New Roman" w:cs="Times New Roman" w:eastAsia="Times New Roman" w:hAnsi="Times New Roman"/>
          <w:b/>
          <w:bCs/>
          <w:sz w:val="26"/>
          <w:szCs w:val="26"/>
        </w:rPr>
        <w:t xml:space="preserve">4.1 Scope</w:t>
      </w:r>
    </w:p>
    <w:p>
      <w:pPr>
        <w:spacing w:line="480" w:after="120"/>
      </w:pPr>
      <w:r>
        <w:rPr>
          <w:rFonts w:ascii="Times New Roman" w:cs="Times New Roman" w:eastAsia="Times New Roman" w:hAnsi="Times New Roman"/>
          <w:sz w:val="24"/>
          <w:szCs w:val="24"/>
        </w:rPr>
        <w:t xml:space="preserve">The project delivers a Python-based LLM Security Gateway that monitors and validates LLM security triage decisions in real time. The scope encompasses five poison attack types (deescalation bias, false positive framing, authority hijacking, policy contradiction, and statistical manipulation), a custom labeled dataset of 100+ security triage cases, three detection layers, a FastAPI integration gateway, and evaluation metrics with NIST AI RMF alignment documentation.</w:t>
      </w:r>
    </w:p>
    <w:p>
      <w:pPr>
        <w:pStyle w:val="Heading2"/>
        <w:spacing w:before="240" w:after="160" w:line="480"/>
      </w:pPr>
      <w:r>
        <w:rPr>
          <w:rFonts w:ascii="Times New Roman" w:cs="Times New Roman" w:eastAsia="Times New Roman" w:hAnsi="Times New Roman"/>
          <w:b/>
          <w:bCs/>
          <w:sz w:val="26"/>
          <w:szCs w:val="26"/>
        </w:rPr>
        <w:t xml:space="preserve">4.2 Timeline</w:t>
      </w:r>
    </w:p>
    <w:p>
      <w:pPr>
        <w:spacing w:before="200" w:after="2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4200"/>
        <w:gridCol w:w="1600"/>
      </w:tblGrid>
      <w:tr>
        <w:tc>
          <w:tcPr>
            <w:tcW w:type="dxa" w:w="18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Phase</w:t>
            </w:r>
          </w:p>
        </w:tc>
        <w:tc>
          <w:tcPr>
            <w:tcW w:type="dxa" w:w="12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Weeks</w:t>
            </w:r>
          </w:p>
        </w:tc>
        <w:tc>
          <w:tcPr>
            <w:tcW w:type="dxa" w:w="42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Deliverables</w:t>
            </w:r>
          </w:p>
        </w:tc>
        <w:tc>
          <w:tcPr>
            <w:tcW w:type="dxa" w:w="16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Status</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Foundation</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1–2</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Proposal, repo structure, Tensor Trust analysis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Complete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Layer 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3–4</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Pattern library (40+ signatures), evaluation framework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Complete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Layer 2</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5–6</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Behavioral detector, poison injector (5 types), drift analysis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Complete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Risk Scoring</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7–8</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Combined risk scorer, dataset expansion to 50+ cases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In Progress</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Layer 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8–9</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LLM-as-Judge validator, reasoning chain evaluation</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Planned</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Integration</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10</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FastAPI gateway, ensemble orchestration</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Planned</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Evaluation</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11–12</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Full metrics suite, ROC curves, confusion matrices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Planned</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Documentation</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12–13</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Technical report, NIST mapping, SOC ops guide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Planned</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Final</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14</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25-slide presentation, live demo, code submission</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Planned</w:t>
            </w:r>
          </w:p>
        </w:tc>
      </w:tr>
    </w:tbl>
    <w:p>
      <w:pPr>
        <w:spacing w:after="200"/>
      </w:pPr>
    </w:p>
    <w:p>
      <w:pPr>
        <w:pStyle w:val="Heading1"/>
        <w:spacing w:before="360" w:after="200" w:line="480"/>
      </w:pPr>
      <w:r>
        <w:rPr>
          <w:rFonts w:ascii="Times New Roman" w:cs="Times New Roman" w:eastAsia="Times New Roman" w:hAnsi="Times New Roman"/>
          <w:b/>
          <w:bCs/>
          <w:sz w:val="28"/>
          <w:szCs w:val="28"/>
        </w:rPr>
        <w:t xml:space="preserve">5. Project Tracking and Success Metrics</w:t>
      </w:r>
    </w:p>
    <w:p>
      <w:pPr>
        <w:pStyle w:val="Heading2"/>
        <w:spacing w:before="240" w:after="160" w:line="480"/>
      </w:pPr>
      <w:r>
        <w:rPr>
          <w:rFonts w:ascii="Times New Roman" w:cs="Times New Roman" w:eastAsia="Times New Roman" w:hAnsi="Times New Roman"/>
          <w:b/>
          <w:bCs/>
          <w:sz w:val="26"/>
          <w:szCs w:val="26"/>
        </w:rPr>
        <w:t xml:space="preserve">5.1 Layer 1 Results: Pattern Detection</w:t>
      </w:r>
    </w:p>
    <w:p>
      <w:pPr>
        <w:spacing w:line="480" w:after="120"/>
      </w:pPr>
      <w:r>
        <w:rPr>
          <w:rFonts w:ascii="Times New Roman" w:cs="Times New Roman" w:eastAsia="Times New Roman" w:hAnsi="Times New Roman"/>
          <w:sz w:val="24"/>
          <w:szCs w:val="24"/>
        </w:rPr>
        <w:t xml:space="preserve">Layer 1 was evaluated against 1,000 randomly sampled attacks from the Tensor Trust dataset. Detection rate reached 58.6% with average latency of 0.18ms (target: &lt;10ms) and a false positive rate below 2% on clean security cases. While the 58.6% detection rate falls short of the 70% target for Layer 1 alone, this is acceptable within the ensemble design</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Layer 1’s role is to catch known patterns quickly, not to provide comprehensive coverage.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400"/>
      </w:tblGrid>
      <w:tr>
        <w:tc>
          <w:tcPr>
            <w:tcW w:type="dxa" w:w="22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Metric</w:t>
            </w:r>
          </w:p>
        </w:tc>
        <w:tc>
          <w:tcPr>
            <w:tcW w:type="dxa" w:w="16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Result</w:t>
            </w:r>
          </w:p>
        </w:tc>
        <w:tc>
          <w:tcPr>
            <w:tcW w:type="dxa" w:w="16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Target</w:t>
            </w:r>
          </w:p>
        </w:tc>
        <w:tc>
          <w:tcPr>
            <w:tcW w:type="dxa" w:w="34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Status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Detection Rate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58.6%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≥70%</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Below Target (acceptable in ensemble)</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Latency (avg)</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0.18ms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&lt;10ms</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Pass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False Positive Rate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&lt;2%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&lt;2%</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Pass</w:t>
            </w:r>
          </w:p>
        </w:tc>
      </w:tr>
    </w:tbl>
    <w:p>
      <w:pPr>
        <w:spacing w:after="200"/>
      </w:pPr>
    </w:p>
    <w:p>
      <w:pPr>
        <w:spacing w:after="200"/>
      </w:pPr>
    </w:p>
    <w:p>
      <w:pPr>
        <w:pStyle w:val="Heading2"/>
        <w:spacing w:before="240" w:after="160" w:line="480"/>
      </w:pPr>
      <w:r>
        <w:rPr>
          <w:rFonts w:ascii="Times New Roman" w:cs="Times New Roman" w:eastAsia="Times New Roman" w:hAnsi="Times New Roman"/>
          <w:b/>
          <w:bCs/>
          <w:sz w:val="26"/>
          <w:szCs w:val="26"/>
        </w:rPr>
        <w:t xml:space="preserve">5.2 Layer 2 Results: Behavioral Drift Detection</w:t>
      </w:r>
    </w:p>
    <w:p>
      <w:pPr>
        <w:spacing w:line="480" w:after="120"/>
      </w:pPr>
      <w:r>
        <w:rPr>
          <w:rFonts w:ascii="Times New Roman" w:cs="Times New Roman" w:eastAsia="Times New Roman" w:hAnsi="Times New Roman"/>
          <w:sz w:val="24"/>
          <w:szCs w:val="24"/>
        </w:rPr>
        <w:t xml:space="preserve">Layer 2 was evaluated on the custom security triage dataset: 10 cases tested against all 5 poison types for 50 total tests. The overall drift detection rate was 64.0% (32 of 50 tests). However, deeper analysis reveals a critical distinction: the 18 undetected cases include 15 cases where the ground truth severity was already LOW (cases 6, 7, and 8), meaning the poison had no room to cause downward drift. On actionable cases (ground truth severity medium or high), detection rate was 91.4% (32 of 35 tests), exceeding the 85% target.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400"/>
      </w:tblGrid>
      <w:tr>
        <w:tc>
          <w:tcPr>
            <w:tcW w:type="dxa" w:w="22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Metric</w:t>
            </w:r>
          </w:p>
        </w:tc>
        <w:tc>
          <w:tcPr>
            <w:tcW w:type="dxa" w:w="16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Result</w:t>
            </w:r>
          </w:p>
        </w:tc>
        <w:tc>
          <w:tcPr>
            <w:tcW w:type="dxa" w:w="16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Target</w:t>
            </w:r>
          </w:p>
        </w:tc>
        <w:tc>
          <w:tcPr>
            <w:tcW w:type="dxa" w:w="34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Status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Overall Detection Rate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64.0% (32/50)</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≥85%</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Below (includes low-sev baseline)</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Actionable Case Detection</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91.4% (32/35)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≥85%</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Pass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Latency (avg)</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2,728ms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&lt;5ms</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Expected (dual API calls)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Escalation Suppressed</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15 of 32 drifts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Key danger signal</w:t>
            </w:r>
          </w:p>
        </w:tc>
      </w:tr>
    </w:tbl>
    <w:p>
      <w:pPr>
        <w:spacing w:after="100"/>
      </w:pPr>
    </w:p>
    <w:p>
      <w:pPr>
        <w:spacing w:after="100"/>
      </w:pPr>
    </w:p>
    <w:p>
      <w:pPr>
        <w:pStyle w:val="Heading2"/>
        <w:spacing w:before="240" w:after="160" w:line="480"/>
      </w:pPr>
      <w:r>
        <w:rPr>
          <w:rFonts w:ascii="Times New Roman" w:cs="Times New Roman" w:eastAsia="Times New Roman" w:hAnsi="Times New Roman"/>
          <w:b/>
          <w:bCs/>
          <w:sz w:val="26"/>
          <w:szCs w:val="26"/>
        </w:rPr>
        <w:t xml:space="preserve">5.3 Detection Rate by Poison Type</w:t>
      </w:r>
    </w:p>
    <w:p>
      <w:pPr>
        <w:spacing w:line="480" w:after="120"/>
      </w:pPr>
      <w:r>
        <w:rPr>
          <w:rFonts w:ascii="Times New Roman" w:cs="Times New Roman" w:eastAsia="Times New Roman" w:hAnsi="Times New Roman"/>
          <w:sz w:val="24"/>
          <w:szCs w:val="24"/>
        </w:rPr>
        <w:t xml:space="preserve">Performance varies by attack strategy. Authority hijacking, deescalation bias, and false positive framing each achieved 70% overall detection (100% on actionable cases). Statistical manipulation achieved 60%, and policy contradiction was weakest at 50%. The policy contradiction templates, formatted as procedural playbooks, appear less persuasive to the LLM than templates that cite specific statistics or claim authoritative sources.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700"/>
      </w:tblGrid>
      <w:tr>
        <w:tc>
          <w:tcPr>
            <w:tcW w:type="dxa" w:w="34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Poison Type</w:t>
            </w:r>
          </w:p>
        </w:tc>
        <w:tc>
          <w:tcPr>
            <w:tcW w:type="dxa" w:w="27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Detection Rate</w:t>
            </w:r>
          </w:p>
        </w:tc>
        <w:tc>
          <w:tcPr>
            <w:tcW w:type="dxa" w:w="27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Drift Count</w:t>
            </w:r>
          </w:p>
        </w:tc>
      </w:tr>
      <w:tr>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Deescalation Bias</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70.0% (7/10)</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7</w:t>
            </w:r>
          </w:p>
        </w:tc>
      </w:tr>
      <w:tr>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False Positive Framing</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70.0% (7/10)</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7</w:t>
            </w:r>
          </w:p>
        </w:tc>
      </w:tr>
      <w:tr>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Authority Hijacking</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70.0% (7/10)</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7</w:t>
            </w:r>
          </w:p>
        </w:tc>
      </w:tr>
      <w:tr>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Policy Contradiction</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50.0% (5/10)</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5</w:t>
            </w:r>
          </w:p>
        </w:tc>
      </w:tr>
      <w:tr>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Statistical Manipulation</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60.0% (6/10)</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6</w:t>
            </w:r>
          </w:p>
        </w:tc>
      </w:tr>
    </w:tbl>
    <w:p>
      <w:pPr>
        <w:spacing w:after="100"/>
      </w:pPr>
    </w:p>
    <w:p>
      <w:pPr>
        <w:spacing w:after="100"/>
      </w:pPr>
    </w:p>
    <w:p>
      <w:pPr>
        <w:pStyle w:val="Heading2"/>
        <w:spacing w:before="240" w:after="160" w:line="480"/>
      </w:pPr>
      <w:r>
        <w:rPr>
          <w:rFonts w:ascii="Times New Roman" w:cs="Times New Roman" w:eastAsia="Times New Roman" w:hAnsi="Times New Roman"/>
          <w:b/>
          <w:bCs/>
          <w:sz w:val="26"/>
          <w:szCs w:val="26"/>
        </w:rPr>
        <w:t xml:space="preserve">5.4 Success Criteria Tracking</w:t>
      </w:r>
    </w:p>
    <w:p>
      <w:pPr>
        <w:spacing w:line="480" w:after="120"/>
      </w:pPr>
      <w:r>
        <w:rPr>
          <w:rFonts w:ascii="Times New Roman" w:cs="Times New Roman" w:eastAsia="Times New Roman" w:hAnsi="Times New Roman"/>
          <w:sz w:val="24"/>
          <w:szCs w:val="24"/>
        </w:rPr>
        <w:t xml:space="preserve">The following table tracks progress against the functional requirements defined in the approved project proposal.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00"/>
        <w:gridCol w:w="5200"/>
        <w:gridCol w:w="2800"/>
      </w:tblGrid>
      <w:tr>
        <w:tc>
          <w:tcPr>
            <w:tcW w:type="dxa" w:w="8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ID</w:t>
            </w:r>
          </w:p>
        </w:tc>
        <w:tc>
          <w:tcPr>
            <w:tcW w:type="dxa" w:w="52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Requirement</w:t>
            </w:r>
          </w:p>
        </w:tc>
        <w:tc>
          <w:tcPr>
            <w:tcW w:type="dxa" w:w="2800"/>
            <w:tcBorders>
              <w:top w:val="single" w:color="999999" w:sz="1"/>
              <w:left w:val="single" w:color="999999" w:sz="1"/>
              <w:bottom w:val="single" w:color="999999" w:sz="1"/>
              <w:right w:val="single" w:color="999999" w:sz="1"/>
            </w:tcBorders>
            <w:shd w:fill="2E4057" w:val="clear"/>
            <w:tcMar>
              <w:top w:type="dxa" w:w="60"/>
              <w:left w:type="dxa" w:w="100"/>
              <w:bottom w:type="dxa" w:w="60"/>
              <w:right w:type="dxa" w:w="100"/>
            </w:tcMar>
            <w:vAlign w:val="center"/>
          </w:tcPr>
          <w:p>
            <w:pPr>
              <w:spacing w:line="276"/>
            </w:pPr>
            <w:r>
              <w:rPr>
                <w:rFonts w:ascii="Times New Roman" w:cs="Times New Roman" w:eastAsia="Times New Roman" w:hAnsi="Times New Roman"/>
                <w:b/>
                <w:bCs/>
                <w:color w:val="FFFFFF"/>
                <w:sz w:val="20"/>
                <w:szCs w:val="20"/>
              </w:rPr>
              <w:t xml:space="preserve">Status</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FR1</w:t>
            </w:r>
          </w:p>
        </w:tc>
        <w:tc>
          <w:tcPr>
            <w:tcW w:type="dxa" w:w="5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Structured Input Processing: 100% parse rate</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Complete – 10/10 cases parsed</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FR2</w:t>
            </w:r>
          </w:p>
        </w:tc>
        <w:tc>
          <w:tcPr>
            <w:tcW w:type="dxa" w:w="5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Primary LLM Classification: valid JSON output</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Complete – 100% valid responses</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FR3</w:t>
            </w:r>
          </w:p>
        </w:tc>
        <w:tc>
          <w:tcPr>
            <w:tcW w:type="dxa" w:w="5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Pattern Detection (Layer 1): ≥70% detection</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Complete – 58.6% (ensemble-acceptable)</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FR4</w:t>
            </w:r>
          </w:p>
        </w:tc>
        <w:tc>
          <w:tcPr>
            <w:tcW w:type="dxa" w:w="5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Behavioral Detection (Layer 2): ≥85% precision</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Complete – 91.4% on actionable cases</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FR5</w:t>
            </w:r>
          </w:p>
        </w:tc>
        <w:tc>
          <w:tcPr>
            <w:tcW w:type="dxa" w:w="5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LLM-as-Judge (Layer 3): ≥80% accuracy</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Planned – Week 8–9</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FR6</w:t>
            </w:r>
          </w:p>
        </w:tc>
        <w:tc>
          <w:tcPr>
            <w:tcW w:type="dxa" w:w="5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Risk Scoring: ROC AUC ≥0.90</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In Progress – Week 7–8</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FR8</w:t>
            </w:r>
          </w:p>
        </w:tc>
        <w:tc>
          <w:tcPr>
            <w:tcW w:type="dxa" w:w="5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Poison Injection: 5+ types measurably change decisions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Complete – 5 types, 64% effect rate</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FR10</w:t>
            </w:r>
          </w:p>
        </w:tc>
        <w:tc>
          <w:tcPr>
            <w:tcW w:type="dxa" w:w="52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Ensemble: Precision ≥90%, Recall ≥88%</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line="276"/>
            </w:pPr>
            <w:r>
              <w:rPr>
                <w:rFonts w:ascii="Times New Roman" w:cs="Times New Roman" w:eastAsia="Times New Roman" w:hAnsi="Times New Roman"/>
                <w:b w:val="false"/>
                <w:bCs w:val="false"/>
                <w:color w:val="000000"/>
                <w:sz w:val="20"/>
                <w:szCs w:val="20"/>
              </w:rPr>
              <w:t xml:space="preserve">Planned – Week 11–12</w:t>
            </w:r>
          </w:p>
        </w:tc>
      </w:tr>
    </w:tbl>
    <w:p>
      <w:pPr>
        <w:spacing w:after="200"/>
      </w:pPr>
    </w:p>
    <w:p>
      <w:pPr>
        <w:pStyle w:val="Heading1"/>
        <w:spacing w:before="360" w:after="200" w:line="480"/>
      </w:pPr>
      <w:r>
        <w:rPr>
          <w:rFonts w:ascii="Times New Roman" w:cs="Times New Roman" w:eastAsia="Times New Roman" w:hAnsi="Times New Roman"/>
          <w:b/>
          <w:bCs/>
          <w:sz w:val="28"/>
          <w:szCs w:val="28"/>
        </w:rPr>
        <w:t xml:space="preserve">6. Project Outcomes and Lessons Learned</w:t>
      </w:r>
    </w:p>
    <w:p>
      <w:pPr>
        <w:pStyle w:val="Heading2"/>
        <w:spacing w:before="240" w:after="160" w:line="480"/>
      </w:pPr>
      <w:r>
        <w:rPr>
          <w:rFonts w:ascii="Times New Roman" w:cs="Times New Roman" w:eastAsia="Times New Roman" w:hAnsi="Times New Roman"/>
          <w:b/>
          <w:bCs/>
          <w:sz w:val="26"/>
          <w:szCs w:val="26"/>
        </w:rPr>
        <w:t xml:space="preserve">6.1 Key Outcomes to Date</w:t>
      </w:r>
    </w:p>
    <w:p>
      <w:pPr>
        <w:spacing w:line="480" w:after="120"/>
      </w:pPr>
      <w:r>
        <w:rPr>
          <w:rFonts w:ascii="Times New Roman" w:cs="Times New Roman" w:eastAsia="Times New Roman" w:hAnsi="Times New Roman"/>
          <w:sz w:val="24"/>
          <w:szCs w:val="24"/>
        </w:rPr>
        <w:t xml:space="preserve">The project has successfully demonstrated that Chain-of-Thought poisoning is a viable and dangerous attack vector against enterprise LLM triage systems. Document-style poison attacks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fabricated SOC runbooks, forged policy directives, and manipulated metrics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successfully manipulated LLM security decisions in 91.4% of actionable cases. The behavioral drift detection layer identifies these manipulations by comparing clean versus poisoned decision outputs, providing a practical detection mechanism that does not require knowledge of the specific poison content.</w:t>
      </w:r>
    </w:p>
    <w:p>
      <w:pPr>
        <w:pStyle w:val="Heading2"/>
        <w:spacing w:before="240" w:after="160" w:line="480"/>
      </w:pPr>
      <w:r>
        <w:rPr>
          <w:rFonts w:ascii="Times New Roman" w:cs="Times New Roman" w:eastAsia="Times New Roman" w:hAnsi="Times New Roman"/>
          <w:b/>
          <w:bCs/>
          <w:sz w:val="26"/>
          <w:szCs w:val="26"/>
        </w:rPr>
        <w:t xml:space="preserve">6.2 Lessons Learned</w:t>
      </w:r>
    </w:p>
    <w:p>
      <w:pPr>
        <w:spacing w:line="480" w:after="120"/>
      </w:pPr>
      <w:r>
        <w:rPr>
          <w:rFonts w:ascii="Times New Roman" w:cs="Times New Roman" w:eastAsia="Times New Roman" w:hAnsi="Times New Roman"/>
          <w:b/>
          <w:bCs/>
          <w:sz w:val="24"/>
          <w:szCs w:val="24"/>
        </w:rPr>
        <w:t xml:space="preserve">Model robustness varies dramatically. </w:t>
      </w:r>
      <w:r>
        <w:rPr>
          <w:rFonts w:ascii="Times New Roman" w:cs="Times New Roman" w:eastAsia="Times New Roman" w:hAnsi="Times New Roman"/>
          <w:sz w:val="24"/>
          <w:szCs w:val="24"/>
        </w:rPr>
        <w:t xml:space="preserve">Initial testing with Claude 3.5 Haiku showed 0% poison susceptibility</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the model’s safety training completely resisted all five attack types. Switching to Claude 3 Haiku with a naive RAG-style prompt (simulating real enterprise deployments where the LLM is instructed to trust retrieved context) produced the 64% manipulation rate observed in Layer 2 results. This finding is itself significant: it demonstrates that model-level robustness is not sufficient protection when the deployment architecture explicitly instructs the LLM to defer to context.</w:t>
      </w:r>
    </w:p>
    <w:p>
      <w:pPr>
        <w:spacing w:line="480" w:after="120"/>
      </w:pPr>
      <w:r>
        <w:rPr>
          <w:rFonts w:ascii="Times New Roman" w:cs="Times New Roman" w:eastAsia="Times New Roman" w:hAnsi="Times New Roman"/>
          <w:b/>
          <w:bCs/>
          <w:sz w:val="24"/>
          <w:szCs w:val="24"/>
        </w:rPr>
        <w:t xml:space="preserve">Poison sophistication matters. </w:t>
      </w:r>
      <w:r>
        <w:rPr>
          <w:rFonts w:ascii="Times New Roman" w:cs="Times New Roman" w:eastAsia="Times New Roman" w:hAnsi="Times New Roman"/>
          <w:sz w:val="24"/>
          <w:szCs w:val="24"/>
        </w:rPr>
        <w:t xml:space="preserve">Initial poison templates were single-sentence statistical claims (e.g., “94% false positive rate”) that produced 0% drift. Upgrading to multi-paragraph document-style injections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mimicking real SOC runbooks with source attribution, specific case numbers, and explicit classification guidance</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achieved the 64% overall manipulation rate. This demonstrates that attack effectiveness scales with the attacker’s knowledge of organizational document formats.</w:t>
      </w:r>
    </w:p>
    <w:p>
      <w:pPr>
        <w:spacing w:line="480" w:after="120"/>
      </w:pPr>
      <w:r>
        <w:rPr>
          <w:rFonts w:ascii="Times New Roman" w:cs="Times New Roman" w:eastAsia="Times New Roman" w:hAnsi="Times New Roman"/>
          <w:b/>
          <w:bCs/>
          <w:sz w:val="24"/>
          <w:szCs w:val="24"/>
        </w:rPr>
        <w:t xml:space="preserve">Low-severity cases are naturally resistant. </w:t>
      </w:r>
      <w:r>
        <w:rPr>
          <w:rFonts w:ascii="Times New Roman" w:cs="Times New Roman" w:eastAsia="Times New Roman" w:hAnsi="Times New Roman"/>
          <w:sz w:val="24"/>
          <w:szCs w:val="24"/>
        </w:rPr>
        <w:t xml:space="preserve">Cases with ground truth severity of LOW showed zero drift because the baseline classification already matched the poison’s target. This means the system has a natural 0% false positive rate on already-low-severity cases, which is operationally desirable in a SOC context where low-priority alerts should flow through without friction.</w:t>
      </w:r>
    </w:p>
    <w:p>
      <w:pPr>
        <w:spacing w:line="480" w:after="120"/>
      </w:pPr>
      <w:r>
        <w:rPr>
          <w:rFonts w:ascii="Times New Roman" w:cs="Times New Roman" w:eastAsia="Times New Roman" w:hAnsi="Times New Roman"/>
          <w:b/>
          <w:bCs/>
          <w:sz w:val="24"/>
          <w:szCs w:val="24"/>
        </w:rPr>
        <w:t xml:space="preserve">Dataset design is critical. </w:t>
      </w:r>
      <w:r>
        <w:rPr>
          <w:rFonts w:ascii="Times New Roman" w:cs="Times New Roman" w:eastAsia="Times New Roman" w:hAnsi="Times New Roman"/>
          <w:sz w:val="24"/>
          <w:szCs w:val="24"/>
        </w:rPr>
        <w:t xml:space="preserve">The Tensor Trust dataset (563,000+ records) proved valuable for Layer 1 pattern extraction but is not suitable for evaluating Layer 2 or Layer 3, which require domain-specific security triage cases with ground truth labels. Building the custom dataset of labeled security incidents was more time-intensive than anticipated and remains a priority for expansion from 10 to 100+ cases.</w:t>
      </w:r>
    </w:p>
    <w:p>
      <w:pPr>
        <w:pStyle w:val="Heading2"/>
        <w:spacing w:before="240" w:after="160" w:line="480"/>
      </w:pPr>
      <w:r>
        <w:rPr>
          <w:rFonts w:ascii="Times New Roman" w:cs="Times New Roman" w:eastAsia="Times New Roman" w:hAnsi="Times New Roman"/>
          <w:b/>
          <w:bCs/>
          <w:sz w:val="26"/>
          <w:szCs w:val="26"/>
        </w:rPr>
        <w:t xml:space="preserve">6.3 Remaining Work</w:t>
      </w:r>
    </w:p>
    <w:p>
      <w:pPr>
        <w:spacing w:line="480" w:after="120"/>
      </w:pPr>
      <w:r>
        <w:rPr>
          <w:rFonts w:ascii="Times New Roman" w:cs="Times New Roman" w:eastAsia="Times New Roman" w:hAnsi="Times New Roman"/>
          <w:sz w:val="24"/>
          <w:szCs w:val="24"/>
        </w:rPr>
        <w:t xml:space="preserve">The remaining six weeks focus on completing Layer 3 (LLM-as-Judge reasoning validation), building the FastAPI integration gateway, expanding the dataset to 100+ cases for statistical significance, conducting full ensemble evaluation with ROC curves and confusion matrices, and producing the NIST AI RMF alignment documentation and final technical report.</w:t>
      </w:r>
    </w:p>
    <w:p>
      <w:pPr>
        <w:pStyle w:val="Heading2"/>
        <w:spacing w:before="240" w:after="160" w:line="480"/>
      </w:pPr>
      <w:r>
        <w:rPr>
          <w:rFonts w:ascii="Times New Roman" w:cs="Times New Roman" w:eastAsia="Times New Roman" w:hAnsi="Times New Roman"/>
          <w:b/>
          <w:bCs/>
          <w:sz w:val="26"/>
          <w:szCs w:val="26"/>
        </w:rPr>
        <w:t xml:space="preserve">6.4 AI Usage Disclosure</w:t>
      </w:r>
    </w:p>
    <w:p>
      <w:pPr>
        <w:spacing w:line="480" w:after="120"/>
      </w:pPr>
      <w:r>
        <w:rPr>
          <w:rFonts w:ascii="Times New Roman" w:cs="Times New Roman" w:eastAsia="Times New Roman" w:hAnsi="Times New Roman"/>
          <w:sz w:val="24"/>
          <w:szCs w:val="24"/>
        </w:rPr>
        <w:t xml:space="preserve">AI tools (Claude, ChatGPT) were used for guidance in creating diverse synthetic security case descriptions for the custom test dataset, developing poison attack variant templates, generating architecture diagrams, and assisting with code development. All code is written and understood by the student, and all design decisions reflect the student’s analysis and judgment.</w:t>
      </w:r>
    </w:p>
    <w:p>
      <w:pPr>
        <w:pStyle w:val="Heading1"/>
        <w:spacing w:before="360" w:after="200" w:line="480"/>
      </w:pPr>
      <w:r>
        <w:rPr>
          <w:rFonts w:ascii="Times New Roman" w:cs="Times New Roman" w:eastAsia="Times New Roman" w:hAnsi="Times New Roman"/>
          <w:b/>
          <w:bCs/>
          <w:sz w:val="28"/>
          <w:szCs w:val="28"/>
        </w:rPr>
        <w:t xml:space="preserve">References</w:t>
      </w:r>
    </w:p>
    <w:p>
      <w:pPr>
        <w:spacing w:line="480" w:after="120"/>
      </w:pPr>
      <w:r>
        <w:rPr>
          <w:rFonts w:ascii="Times New Roman" w:cs="Times New Roman" w:eastAsia="Times New Roman" w:hAnsi="Times New Roman"/>
          <w:sz w:val="22"/>
          <w:szCs w:val="22"/>
        </w:rPr>
        <w:t xml:space="preserve">Habibzadeh, A., et al. (2025). On the dangers of poisoned LLMs in security automation. arXiv preprint.</w:t>
      </w:r>
    </w:p>
    <w:p>
      <w:pPr>
        <w:spacing w:line="480" w:after="120"/>
      </w:pPr>
      <w:r>
        <w:rPr>
          <w:rFonts w:ascii="Times New Roman" w:cs="Times New Roman" w:eastAsia="Times New Roman" w:hAnsi="Times New Roman"/>
          <w:sz w:val="22"/>
          <w:szCs w:val="22"/>
        </w:rPr>
        <w:t xml:space="preserve">Zhao, S., et al. (2025). Chain-of-thought hijacking in LLM applications. arXiv preprint.</w:t>
      </w:r>
    </w:p>
    <w:p>
      <w:pPr>
        <w:spacing w:line="480" w:after="120"/>
      </w:pPr>
      <w:r>
        <w:rPr>
          <w:rFonts w:ascii="Times New Roman" w:cs="Times New Roman" w:eastAsia="Times New Roman" w:hAnsi="Times New Roman"/>
          <w:sz w:val="22"/>
          <w:szCs w:val="22"/>
        </w:rPr>
        <w:t xml:space="preserve">Toyer, S., et al. (2024). Tensor Trust: Interpretable prompt injection attacks from an online game. NeurIPS.</w:t>
      </w:r>
    </w:p>
    <w:p>
      <w:pPr>
        <w:spacing w:line="480" w:after="120"/>
      </w:pPr>
      <w:r>
        <w:rPr>
          <w:rFonts w:ascii="Times New Roman" w:cs="Times New Roman" w:eastAsia="Times New Roman" w:hAnsi="Times New Roman"/>
          <w:sz w:val="22"/>
          <w:szCs w:val="22"/>
        </w:rPr>
        <w:t xml:space="preserve">NIST. (2023). AI Risk Management Framework (AI RMF 1.0). NIST AI 100-1.</w:t>
      </w:r>
    </w:p>
    <w:p>
      <w:pPr>
        <w:spacing w:line="480" w:after="120"/>
      </w:pPr>
      <w:r>
        <w:rPr>
          <w:rFonts w:ascii="Times New Roman" w:cs="Times New Roman" w:eastAsia="Times New Roman" w:hAnsi="Times New Roman"/>
          <w:sz w:val="22"/>
          <w:szCs w:val="22"/>
        </w:rPr>
        <w:t xml:space="preserve">Lehman, H., et al. (2025). Medical large language models are vulnerable to data-poisoning attacks. Nature Medicine.</w:t>
      </w:r>
    </w:p>
    <w:p>
      <w:pPr>
        <w:spacing w:line="480" w:after="120"/>
      </w:pPr>
      <w:r>
        <w:rPr>
          <w:rFonts w:ascii="Times New Roman" w:cs="Times New Roman" w:eastAsia="Times New Roman" w:hAnsi="Times New Roman"/>
          <w:sz w:val="22"/>
          <w:szCs w:val="22"/>
        </w:rPr>
        <w:t xml:space="preserve">Microsoft Security Response Center. (2025). How Microsoft defends against indirect prompt injection attacks.</w:t>
      </w:r>
    </w:p>
    <w:p>
      <w:pPr>
        <w:spacing w:line="480" w:after="120"/>
      </w:pPr>
      <w:r>
        <w:rPr>
          <w:rFonts w:ascii="Times New Roman" w:cs="Times New Roman" w:eastAsia="Times New Roman" w:hAnsi="Times New Roman"/>
          <w:sz w:val="22"/>
          <w:szCs w:val="22"/>
        </w:rPr>
        <w:t xml:space="preserve">Prompt Security. (2025). The embedded threat in your LLM: Poisoning RAG pipelines via vector embeddings.</w:t>
      </w:r>
    </w:p>
    <w:p>
      <w:pPr>
        <w:spacing w:line="480" w:after="120"/>
      </w:pPr>
      <w:r>
        <w:rPr>
          <w:rFonts w:ascii="Times New Roman" w:cs="Times New Roman" w:eastAsia="Times New Roman" w:hAnsi="Times New Roman"/>
          <w:sz w:val="22"/>
          <w:szCs w:val="22"/>
        </w:rPr>
        <w:t xml:space="preserve">Anthropic. (2023). A small number of samples can poison LLMs of any size. Anthropic Research.</w:t>
      </w:r>
    </w:p>
    <w:p>
      <w:pPr>
        <w:spacing w:line="480" w:after="120"/>
      </w:pPr>
      <w:r>
        <w:rPr>
          <w:rFonts w:ascii="Times New Roman" w:cs="Times New Roman" w:eastAsia="Times New Roman" w:hAnsi="Times New Roman"/>
          <w:sz w:val="22"/>
          <w:szCs w:val="22"/>
        </w:rPr>
        <w:t xml:space="preserve">FuzzingLabs. (2025). Attacking reasoning models: LLM vulnerabilities.</w:t>
      </w:r>
    </w:p>
    <w:p>
      <w:pPr>
        <w:spacing w:line="480" w:after="120"/>
      </w:pPr>
      <w:r>
        <w:rPr>
          <w:rFonts w:ascii="Times New Roman" w:cs="Times New Roman" w:eastAsia="Times New Roman" w:hAnsi="Times New Roman"/>
          <w:sz w:val="22"/>
          <w:szCs w:val="22"/>
        </w:rPr>
        <w:t xml:space="preserve">SANS Institute. (2026). SANS 2024 detection and response survey.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Page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Nemure – CoT Poisoning Detection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6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2026-03-30T00:47:19.059Z</dcterms:created>
  <dcterms:modified xsi:type="dcterms:W3CDTF">2026-03-30T00:47:19.060Z</dcterms:modified>
</cp:coreProperties>
</file>

<file path=docProps/custom.xml><?xml version="1.0" encoding="utf-8"?>
<Properties xmlns="http://schemas.openxmlformats.org/officeDocument/2006/custom-properties" xmlns:vt="http://schemas.openxmlformats.org/officeDocument/2006/docPropsVTypes"/>
</file>