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3BB21" w14:textId="52395C2D" w:rsidR="0042133A" w:rsidRPr="0042133A" w:rsidRDefault="0042133A" w:rsidP="0042133A">
      <w:pPr>
        <w:pStyle w:val="Heading1"/>
        <w:tabs>
          <w:tab w:val="left" w:pos="24"/>
        </w:tabs>
        <w:adjustRightInd w:val="0"/>
        <w:snapToGrid w:val="0"/>
        <w:rPr>
          <w:lang w:val="en-IN"/>
        </w:rPr>
      </w:pPr>
      <w:r w:rsidRPr="0042133A">
        <w:rPr>
          <w:bCs/>
          <w:lang w:val="en-IN"/>
        </w:rPr>
        <w:t xml:space="preserve">Medium and Long </w:t>
      </w:r>
      <w:r>
        <w:rPr>
          <w:bCs/>
          <w:lang w:val="en-IN"/>
        </w:rPr>
        <w:t>T</w:t>
      </w:r>
      <w:r w:rsidRPr="0042133A">
        <w:rPr>
          <w:bCs/>
          <w:lang w:val="en-IN"/>
        </w:rPr>
        <w:t xml:space="preserve">erm </w:t>
      </w:r>
      <w:r>
        <w:rPr>
          <w:bCs/>
          <w:lang w:val="en-IN"/>
        </w:rPr>
        <w:t>Trading S</w:t>
      </w:r>
      <w:r w:rsidRPr="0042133A">
        <w:rPr>
          <w:bCs/>
          <w:lang w:val="en-IN"/>
        </w:rPr>
        <w:t xml:space="preserve">trategy by </w:t>
      </w:r>
      <w:r>
        <w:rPr>
          <w:bCs/>
          <w:lang w:val="en-IN"/>
        </w:rPr>
        <w:t>A</w:t>
      </w:r>
      <w:r w:rsidRPr="0042133A">
        <w:rPr>
          <w:bCs/>
          <w:lang w:val="en-IN"/>
        </w:rPr>
        <w:t xml:space="preserve">bsolute </w:t>
      </w:r>
      <w:r>
        <w:rPr>
          <w:bCs/>
          <w:lang w:val="en-IN"/>
        </w:rPr>
        <w:t>M</w:t>
      </w:r>
      <w:r w:rsidRPr="0042133A">
        <w:rPr>
          <w:bCs/>
          <w:lang w:val="en-IN"/>
        </w:rPr>
        <w:t>omentum</w:t>
      </w:r>
    </w:p>
    <w:p w14:paraId="472FC3E6" w14:textId="5750D8EC" w:rsidR="00305D04" w:rsidRDefault="00305D04" w:rsidP="008D7C63">
      <w:pPr>
        <w:pStyle w:val="Heading1"/>
        <w:tabs>
          <w:tab w:val="left" w:pos="24"/>
        </w:tabs>
        <w:adjustRightInd w:val="0"/>
        <w:snapToGrid w:val="0"/>
      </w:pPr>
    </w:p>
    <w:p w14:paraId="0E7B18AA" w14:textId="77777777" w:rsidR="00305D04" w:rsidRDefault="00305D04" w:rsidP="008D7C63">
      <w:pPr>
        <w:tabs>
          <w:tab w:val="left" w:pos="24"/>
        </w:tabs>
        <w:adjustRightInd w:val="0"/>
        <w:snapToGrid w:val="0"/>
        <w:jc w:val="center"/>
        <w:rPr>
          <w:sz w:val="22"/>
        </w:rPr>
      </w:pPr>
    </w:p>
    <w:p w14:paraId="236DD786" w14:textId="77777777" w:rsidR="00305D04" w:rsidRDefault="00305D04" w:rsidP="008D7C63">
      <w:pPr>
        <w:tabs>
          <w:tab w:val="left" w:pos="24"/>
        </w:tabs>
        <w:adjustRightInd w:val="0"/>
        <w:snapToGrid w:val="0"/>
        <w:jc w:val="center"/>
        <w:rPr>
          <w:sz w:val="22"/>
        </w:rPr>
      </w:pPr>
    </w:p>
    <w:p w14:paraId="47F1F823" w14:textId="062E00FA" w:rsidR="00305D04" w:rsidRDefault="0075038F" w:rsidP="008D7C63">
      <w:pPr>
        <w:tabs>
          <w:tab w:val="left" w:pos="24"/>
        </w:tabs>
        <w:adjustRightInd w:val="0"/>
        <w:snapToGrid w:val="0"/>
        <w:jc w:val="center"/>
        <w:rPr>
          <w:sz w:val="24"/>
          <w:lang w:eastAsia="ko-KR"/>
        </w:rPr>
      </w:pPr>
      <w:r>
        <w:rPr>
          <w:sz w:val="24"/>
        </w:rPr>
        <w:t xml:space="preserve">Nishan Agarwal, </w:t>
      </w:r>
      <w:proofErr w:type="spellStart"/>
      <w:r>
        <w:rPr>
          <w:sz w:val="24"/>
        </w:rPr>
        <w:t>Akshay</w:t>
      </w:r>
      <w:proofErr w:type="spellEnd"/>
      <w:r>
        <w:rPr>
          <w:sz w:val="24"/>
        </w:rPr>
        <w:t xml:space="preserve"> Kulkarni, Sarthak </w:t>
      </w:r>
      <w:proofErr w:type="spellStart"/>
      <w:r>
        <w:rPr>
          <w:sz w:val="24"/>
        </w:rPr>
        <w:t>Badjatiya</w:t>
      </w:r>
      <w:proofErr w:type="spellEnd"/>
    </w:p>
    <w:p w14:paraId="28C922FE" w14:textId="4BDE1BC0" w:rsidR="00305D04" w:rsidRDefault="0075038F" w:rsidP="008D7C63">
      <w:pPr>
        <w:tabs>
          <w:tab w:val="left" w:pos="24"/>
        </w:tabs>
        <w:adjustRightInd w:val="0"/>
        <w:snapToGrid w:val="0"/>
        <w:spacing w:beforeLines="50" w:before="120"/>
        <w:jc w:val="center"/>
        <w:rPr>
          <w:i/>
          <w:sz w:val="24"/>
        </w:rPr>
      </w:pPr>
      <w:r>
        <w:rPr>
          <w:i/>
          <w:sz w:val="24"/>
        </w:rPr>
        <w:t>Worldquant University</w:t>
      </w:r>
    </w:p>
    <w:p w14:paraId="475040AA" w14:textId="6C9746D8" w:rsidR="00305D04" w:rsidRDefault="00BA3CFF" w:rsidP="008D7C63">
      <w:pPr>
        <w:tabs>
          <w:tab w:val="left" w:pos="24"/>
        </w:tabs>
        <w:adjustRightInd w:val="0"/>
        <w:snapToGrid w:val="0"/>
        <w:jc w:val="center"/>
        <w:rPr>
          <w:i/>
          <w:sz w:val="24"/>
        </w:rPr>
      </w:pPr>
      <w:hyperlink r:id="rId8" w:history="1">
        <w:r w:rsidR="0075038F" w:rsidRPr="0057243C">
          <w:rPr>
            <w:rStyle w:val="Hyperlink"/>
            <w:i/>
            <w:sz w:val="24"/>
          </w:rPr>
          <w:t>Agarwalnishan5@gmail.com</w:t>
        </w:r>
      </w:hyperlink>
      <w:r w:rsidR="0075038F">
        <w:rPr>
          <w:i/>
          <w:sz w:val="24"/>
        </w:rPr>
        <w:t xml:space="preserve">, </w:t>
      </w:r>
      <w:hyperlink r:id="rId9" w:history="1">
        <w:r w:rsidR="0075038F" w:rsidRPr="0057243C">
          <w:rPr>
            <w:rStyle w:val="Hyperlink"/>
            <w:i/>
            <w:sz w:val="24"/>
          </w:rPr>
          <w:t>akshaypk2012@gmail.com</w:t>
        </w:r>
      </w:hyperlink>
      <w:r w:rsidR="0075038F">
        <w:rPr>
          <w:i/>
          <w:sz w:val="24"/>
        </w:rPr>
        <w:t xml:space="preserve">, </w:t>
      </w:r>
      <w:hyperlink r:id="rId10" w:history="1">
        <w:r w:rsidR="0075038F" w:rsidRPr="0057243C">
          <w:rPr>
            <w:rStyle w:val="Hyperlink"/>
            <w:i/>
            <w:sz w:val="24"/>
          </w:rPr>
          <w:t>sarthakbadjatiya@gmail.com</w:t>
        </w:r>
      </w:hyperlink>
      <w:r w:rsidR="0075038F">
        <w:rPr>
          <w:i/>
          <w:sz w:val="24"/>
        </w:rPr>
        <w:t xml:space="preserve"> </w:t>
      </w:r>
    </w:p>
    <w:p w14:paraId="6CCDA427" w14:textId="77777777" w:rsidR="00305D04" w:rsidRDefault="00305D04" w:rsidP="008D7C63">
      <w:pPr>
        <w:pStyle w:val="Heading1"/>
        <w:tabs>
          <w:tab w:val="left" w:pos="24"/>
        </w:tabs>
        <w:adjustRightInd w:val="0"/>
        <w:snapToGrid w:val="0"/>
        <w:spacing w:before="240" w:after="120"/>
        <w:rPr>
          <w:i/>
          <w:sz w:val="24"/>
        </w:rPr>
      </w:pPr>
      <w:r>
        <w:rPr>
          <w:i/>
          <w:sz w:val="24"/>
        </w:rPr>
        <w:t>Abstract</w:t>
      </w:r>
    </w:p>
    <w:p w14:paraId="19420A89" w14:textId="77777777" w:rsidR="00AB72F1" w:rsidRPr="00AB72F1" w:rsidRDefault="00AB72F1" w:rsidP="00AB72F1">
      <w:pPr>
        <w:pStyle w:val="BodyText"/>
        <w:tabs>
          <w:tab w:val="left" w:pos="24"/>
        </w:tabs>
        <w:adjustRightInd w:val="0"/>
        <w:snapToGrid w:val="0"/>
        <w:ind w:firstLine="244"/>
        <w:rPr>
          <w:lang w:val="en-IN"/>
        </w:rPr>
      </w:pPr>
      <w:r w:rsidRPr="00AB72F1">
        <w:rPr>
          <w:lang w:val="en-IN"/>
        </w:rPr>
        <w:t xml:space="preserve">Momentum is one of the strongest returns generating factors and with this research we try to analyse application of momentum in size/sector/style rotation in Indian Equity Markets. We also analyse effective time frame for use of momentum in allocation to enhance risk adjusted returns in both medium &amp; long term trading models. We optimise factors such as look back period, holding time and number of assets in the portfolio to obtain maximum profits. We also analyse optimal portfolio allocation based on momentum by including non- equity asset class in models including fixed income and gold for higher risk adjusted returns as compared to only equity focused portfolio. We then evaluate our strategies numerically and visually using comparative returns, standard deviations, profit consistency, alphas, Sharpe ratios, box plots, and maximum drawdowns under different scenarios. </w:t>
      </w:r>
    </w:p>
    <w:p w14:paraId="281F69AD" w14:textId="4589AE53" w:rsidR="00305D04" w:rsidRDefault="00305D04" w:rsidP="008D7C63">
      <w:pPr>
        <w:pStyle w:val="BodyText"/>
        <w:tabs>
          <w:tab w:val="left" w:pos="24"/>
        </w:tabs>
        <w:adjustRightInd w:val="0"/>
        <w:snapToGrid w:val="0"/>
        <w:ind w:firstLine="244"/>
        <w:rPr>
          <w:lang w:eastAsia="ko-KR"/>
        </w:rPr>
      </w:pPr>
    </w:p>
    <w:p w14:paraId="5825CEEA" w14:textId="77777777" w:rsidR="00BC6BC4" w:rsidRPr="002F7515" w:rsidRDefault="00BC6BC4" w:rsidP="008D7C63">
      <w:pPr>
        <w:pStyle w:val="BodyText"/>
        <w:tabs>
          <w:tab w:val="left" w:pos="24"/>
        </w:tabs>
        <w:adjustRightInd w:val="0"/>
        <w:snapToGrid w:val="0"/>
        <w:rPr>
          <w:i w:val="0"/>
          <w:lang w:eastAsia="ko-KR"/>
        </w:rPr>
      </w:pPr>
    </w:p>
    <w:p w14:paraId="0E71D5DD" w14:textId="0B6850A2" w:rsidR="00AB72F1" w:rsidRPr="00AB72F1" w:rsidRDefault="00BC6BC4" w:rsidP="00AB72F1">
      <w:pPr>
        <w:pStyle w:val="BodyText"/>
        <w:tabs>
          <w:tab w:val="left" w:pos="24"/>
        </w:tabs>
        <w:adjustRightInd w:val="0"/>
        <w:snapToGrid w:val="0"/>
        <w:ind w:firstLine="244"/>
        <w:rPr>
          <w:lang w:val="en-IN" w:eastAsia="ko-KR"/>
        </w:rPr>
      </w:pPr>
      <w:r w:rsidRPr="00BC6BC4">
        <w:rPr>
          <w:rFonts w:hint="eastAsia"/>
          <w:b/>
          <w:lang w:eastAsia="ko-KR"/>
        </w:rPr>
        <w:t xml:space="preserve">Keywords: </w:t>
      </w:r>
      <w:r w:rsidR="00AB72F1">
        <w:rPr>
          <w:lang w:val="en-IN" w:eastAsia="ko-KR"/>
        </w:rPr>
        <w:t>M</w:t>
      </w:r>
      <w:r w:rsidR="00AB72F1" w:rsidRPr="00AB72F1">
        <w:rPr>
          <w:lang w:val="en-IN" w:eastAsia="ko-KR"/>
        </w:rPr>
        <w:t>omentum investing, sector asset allocation, price momentum, asset allocation, momentum trading, style factors</w:t>
      </w:r>
    </w:p>
    <w:p w14:paraId="3D7FC245" w14:textId="40262D11" w:rsidR="00BC6BC4" w:rsidRPr="0009109B" w:rsidRDefault="00BC6BC4" w:rsidP="008D7C63">
      <w:pPr>
        <w:pStyle w:val="BodyText"/>
        <w:tabs>
          <w:tab w:val="left" w:pos="24"/>
        </w:tabs>
        <w:adjustRightInd w:val="0"/>
        <w:snapToGrid w:val="0"/>
        <w:ind w:firstLine="244"/>
        <w:rPr>
          <w:lang w:eastAsia="ko-KR"/>
        </w:rPr>
      </w:pPr>
    </w:p>
    <w:p w14:paraId="694CB40B" w14:textId="255DE46F" w:rsidR="00305D04" w:rsidRDefault="00305D04" w:rsidP="008D7C63">
      <w:pPr>
        <w:tabs>
          <w:tab w:val="left" w:pos="24"/>
        </w:tabs>
        <w:adjustRightInd w:val="0"/>
        <w:snapToGrid w:val="0"/>
        <w:jc w:val="both"/>
        <w:rPr>
          <w:sz w:val="22"/>
        </w:rPr>
      </w:pPr>
    </w:p>
    <w:p w14:paraId="1E11423B" w14:textId="77777777" w:rsidR="00392C34" w:rsidRPr="0009109B" w:rsidRDefault="00392C34" w:rsidP="008D7C63">
      <w:pPr>
        <w:tabs>
          <w:tab w:val="left" w:pos="24"/>
        </w:tabs>
        <w:adjustRightInd w:val="0"/>
        <w:snapToGrid w:val="0"/>
        <w:jc w:val="both"/>
        <w:rPr>
          <w:sz w:val="22"/>
        </w:rPr>
      </w:pPr>
    </w:p>
    <w:p w14:paraId="3EA4082D" w14:textId="730DEFF1" w:rsidR="00305D04" w:rsidRDefault="00305D04" w:rsidP="008D7C63">
      <w:pPr>
        <w:tabs>
          <w:tab w:val="left" w:pos="24"/>
        </w:tabs>
        <w:adjustRightInd w:val="0"/>
        <w:snapToGrid w:val="0"/>
        <w:jc w:val="both"/>
        <w:rPr>
          <w:b/>
          <w:sz w:val="26"/>
        </w:rPr>
      </w:pPr>
      <w:r>
        <w:rPr>
          <w:b/>
          <w:sz w:val="26"/>
        </w:rPr>
        <w:t xml:space="preserve">1. </w:t>
      </w:r>
      <w:r w:rsidR="00AB72F1">
        <w:rPr>
          <w:b/>
          <w:sz w:val="26"/>
        </w:rPr>
        <w:t>Literature Review</w:t>
      </w:r>
    </w:p>
    <w:p w14:paraId="3DA71324" w14:textId="2CDEC753" w:rsidR="00AB72F1" w:rsidRPr="00AB72F1" w:rsidRDefault="00AB72F1" w:rsidP="00AB72F1">
      <w:pPr>
        <w:pStyle w:val="BodyTextIndent"/>
        <w:tabs>
          <w:tab w:val="left" w:pos="24"/>
        </w:tabs>
        <w:adjustRightInd w:val="0"/>
        <w:snapToGrid w:val="0"/>
        <w:spacing w:before="120"/>
        <w:ind w:firstLine="244"/>
        <w:rPr>
          <w:lang w:val="en-IN"/>
        </w:rPr>
      </w:pPr>
      <w:r w:rsidRPr="00AB72F1">
        <w:rPr>
          <w:lang w:val="en-IN"/>
        </w:rPr>
        <w:t>The idea of Momentum investing has existed in the mainstream since the ‘90s. It is built on the logic that stocks that have gone up will continue to go up and that the returns from such a portfolio must be better than the broader markets. This simple premise has been shown to work on US stocks (</w:t>
      </w:r>
      <w:proofErr w:type="spellStart"/>
      <w:r w:rsidRPr="00AB72F1">
        <w:rPr>
          <w:lang w:val="en-IN"/>
        </w:rPr>
        <w:t>Jegadeesh</w:t>
      </w:r>
      <w:proofErr w:type="spellEnd"/>
      <w:r w:rsidRPr="00AB72F1">
        <w:rPr>
          <w:lang w:val="en-IN"/>
        </w:rPr>
        <w:t xml:space="preserve"> and Titman (1993))</w:t>
      </w:r>
      <w:r w:rsidR="00B51BFE">
        <w:rPr>
          <w:lang w:val="en-IN"/>
        </w:rPr>
        <w:t>[1]</w:t>
      </w:r>
      <w:r w:rsidRPr="00AB72F1">
        <w:rPr>
          <w:lang w:val="en-IN"/>
        </w:rPr>
        <w:t>, industries, currencies, government and corporate bonds (</w:t>
      </w:r>
      <w:proofErr w:type="spellStart"/>
      <w:r w:rsidRPr="00AB72F1">
        <w:rPr>
          <w:lang w:val="en-IN"/>
        </w:rPr>
        <w:t>Asness</w:t>
      </w:r>
      <w:proofErr w:type="spellEnd"/>
      <w:r w:rsidRPr="00AB72F1">
        <w:rPr>
          <w:lang w:val="en-IN"/>
        </w:rPr>
        <w:t>, Moskowitz and Pedersen (2012))</w:t>
      </w:r>
      <w:r w:rsidR="00B51BFE">
        <w:rPr>
          <w:lang w:val="en-IN"/>
        </w:rPr>
        <w:t>[2]</w:t>
      </w:r>
      <w:r w:rsidRPr="00AB72F1">
        <w:rPr>
          <w:lang w:val="en-IN"/>
        </w:rPr>
        <w:t xml:space="preserve">. </w:t>
      </w:r>
    </w:p>
    <w:p w14:paraId="4D962385" w14:textId="77777777" w:rsidR="00AB72F1" w:rsidRPr="00AB72F1" w:rsidRDefault="00AB72F1" w:rsidP="00AB72F1">
      <w:pPr>
        <w:pStyle w:val="BodyTextIndent"/>
        <w:tabs>
          <w:tab w:val="left" w:pos="24"/>
        </w:tabs>
        <w:adjustRightInd w:val="0"/>
        <w:snapToGrid w:val="0"/>
        <w:spacing w:before="120"/>
        <w:ind w:firstLine="244"/>
        <w:rPr>
          <w:lang w:val="en-IN"/>
        </w:rPr>
      </w:pPr>
      <w:r w:rsidRPr="00AB72F1">
        <w:rPr>
          <w:lang w:val="en-IN"/>
        </w:rPr>
        <w:t xml:space="preserve">Absolute momentum is different from relative momentum and is positive only when there is excess return from an asset over a lookback period, regardless of relative performance with other assets. There may be a case where momentum to be relatively negative but absolutely positive. </w:t>
      </w:r>
    </w:p>
    <w:p w14:paraId="13DD7E2F" w14:textId="77777777" w:rsidR="00AB72F1" w:rsidRPr="00AB72F1" w:rsidRDefault="00AB72F1" w:rsidP="00AB72F1">
      <w:pPr>
        <w:pStyle w:val="BodyTextIndent"/>
        <w:tabs>
          <w:tab w:val="left" w:pos="24"/>
        </w:tabs>
        <w:adjustRightInd w:val="0"/>
        <w:snapToGrid w:val="0"/>
        <w:spacing w:before="120"/>
        <w:ind w:firstLine="244"/>
        <w:rPr>
          <w:lang w:val="en-IN"/>
        </w:rPr>
      </w:pPr>
      <w:r w:rsidRPr="00AB72F1">
        <w:rPr>
          <w:lang w:val="en-IN"/>
        </w:rPr>
        <w:t xml:space="preserve">Momentum investing has more hard data backing its persistence as a strategy for outperformance than any other school of investing thought, including value. Absolute momentum is equally strong and universal as relative momentum. It has shown to perform well during extreme market conditions and across asset classes. </w:t>
      </w:r>
    </w:p>
    <w:p w14:paraId="333E94E3" w14:textId="1AD6D1F4" w:rsidR="00AB72F1" w:rsidRDefault="00AB72F1" w:rsidP="00AB72F1">
      <w:pPr>
        <w:pStyle w:val="BodyTextIndent"/>
        <w:tabs>
          <w:tab w:val="left" w:pos="24"/>
        </w:tabs>
        <w:adjustRightInd w:val="0"/>
        <w:snapToGrid w:val="0"/>
        <w:spacing w:before="120"/>
        <w:ind w:firstLine="244"/>
        <w:rPr>
          <w:lang w:val="en-IN"/>
        </w:rPr>
      </w:pPr>
      <w:r w:rsidRPr="00AB72F1">
        <w:rPr>
          <w:lang w:val="en-IN"/>
        </w:rPr>
        <w:t>The effect of absolute momentum risk, returns, and corelation of diverse markets have been extensively studied and compared to buy and hold approach (</w:t>
      </w:r>
      <w:proofErr w:type="spellStart"/>
      <w:r w:rsidRPr="00AB72F1">
        <w:rPr>
          <w:lang w:val="en-IN"/>
        </w:rPr>
        <w:t>Antonacci</w:t>
      </w:r>
      <w:proofErr w:type="spellEnd"/>
      <w:r w:rsidRPr="00AB72F1">
        <w:rPr>
          <w:lang w:val="en-IN"/>
        </w:rPr>
        <w:t xml:space="preserve"> (2012))</w:t>
      </w:r>
      <w:r w:rsidR="00B51BFE">
        <w:rPr>
          <w:lang w:val="en-IN"/>
        </w:rPr>
        <w:t>[3]</w:t>
      </w:r>
      <w:r w:rsidRPr="00AB72F1">
        <w:rPr>
          <w:lang w:val="en-IN"/>
        </w:rPr>
        <w:t xml:space="preserve">. It was seen that Absolute momentum improved the Sharpe ratio with respect to relative momentum. </w:t>
      </w:r>
    </w:p>
    <w:p w14:paraId="1D2C16DF" w14:textId="77777777" w:rsidR="00AB72F1" w:rsidRPr="00AB72F1" w:rsidRDefault="00AB72F1" w:rsidP="00AB72F1">
      <w:pPr>
        <w:pStyle w:val="BodyTextIndent"/>
        <w:tabs>
          <w:tab w:val="left" w:pos="24"/>
        </w:tabs>
        <w:adjustRightInd w:val="0"/>
        <w:snapToGrid w:val="0"/>
        <w:spacing w:before="120"/>
        <w:ind w:firstLine="244"/>
        <w:rPr>
          <w:lang w:val="en-IN"/>
        </w:rPr>
      </w:pPr>
      <w:r w:rsidRPr="00AB72F1">
        <w:rPr>
          <w:lang w:val="en-IN"/>
        </w:rPr>
        <w:lastRenderedPageBreak/>
        <w:t xml:space="preserve">Determining trend using absolute momentum also benefits to track regime changes and mitigate and mitigate the downside risk. In addition, absolute momentum gave substantially lower maximum drawdown than relative momentum also lowering the cross module correlations. </w:t>
      </w:r>
    </w:p>
    <w:p w14:paraId="3F76307E" w14:textId="0F01AF8E" w:rsidR="00AB72F1" w:rsidRPr="00AB72F1" w:rsidRDefault="00AB72F1" w:rsidP="00AB72F1">
      <w:pPr>
        <w:pStyle w:val="BodyTextIndent"/>
        <w:tabs>
          <w:tab w:val="left" w:pos="24"/>
        </w:tabs>
        <w:adjustRightInd w:val="0"/>
        <w:snapToGrid w:val="0"/>
        <w:spacing w:before="120"/>
        <w:ind w:firstLine="244"/>
        <w:rPr>
          <w:lang w:val="en-IN"/>
        </w:rPr>
      </w:pPr>
      <w:r w:rsidRPr="00AB72F1">
        <w:rPr>
          <w:lang w:val="en-IN"/>
        </w:rPr>
        <w:t>In the Indian market context, Sehgal and Balakrishnan (2002) obtained significant evidence of long-term return-reversal tendency and short-term momentum effect in Indian equities. Ansari and Khan (2012)</w:t>
      </w:r>
      <w:r w:rsidR="00B51BFE">
        <w:rPr>
          <w:lang w:val="en-IN"/>
        </w:rPr>
        <w:t>[2]</w:t>
      </w:r>
      <w:r w:rsidRPr="00AB72F1">
        <w:rPr>
          <w:lang w:val="en-IN"/>
        </w:rPr>
        <w:t xml:space="preserve"> found a strong presence of momentum profit in the Indian context and pointed out the significance of behavioural factors as sources of momentum profit. </w:t>
      </w:r>
    </w:p>
    <w:p w14:paraId="0B927E54" w14:textId="77777777" w:rsidR="00AB72F1" w:rsidRPr="00AB72F1" w:rsidRDefault="00AB72F1" w:rsidP="00AB72F1">
      <w:pPr>
        <w:pStyle w:val="BodyTextIndent"/>
        <w:tabs>
          <w:tab w:val="left" w:pos="24"/>
        </w:tabs>
        <w:adjustRightInd w:val="0"/>
        <w:snapToGrid w:val="0"/>
        <w:spacing w:before="120"/>
        <w:ind w:firstLine="244"/>
        <w:rPr>
          <w:lang w:val="en-IN"/>
        </w:rPr>
      </w:pPr>
      <w:r w:rsidRPr="00AB72F1">
        <w:rPr>
          <w:lang w:val="en-IN"/>
        </w:rPr>
        <w:t xml:space="preserve">It is well documented that momentum as a strategy works in developed markets like US and Europe. But does a strategy that buys winners purely based on price returns work in the Indian markets? Since there aren’t many concrete published studies, we plan to analyse this strategy in the Indian Markets. We will back test the momentum strategy using a basket of stocks/assets with an intention to find the optimal number of assets, holding period, look back period. </w:t>
      </w:r>
    </w:p>
    <w:p w14:paraId="47EFE4BF" w14:textId="77777777" w:rsidR="00AB72F1" w:rsidRPr="00AB72F1" w:rsidRDefault="00AB72F1" w:rsidP="00AB72F1">
      <w:pPr>
        <w:pStyle w:val="BodyTextIndent"/>
        <w:tabs>
          <w:tab w:val="left" w:pos="24"/>
        </w:tabs>
        <w:adjustRightInd w:val="0"/>
        <w:snapToGrid w:val="0"/>
        <w:spacing w:before="120"/>
        <w:ind w:firstLine="244"/>
        <w:rPr>
          <w:lang w:val="en-IN"/>
        </w:rPr>
      </w:pPr>
    </w:p>
    <w:p w14:paraId="35DA7BB1" w14:textId="285AC793" w:rsidR="00305D04" w:rsidRDefault="00305D04" w:rsidP="008D7C63">
      <w:pPr>
        <w:pStyle w:val="BodyTextIndent"/>
        <w:tabs>
          <w:tab w:val="left" w:pos="24"/>
        </w:tabs>
        <w:adjustRightInd w:val="0"/>
        <w:snapToGrid w:val="0"/>
        <w:spacing w:before="120"/>
        <w:ind w:firstLine="244"/>
        <w:rPr>
          <w:spacing w:val="0"/>
        </w:rPr>
      </w:pPr>
    </w:p>
    <w:p w14:paraId="19C80ADF" w14:textId="77777777" w:rsidR="00305D04" w:rsidRDefault="00305D04" w:rsidP="008D7C63">
      <w:pPr>
        <w:tabs>
          <w:tab w:val="left" w:pos="24"/>
        </w:tabs>
        <w:adjustRightInd w:val="0"/>
        <w:snapToGrid w:val="0"/>
        <w:jc w:val="both"/>
        <w:rPr>
          <w:bCs/>
          <w:sz w:val="22"/>
        </w:rPr>
      </w:pPr>
    </w:p>
    <w:p w14:paraId="2A55D120" w14:textId="7AC3D023" w:rsidR="00305D04" w:rsidRDefault="000502F1" w:rsidP="008D7C63">
      <w:pPr>
        <w:tabs>
          <w:tab w:val="left" w:pos="24"/>
        </w:tabs>
        <w:adjustRightInd w:val="0"/>
        <w:snapToGrid w:val="0"/>
        <w:jc w:val="both"/>
        <w:rPr>
          <w:b/>
          <w:sz w:val="26"/>
        </w:rPr>
      </w:pPr>
      <w:r>
        <w:rPr>
          <w:b/>
          <w:sz w:val="26"/>
        </w:rPr>
        <w:t xml:space="preserve">2. </w:t>
      </w:r>
      <w:r w:rsidR="00AB72F1">
        <w:rPr>
          <w:b/>
          <w:sz w:val="26"/>
        </w:rPr>
        <w:t>Methodology</w:t>
      </w:r>
    </w:p>
    <w:p w14:paraId="37A164A9" w14:textId="4E78C959" w:rsidR="00AB72F1" w:rsidRPr="00AB72F1" w:rsidRDefault="00AB72F1" w:rsidP="00AB72F1">
      <w:pPr>
        <w:pStyle w:val="BodyTextIndent"/>
        <w:tabs>
          <w:tab w:val="left" w:pos="24"/>
        </w:tabs>
        <w:adjustRightInd w:val="0"/>
        <w:snapToGrid w:val="0"/>
        <w:spacing w:before="120"/>
        <w:ind w:firstLine="244"/>
        <w:rPr>
          <w:lang w:val="en-IN"/>
        </w:rPr>
      </w:pPr>
      <w:r>
        <w:rPr>
          <w:lang w:val="en-IN"/>
        </w:rPr>
        <w:t>F</w:t>
      </w:r>
      <w:r w:rsidRPr="00AB72F1">
        <w:rPr>
          <w:lang w:val="en-IN"/>
        </w:rPr>
        <w:t xml:space="preserve">or acquiring the data from National Stock Exchange(NSE), we will use an open source python library, </w:t>
      </w:r>
      <w:proofErr w:type="spellStart"/>
      <w:r w:rsidRPr="00AB72F1">
        <w:rPr>
          <w:lang w:val="en-IN"/>
        </w:rPr>
        <w:t>NSEpy</w:t>
      </w:r>
      <w:proofErr w:type="spellEnd"/>
      <w:r w:rsidRPr="00AB72F1">
        <w:rPr>
          <w:lang w:val="en-IN"/>
        </w:rPr>
        <w:t xml:space="preserve">. This will be the basic building block for extraction of historical data for back testing. We can fetch the daily price history of stocks/indices/derivatives using </w:t>
      </w:r>
      <w:proofErr w:type="spellStart"/>
      <w:r w:rsidRPr="00AB72F1">
        <w:rPr>
          <w:lang w:val="en-IN"/>
        </w:rPr>
        <w:t>NSEpy</w:t>
      </w:r>
      <w:proofErr w:type="spellEnd"/>
      <w:r w:rsidRPr="00AB72F1">
        <w:rPr>
          <w:lang w:val="en-IN"/>
        </w:rPr>
        <w:t xml:space="preserve"> into a Pandas data frame, providing us with a dataset with minimum daily time period data, which can be modified to larger time periods. We plan to use </w:t>
      </w:r>
      <w:proofErr w:type="spellStart"/>
      <w:r w:rsidRPr="00AB72F1">
        <w:rPr>
          <w:lang w:val="en-IN"/>
        </w:rPr>
        <w:t>NSEpy</w:t>
      </w:r>
      <w:proofErr w:type="spellEnd"/>
      <w:r w:rsidRPr="00AB72F1">
        <w:rPr>
          <w:lang w:val="en-IN"/>
        </w:rPr>
        <w:t xml:space="preserve"> data and NSE website data for relevant indices and stocks from 2010 to present date. </w:t>
      </w:r>
    </w:p>
    <w:p w14:paraId="459F8701" w14:textId="3CCD05EB" w:rsidR="00AB72F1" w:rsidRDefault="00AB72F1" w:rsidP="00AB72F1">
      <w:pPr>
        <w:pStyle w:val="BodyTextIndent"/>
        <w:tabs>
          <w:tab w:val="left" w:pos="24"/>
        </w:tabs>
        <w:adjustRightInd w:val="0"/>
        <w:snapToGrid w:val="0"/>
        <w:spacing w:before="120"/>
        <w:ind w:firstLine="244"/>
        <w:rPr>
          <w:lang w:val="en-IN"/>
        </w:rPr>
      </w:pPr>
      <w:r w:rsidRPr="00AB72F1">
        <w:rPr>
          <w:lang w:val="en-IN"/>
        </w:rPr>
        <w:t xml:space="preserve">Once the data frame is ready with a mix of stocks, indices, fixed income indices and exchange traded funds(ETFs), we find the absolute momentum of each of the assets using a certain lookback period, ,where absolute momentum would be return in the lookback period and perform back test and analyse returns of portfolio in relevant holding period. </w:t>
      </w:r>
    </w:p>
    <w:p w14:paraId="6113C4ED" w14:textId="77777777" w:rsidR="00AB72F1" w:rsidRPr="00AB72F1" w:rsidRDefault="00AB72F1" w:rsidP="00AB72F1">
      <w:pPr>
        <w:pStyle w:val="BodyTextIndent"/>
        <w:tabs>
          <w:tab w:val="left" w:pos="24"/>
        </w:tabs>
        <w:adjustRightInd w:val="0"/>
        <w:snapToGrid w:val="0"/>
        <w:spacing w:before="120"/>
        <w:ind w:firstLine="244"/>
        <w:rPr>
          <w:lang w:val="en-IN"/>
        </w:rPr>
      </w:pPr>
      <w:r w:rsidRPr="00AB72F1">
        <w:rPr>
          <w:lang w:val="en-IN"/>
        </w:rPr>
        <w:t xml:space="preserve">Our strategy is to leverage absolute momentum to enhance this portfolio by optimising look back period, holding time and number of assets in the portfolio to obtain maximum returns. In the medium term strategy, we will look at a holding period of 7 days to 1 month, whereas for a long term strategy we will consider a period of 1 month to 1 year. </w:t>
      </w:r>
    </w:p>
    <w:p w14:paraId="4E76904A" w14:textId="77777777" w:rsidR="00AB72F1" w:rsidRPr="00AB72F1" w:rsidRDefault="00AB72F1" w:rsidP="00AB72F1">
      <w:pPr>
        <w:pStyle w:val="BodyTextIndent"/>
        <w:tabs>
          <w:tab w:val="left" w:pos="24"/>
        </w:tabs>
        <w:adjustRightInd w:val="0"/>
        <w:snapToGrid w:val="0"/>
        <w:spacing w:before="120"/>
        <w:ind w:firstLine="244"/>
        <w:rPr>
          <w:lang w:val="en-IN"/>
        </w:rPr>
      </w:pPr>
      <w:r w:rsidRPr="00AB72F1">
        <w:rPr>
          <w:lang w:val="en-IN"/>
        </w:rPr>
        <w:t xml:space="preserve">For equity only indices/portfolio , we will optimize portfolio selection by selection of equal weighted top n performing constituents in lookback period and back test returns in holding period for equal weighted top n constituents selecting relevant n for that particular index. </w:t>
      </w:r>
    </w:p>
    <w:p w14:paraId="358A38B5" w14:textId="77777777" w:rsidR="00AB72F1" w:rsidRPr="00AB72F1" w:rsidRDefault="00AB72F1" w:rsidP="00AB72F1">
      <w:pPr>
        <w:pStyle w:val="BodyTextIndent"/>
        <w:tabs>
          <w:tab w:val="left" w:pos="24"/>
        </w:tabs>
        <w:adjustRightInd w:val="0"/>
        <w:snapToGrid w:val="0"/>
        <w:spacing w:before="120"/>
        <w:ind w:firstLine="244"/>
        <w:rPr>
          <w:lang w:val="en-IN"/>
        </w:rPr>
      </w:pPr>
      <w:r w:rsidRPr="00AB72F1">
        <w:rPr>
          <w:lang w:val="en-IN"/>
        </w:rPr>
        <w:t xml:space="preserve">We will also explore returns of portfolio obtained from minimum variance optimization in selection on top n performing constituents. </w:t>
      </w:r>
    </w:p>
    <w:p w14:paraId="12AE38B8" w14:textId="73FA7815" w:rsidR="00AB72F1" w:rsidRDefault="00AB72F1" w:rsidP="00AB72F1">
      <w:pPr>
        <w:pStyle w:val="BodyTextIndent"/>
        <w:tabs>
          <w:tab w:val="left" w:pos="24"/>
        </w:tabs>
        <w:adjustRightInd w:val="0"/>
        <w:snapToGrid w:val="0"/>
        <w:spacing w:before="120"/>
        <w:ind w:firstLine="244"/>
        <w:rPr>
          <w:lang w:val="en-IN"/>
        </w:rPr>
      </w:pPr>
      <w:r w:rsidRPr="00AB72F1">
        <w:rPr>
          <w:lang w:val="en-IN"/>
        </w:rPr>
        <w:t xml:space="preserve">For style/index/ sector or asset class in portfolio we will compare returns of portfolio based on relative momentum of style/index/ sector or asset class with highest returns in the lookback period and select that style/index/ sector or asset class for back testing returns in holding period. </w:t>
      </w:r>
    </w:p>
    <w:p w14:paraId="51E23610" w14:textId="77777777" w:rsidR="00AB72F1" w:rsidRPr="00AB72F1" w:rsidRDefault="00AB72F1" w:rsidP="00AB72F1">
      <w:pPr>
        <w:pStyle w:val="BodyTextIndent"/>
        <w:tabs>
          <w:tab w:val="left" w:pos="24"/>
        </w:tabs>
        <w:adjustRightInd w:val="0"/>
        <w:snapToGrid w:val="0"/>
        <w:spacing w:before="120"/>
        <w:ind w:firstLine="244"/>
        <w:rPr>
          <w:lang w:val="en-IN"/>
        </w:rPr>
      </w:pPr>
    </w:p>
    <w:p w14:paraId="4DECC360" w14:textId="77777777" w:rsidR="00AB72F1" w:rsidRPr="00AB72F1" w:rsidRDefault="00AB72F1" w:rsidP="00AB72F1">
      <w:pPr>
        <w:pStyle w:val="BodyTextIndent"/>
        <w:tabs>
          <w:tab w:val="left" w:pos="24"/>
        </w:tabs>
        <w:adjustRightInd w:val="0"/>
        <w:snapToGrid w:val="0"/>
        <w:spacing w:before="120"/>
        <w:ind w:firstLine="244"/>
        <w:rPr>
          <w:lang w:val="en-IN"/>
        </w:rPr>
      </w:pPr>
      <w:r w:rsidRPr="00AB72F1">
        <w:rPr>
          <w:lang w:val="en-IN"/>
        </w:rPr>
        <w:lastRenderedPageBreak/>
        <w:t xml:space="preserve">We will use following indices for our analysis: </w:t>
      </w:r>
    </w:p>
    <w:p w14:paraId="536B9CEA" w14:textId="34B599A2" w:rsidR="00AB72F1" w:rsidRPr="00FF10CE" w:rsidRDefault="00AB72F1" w:rsidP="00AB72F1">
      <w:pPr>
        <w:tabs>
          <w:tab w:val="left" w:pos="24"/>
        </w:tabs>
        <w:adjustRightInd w:val="0"/>
        <w:snapToGrid w:val="0"/>
        <w:spacing w:before="240" w:after="120"/>
        <w:jc w:val="center"/>
        <w:rPr>
          <w:sz w:val="22"/>
          <w:szCs w:val="22"/>
          <w:lang w:eastAsia="ko-KR"/>
        </w:rPr>
      </w:pPr>
      <w:r w:rsidRPr="00FF10CE">
        <w:rPr>
          <w:rFonts w:ascii="Helvetica" w:hAnsi="Helvetica" w:cs="Helvetica"/>
          <w:b/>
          <w:sz w:val="22"/>
          <w:szCs w:val="22"/>
          <w:lang w:eastAsia="ko-KR"/>
        </w:rPr>
        <w:t>Table 1.</w:t>
      </w:r>
      <w:r w:rsidRPr="00FF10CE">
        <w:rPr>
          <w:rFonts w:hint="eastAsia"/>
          <w:b/>
          <w:sz w:val="22"/>
          <w:szCs w:val="22"/>
          <w:lang w:eastAsia="ko-KR"/>
        </w:rPr>
        <w:t xml:space="preserve"> </w:t>
      </w:r>
      <w:r w:rsidR="00B51BFE">
        <w:rPr>
          <w:rFonts w:ascii="Helvetica" w:hAnsi="Helvetica" w:cs="Helvetica"/>
          <w:b/>
          <w:bCs/>
          <w:sz w:val="22"/>
          <w:szCs w:val="22"/>
        </w:rPr>
        <w:t>Indices in Indian Markets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0"/>
        <w:gridCol w:w="3483"/>
      </w:tblGrid>
      <w:tr w:rsidR="00AB72F1" w:rsidRPr="00CA5BAA" w14:paraId="242F731D" w14:textId="77777777" w:rsidTr="00B51BFE">
        <w:trPr>
          <w:trHeight w:val="220"/>
          <w:jc w:val="center"/>
        </w:trPr>
        <w:tc>
          <w:tcPr>
            <w:tcW w:w="3480" w:type="dxa"/>
            <w:shd w:val="clear" w:color="auto" w:fill="4BACC6"/>
          </w:tcPr>
          <w:p w14:paraId="6E8A8E09" w14:textId="3C988BDE" w:rsidR="00AB72F1" w:rsidRPr="00CA5BAA" w:rsidRDefault="00AB72F1" w:rsidP="0013675D">
            <w:pPr>
              <w:tabs>
                <w:tab w:val="left" w:pos="24"/>
              </w:tabs>
              <w:adjustRightInd w:val="0"/>
              <w:snapToGrid w:val="0"/>
              <w:jc w:val="both"/>
              <w:rPr>
                <w:b/>
                <w:bCs/>
                <w:color w:val="FFFFFF"/>
                <w:sz w:val="22"/>
                <w:szCs w:val="22"/>
                <w:lang w:eastAsia="ko-KR"/>
              </w:rPr>
            </w:pPr>
            <w:r>
              <w:rPr>
                <w:b/>
                <w:bCs/>
                <w:color w:val="FFFFFF"/>
                <w:sz w:val="22"/>
                <w:szCs w:val="22"/>
                <w:lang w:eastAsia="ko-KR"/>
              </w:rPr>
              <w:t>Index Name</w:t>
            </w:r>
          </w:p>
        </w:tc>
        <w:tc>
          <w:tcPr>
            <w:tcW w:w="3483" w:type="dxa"/>
            <w:shd w:val="clear" w:color="auto" w:fill="4BACC6"/>
          </w:tcPr>
          <w:p w14:paraId="5477E0C9" w14:textId="5B78935F" w:rsidR="00AB72F1" w:rsidRPr="00CA5BAA" w:rsidRDefault="00AB72F1" w:rsidP="0013675D">
            <w:pPr>
              <w:tabs>
                <w:tab w:val="left" w:pos="24"/>
              </w:tabs>
              <w:adjustRightInd w:val="0"/>
              <w:snapToGrid w:val="0"/>
              <w:jc w:val="both"/>
              <w:rPr>
                <w:b/>
                <w:bCs/>
                <w:color w:val="FFFFFF"/>
                <w:sz w:val="22"/>
                <w:szCs w:val="22"/>
                <w:lang w:eastAsia="ko-KR"/>
              </w:rPr>
            </w:pPr>
            <w:r>
              <w:rPr>
                <w:b/>
                <w:bCs/>
                <w:color w:val="FFFFFF"/>
                <w:sz w:val="22"/>
                <w:szCs w:val="22"/>
                <w:lang w:eastAsia="ko-KR"/>
              </w:rPr>
              <w:t>Type</w:t>
            </w:r>
          </w:p>
        </w:tc>
      </w:tr>
      <w:tr w:rsidR="00AB72F1" w:rsidRPr="00CA5BAA" w14:paraId="1CE57361" w14:textId="77777777" w:rsidTr="00B51BFE">
        <w:trPr>
          <w:trHeight w:val="233"/>
          <w:jc w:val="center"/>
        </w:trPr>
        <w:tc>
          <w:tcPr>
            <w:tcW w:w="3480" w:type="dxa"/>
            <w:shd w:val="clear" w:color="auto" w:fill="D8D8D8"/>
          </w:tcPr>
          <w:p w14:paraId="39D521BB" w14:textId="00E4A480" w:rsidR="00AB72F1" w:rsidRPr="00AB72F1" w:rsidRDefault="00AB72F1" w:rsidP="0013675D">
            <w:pPr>
              <w:tabs>
                <w:tab w:val="left" w:pos="24"/>
              </w:tabs>
              <w:adjustRightInd w:val="0"/>
              <w:snapToGrid w:val="0"/>
              <w:jc w:val="both"/>
              <w:rPr>
                <w:sz w:val="22"/>
                <w:szCs w:val="22"/>
                <w:lang w:val="en-IN" w:eastAsia="ko-KR"/>
              </w:rPr>
            </w:pPr>
            <w:r w:rsidRPr="00AB72F1">
              <w:rPr>
                <w:sz w:val="22"/>
                <w:szCs w:val="22"/>
                <w:lang w:val="en-IN" w:eastAsia="ko-KR"/>
              </w:rPr>
              <w:t xml:space="preserve">NIFTY 50 </w:t>
            </w:r>
          </w:p>
        </w:tc>
        <w:tc>
          <w:tcPr>
            <w:tcW w:w="3483" w:type="dxa"/>
            <w:shd w:val="clear" w:color="auto" w:fill="D8D8D8"/>
          </w:tcPr>
          <w:p w14:paraId="407BDFB2" w14:textId="669A3E42" w:rsidR="00AB72F1" w:rsidRPr="00CA5BAA" w:rsidRDefault="00B51BFE" w:rsidP="0013675D">
            <w:pPr>
              <w:tabs>
                <w:tab w:val="left" w:pos="24"/>
              </w:tabs>
              <w:adjustRightInd w:val="0"/>
              <w:snapToGrid w:val="0"/>
              <w:jc w:val="both"/>
              <w:rPr>
                <w:sz w:val="22"/>
                <w:szCs w:val="22"/>
                <w:lang w:eastAsia="ko-KR"/>
              </w:rPr>
            </w:pPr>
            <w:r>
              <w:rPr>
                <w:sz w:val="22"/>
                <w:szCs w:val="22"/>
                <w:lang w:eastAsia="ko-KR"/>
              </w:rPr>
              <w:t>Large Cap Index</w:t>
            </w:r>
          </w:p>
        </w:tc>
      </w:tr>
      <w:tr w:rsidR="00B51BFE" w:rsidRPr="00B51BFE" w14:paraId="2EC26DC9" w14:textId="77777777" w:rsidTr="00B51BFE">
        <w:trPr>
          <w:trHeight w:val="454"/>
          <w:jc w:val="center"/>
        </w:trPr>
        <w:tc>
          <w:tcPr>
            <w:tcW w:w="3480" w:type="dxa"/>
            <w:shd w:val="clear" w:color="auto" w:fill="D8D8D8"/>
            <w:vAlign w:val="center"/>
          </w:tcPr>
          <w:p w14:paraId="48F0A9D6" w14:textId="3C50DFD9" w:rsidR="00B51BFE" w:rsidRPr="00B51BFE" w:rsidRDefault="00B51BFE" w:rsidP="00B51BFE">
            <w:pPr>
              <w:tabs>
                <w:tab w:val="left" w:pos="24"/>
              </w:tabs>
              <w:adjustRightInd w:val="0"/>
              <w:snapToGrid w:val="0"/>
              <w:jc w:val="both"/>
              <w:rPr>
                <w:sz w:val="22"/>
                <w:szCs w:val="22"/>
                <w:lang w:val="en-IN" w:eastAsia="ko-KR"/>
              </w:rPr>
            </w:pPr>
            <w:r w:rsidRPr="00B51BFE">
              <w:rPr>
                <w:sz w:val="22"/>
                <w:szCs w:val="22"/>
                <w:lang w:val="en-IN" w:eastAsia="ko-KR"/>
              </w:rPr>
              <w:t>NIFTY MIDCAP 50</w:t>
            </w:r>
          </w:p>
        </w:tc>
        <w:tc>
          <w:tcPr>
            <w:tcW w:w="3483" w:type="dxa"/>
            <w:shd w:val="clear" w:color="auto" w:fill="D8D8D8"/>
            <w:vAlign w:val="center"/>
          </w:tcPr>
          <w:p w14:paraId="53B0553A" w14:textId="05A85EFA" w:rsidR="00B51BFE" w:rsidRPr="00B51BFE" w:rsidRDefault="00B51BFE" w:rsidP="00B51BFE">
            <w:pPr>
              <w:tabs>
                <w:tab w:val="left" w:pos="24"/>
              </w:tabs>
              <w:adjustRightInd w:val="0"/>
              <w:snapToGrid w:val="0"/>
              <w:jc w:val="both"/>
              <w:rPr>
                <w:sz w:val="22"/>
                <w:szCs w:val="22"/>
                <w:lang w:val="en-IN" w:eastAsia="ko-KR"/>
              </w:rPr>
            </w:pPr>
            <w:r w:rsidRPr="00B51BFE">
              <w:rPr>
                <w:sz w:val="22"/>
                <w:szCs w:val="22"/>
                <w:lang w:val="en-IN" w:eastAsia="ko-KR"/>
              </w:rPr>
              <w:t>Mid Cap Index</w:t>
            </w:r>
          </w:p>
        </w:tc>
      </w:tr>
      <w:tr w:rsidR="00B51BFE" w:rsidRPr="00B51BFE" w14:paraId="2B311846" w14:textId="77777777" w:rsidTr="00B51BFE">
        <w:trPr>
          <w:trHeight w:val="688"/>
          <w:jc w:val="center"/>
        </w:trPr>
        <w:tc>
          <w:tcPr>
            <w:tcW w:w="3480" w:type="dxa"/>
            <w:shd w:val="clear" w:color="auto" w:fill="D8D8D8"/>
            <w:vAlign w:val="center"/>
          </w:tcPr>
          <w:p w14:paraId="50681136" w14:textId="275059D0" w:rsidR="00B51BFE" w:rsidRPr="00B51BFE" w:rsidRDefault="00B51BFE" w:rsidP="00B51BFE">
            <w:pPr>
              <w:tabs>
                <w:tab w:val="left" w:pos="24"/>
              </w:tabs>
              <w:adjustRightInd w:val="0"/>
              <w:snapToGrid w:val="0"/>
              <w:jc w:val="both"/>
              <w:rPr>
                <w:sz w:val="22"/>
                <w:szCs w:val="22"/>
                <w:lang w:val="en-IN" w:eastAsia="ko-KR"/>
              </w:rPr>
            </w:pPr>
            <w:r w:rsidRPr="00B51BFE">
              <w:rPr>
                <w:sz w:val="22"/>
                <w:szCs w:val="22"/>
                <w:lang w:val="en-IN" w:eastAsia="ko-KR"/>
              </w:rPr>
              <w:t>NIFTY SMALLCAP 50</w:t>
            </w:r>
          </w:p>
        </w:tc>
        <w:tc>
          <w:tcPr>
            <w:tcW w:w="3483" w:type="dxa"/>
            <w:shd w:val="clear" w:color="auto" w:fill="D8D8D8"/>
            <w:vAlign w:val="center"/>
          </w:tcPr>
          <w:p w14:paraId="436928F2" w14:textId="509254DB" w:rsidR="00B51BFE" w:rsidRPr="00B51BFE" w:rsidRDefault="00B51BFE" w:rsidP="00B51BFE">
            <w:pPr>
              <w:tabs>
                <w:tab w:val="left" w:pos="24"/>
              </w:tabs>
              <w:adjustRightInd w:val="0"/>
              <w:snapToGrid w:val="0"/>
              <w:jc w:val="both"/>
              <w:rPr>
                <w:sz w:val="22"/>
                <w:szCs w:val="22"/>
                <w:lang w:val="en-IN" w:eastAsia="ko-KR"/>
              </w:rPr>
            </w:pPr>
            <w:r w:rsidRPr="00B51BFE">
              <w:rPr>
                <w:sz w:val="22"/>
                <w:szCs w:val="22"/>
                <w:lang w:val="en-IN" w:eastAsia="ko-KR"/>
              </w:rPr>
              <w:t>Small Cap Index</w:t>
            </w:r>
          </w:p>
        </w:tc>
      </w:tr>
      <w:tr w:rsidR="00B51BFE" w:rsidRPr="00B51BFE" w14:paraId="1AAFF349" w14:textId="77777777" w:rsidTr="00B51BFE">
        <w:trPr>
          <w:trHeight w:val="454"/>
          <w:jc w:val="center"/>
        </w:trPr>
        <w:tc>
          <w:tcPr>
            <w:tcW w:w="3480" w:type="dxa"/>
            <w:shd w:val="clear" w:color="auto" w:fill="D8D8D8"/>
            <w:vAlign w:val="center"/>
          </w:tcPr>
          <w:p w14:paraId="227F489C" w14:textId="6B1500DF" w:rsidR="00B51BFE" w:rsidRPr="00B51BFE" w:rsidRDefault="00B51BFE" w:rsidP="00B51BFE">
            <w:pPr>
              <w:tabs>
                <w:tab w:val="left" w:pos="24"/>
              </w:tabs>
              <w:adjustRightInd w:val="0"/>
              <w:snapToGrid w:val="0"/>
              <w:jc w:val="both"/>
              <w:rPr>
                <w:sz w:val="22"/>
                <w:szCs w:val="22"/>
                <w:lang w:val="en-IN" w:eastAsia="ko-KR"/>
              </w:rPr>
            </w:pPr>
            <w:r w:rsidRPr="00B51BFE">
              <w:rPr>
                <w:sz w:val="22"/>
                <w:szCs w:val="22"/>
                <w:lang w:val="en-IN" w:eastAsia="ko-KR"/>
              </w:rPr>
              <w:t>NIFTY AUTO</w:t>
            </w:r>
          </w:p>
        </w:tc>
        <w:tc>
          <w:tcPr>
            <w:tcW w:w="3483" w:type="dxa"/>
            <w:shd w:val="clear" w:color="auto" w:fill="D8D8D8"/>
            <w:vAlign w:val="center"/>
          </w:tcPr>
          <w:p w14:paraId="08114C7C" w14:textId="1FCF648C" w:rsidR="00B51BFE" w:rsidRPr="00B51BFE" w:rsidRDefault="00B51BFE" w:rsidP="00B51BFE">
            <w:pPr>
              <w:tabs>
                <w:tab w:val="left" w:pos="24"/>
              </w:tabs>
              <w:adjustRightInd w:val="0"/>
              <w:snapToGrid w:val="0"/>
              <w:jc w:val="both"/>
              <w:rPr>
                <w:sz w:val="22"/>
                <w:szCs w:val="22"/>
                <w:lang w:val="en-IN" w:eastAsia="ko-KR"/>
              </w:rPr>
            </w:pPr>
            <w:r w:rsidRPr="00B51BFE">
              <w:rPr>
                <w:sz w:val="22"/>
                <w:szCs w:val="22"/>
                <w:lang w:val="en-IN" w:eastAsia="ko-KR"/>
              </w:rPr>
              <w:t>Automobiles Sector Index</w:t>
            </w:r>
          </w:p>
        </w:tc>
      </w:tr>
      <w:tr w:rsidR="00B51BFE" w:rsidRPr="00B51BFE" w14:paraId="37C1DAC5" w14:textId="77777777" w:rsidTr="00B51BFE">
        <w:trPr>
          <w:trHeight w:val="454"/>
          <w:jc w:val="center"/>
        </w:trPr>
        <w:tc>
          <w:tcPr>
            <w:tcW w:w="3480" w:type="dxa"/>
            <w:shd w:val="clear" w:color="auto" w:fill="D8D8D8"/>
            <w:vAlign w:val="center"/>
          </w:tcPr>
          <w:p w14:paraId="2A573D90" w14:textId="22F2892A" w:rsidR="00B51BFE" w:rsidRPr="00B51BFE" w:rsidRDefault="00B51BFE" w:rsidP="00B51BFE">
            <w:pPr>
              <w:tabs>
                <w:tab w:val="left" w:pos="24"/>
              </w:tabs>
              <w:adjustRightInd w:val="0"/>
              <w:snapToGrid w:val="0"/>
              <w:jc w:val="both"/>
              <w:rPr>
                <w:sz w:val="22"/>
                <w:szCs w:val="22"/>
                <w:lang w:val="en-IN" w:eastAsia="ko-KR"/>
              </w:rPr>
            </w:pPr>
            <w:r w:rsidRPr="00B51BFE">
              <w:rPr>
                <w:sz w:val="22"/>
                <w:szCs w:val="22"/>
                <w:lang w:val="en-IN" w:eastAsia="ko-KR"/>
              </w:rPr>
              <w:t>NIFTY BANK</w:t>
            </w:r>
          </w:p>
        </w:tc>
        <w:tc>
          <w:tcPr>
            <w:tcW w:w="3483" w:type="dxa"/>
            <w:shd w:val="clear" w:color="auto" w:fill="D8D8D8"/>
            <w:vAlign w:val="center"/>
          </w:tcPr>
          <w:p w14:paraId="6FE177E7" w14:textId="4D84E2AE" w:rsidR="00B51BFE" w:rsidRPr="00B51BFE" w:rsidRDefault="00B51BFE" w:rsidP="00B51BFE">
            <w:pPr>
              <w:tabs>
                <w:tab w:val="left" w:pos="24"/>
              </w:tabs>
              <w:adjustRightInd w:val="0"/>
              <w:snapToGrid w:val="0"/>
              <w:jc w:val="both"/>
              <w:rPr>
                <w:sz w:val="22"/>
                <w:szCs w:val="22"/>
                <w:lang w:val="en-IN" w:eastAsia="ko-KR"/>
              </w:rPr>
            </w:pPr>
            <w:r w:rsidRPr="00B51BFE">
              <w:rPr>
                <w:sz w:val="22"/>
                <w:szCs w:val="22"/>
                <w:lang w:val="en-IN" w:eastAsia="ko-KR"/>
              </w:rPr>
              <w:t>Bank Sector Index</w:t>
            </w:r>
          </w:p>
        </w:tc>
      </w:tr>
      <w:tr w:rsidR="00B51BFE" w:rsidRPr="00B51BFE" w14:paraId="1051FE32" w14:textId="77777777" w:rsidTr="00B51BFE">
        <w:trPr>
          <w:trHeight w:val="688"/>
          <w:jc w:val="center"/>
        </w:trPr>
        <w:tc>
          <w:tcPr>
            <w:tcW w:w="3480" w:type="dxa"/>
            <w:shd w:val="clear" w:color="auto" w:fill="D8D8D8"/>
            <w:vAlign w:val="center"/>
          </w:tcPr>
          <w:p w14:paraId="08C1522B" w14:textId="349185E1" w:rsidR="00B51BFE" w:rsidRPr="00B51BFE" w:rsidRDefault="00B51BFE" w:rsidP="00B51BFE">
            <w:pPr>
              <w:tabs>
                <w:tab w:val="left" w:pos="24"/>
              </w:tabs>
              <w:adjustRightInd w:val="0"/>
              <w:snapToGrid w:val="0"/>
              <w:jc w:val="both"/>
              <w:rPr>
                <w:sz w:val="22"/>
                <w:szCs w:val="22"/>
                <w:lang w:val="en-IN" w:eastAsia="ko-KR"/>
              </w:rPr>
            </w:pPr>
            <w:r w:rsidRPr="00B51BFE">
              <w:rPr>
                <w:sz w:val="22"/>
                <w:szCs w:val="22"/>
                <w:lang w:val="en-IN" w:eastAsia="ko-KR"/>
              </w:rPr>
              <w:t>NIFTY IT</w:t>
            </w:r>
          </w:p>
        </w:tc>
        <w:tc>
          <w:tcPr>
            <w:tcW w:w="3483" w:type="dxa"/>
            <w:shd w:val="clear" w:color="auto" w:fill="D8D8D8"/>
            <w:vAlign w:val="center"/>
          </w:tcPr>
          <w:p w14:paraId="7B79F251" w14:textId="4DC9C7AD" w:rsidR="00B51BFE" w:rsidRPr="00B51BFE" w:rsidRDefault="00B51BFE" w:rsidP="00B51BFE">
            <w:pPr>
              <w:tabs>
                <w:tab w:val="left" w:pos="24"/>
              </w:tabs>
              <w:adjustRightInd w:val="0"/>
              <w:snapToGrid w:val="0"/>
              <w:jc w:val="both"/>
              <w:rPr>
                <w:sz w:val="22"/>
                <w:szCs w:val="22"/>
                <w:lang w:val="en-IN" w:eastAsia="ko-KR"/>
              </w:rPr>
            </w:pPr>
            <w:r w:rsidRPr="00B51BFE">
              <w:rPr>
                <w:sz w:val="22"/>
                <w:szCs w:val="22"/>
                <w:lang w:val="en-IN" w:eastAsia="ko-KR"/>
              </w:rPr>
              <w:t>Information Technology Sector Index</w:t>
            </w:r>
          </w:p>
        </w:tc>
      </w:tr>
      <w:tr w:rsidR="00B51BFE" w:rsidRPr="00B51BFE" w14:paraId="30D7949C" w14:textId="77777777" w:rsidTr="00B51BFE">
        <w:trPr>
          <w:trHeight w:val="466"/>
          <w:jc w:val="center"/>
        </w:trPr>
        <w:tc>
          <w:tcPr>
            <w:tcW w:w="3480" w:type="dxa"/>
            <w:shd w:val="clear" w:color="auto" w:fill="D8D8D8"/>
            <w:vAlign w:val="center"/>
          </w:tcPr>
          <w:p w14:paraId="2419CFB3" w14:textId="596CF13F" w:rsidR="00B51BFE" w:rsidRPr="00B51BFE" w:rsidRDefault="00B51BFE" w:rsidP="00B51BFE">
            <w:pPr>
              <w:tabs>
                <w:tab w:val="left" w:pos="24"/>
              </w:tabs>
              <w:adjustRightInd w:val="0"/>
              <w:snapToGrid w:val="0"/>
              <w:jc w:val="both"/>
              <w:rPr>
                <w:sz w:val="22"/>
                <w:szCs w:val="22"/>
                <w:lang w:val="en-IN" w:eastAsia="ko-KR"/>
              </w:rPr>
            </w:pPr>
            <w:r w:rsidRPr="00B51BFE">
              <w:rPr>
                <w:sz w:val="22"/>
                <w:szCs w:val="22"/>
                <w:lang w:val="en-IN" w:eastAsia="ko-KR"/>
              </w:rPr>
              <w:t>NIFTY METAL</w:t>
            </w:r>
          </w:p>
        </w:tc>
        <w:tc>
          <w:tcPr>
            <w:tcW w:w="3483" w:type="dxa"/>
            <w:shd w:val="clear" w:color="auto" w:fill="D8D8D8"/>
            <w:vAlign w:val="center"/>
          </w:tcPr>
          <w:p w14:paraId="0D41D00F" w14:textId="436FF027" w:rsidR="00B51BFE" w:rsidRPr="00B51BFE" w:rsidRDefault="00B51BFE" w:rsidP="00B51BFE">
            <w:pPr>
              <w:tabs>
                <w:tab w:val="left" w:pos="24"/>
              </w:tabs>
              <w:adjustRightInd w:val="0"/>
              <w:snapToGrid w:val="0"/>
              <w:jc w:val="both"/>
              <w:rPr>
                <w:sz w:val="22"/>
                <w:szCs w:val="22"/>
                <w:lang w:val="en-IN" w:eastAsia="ko-KR"/>
              </w:rPr>
            </w:pPr>
            <w:r w:rsidRPr="00B51BFE">
              <w:rPr>
                <w:sz w:val="22"/>
                <w:szCs w:val="22"/>
                <w:lang w:val="en-IN" w:eastAsia="ko-KR"/>
              </w:rPr>
              <w:t>Metal Sector Index</w:t>
            </w:r>
          </w:p>
        </w:tc>
      </w:tr>
      <w:tr w:rsidR="00B51BFE" w:rsidRPr="00B51BFE" w14:paraId="7AF877B2" w14:textId="77777777" w:rsidTr="00B51BFE">
        <w:trPr>
          <w:trHeight w:val="441"/>
          <w:jc w:val="center"/>
        </w:trPr>
        <w:tc>
          <w:tcPr>
            <w:tcW w:w="3480" w:type="dxa"/>
            <w:shd w:val="clear" w:color="auto" w:fill="D8D8D8"/>
            <w:vAlign w:val="center"/>
          </w:tcPr>
          <w:p w14:paraId="4161E456" w14:textId="2914EBC4" w:rsidR="00B51BFE" w:rsidRPr="00B51BFE" w:rsidRDefault="00BA3CFF" w:rsidP="00B51BFE">
            <w:pPr>
              <w:tabs>
                <w:tab w:val="left" w:pos="24"/>
              </w:tabs>
              <w:adjustRightInd w:val="0"/>
              <w:snapToGrid w:val="0"/>
              <w:jc w:val="both"/>
              <w:rPr>
                <w:sz w:val="22"/>
                <w:szCs w:val="22"/>
                <w:lang w:val="en-IN" w:eastAsia="ko-KR"/>
              </w:rPr>
            </w:pPr>
            <w:hyperlink r:id="rId11">
              <w:r w:rsidR="00B51BFE" w:rsidRPr="00B51BFE">
                <w:rPr>
                  <w:sz w:val="22"/>
                  <w:szCs w:val="22"/>
                  <w:lang w:val="en-IN" w:eastAsia="ko-KR"/>
                </w:rPr>
                <w:t>NIFTY R</w:t>
              </w:r>
            </w:hyperlink>
            <w:r w:rsidR="00B51BFE" w:rsidRPr="00B51BFE">
              <w:rPr>
                <w:sz w:val="22"/>
                <w:szCs w:val="22"/>
                <w:lang w:val="en-IN" w:eastAsia="ko-KR"/>
              </w:rPr>
              <w:t>E</w:t>
            </w:r>
            <w:hyperlink r:id="rId12">
              <w:r w:rsidR="00B51BFE" w:rsidRPr="00B51BFE">
                <w:rPr>
                  <w:sz w:val="22"/>
                  <w:szCs w:val="22"/>
                  <w:lang w:val="en-IN" w:eastAsia="ko-KR"/>
                </w:rPr>
                <w:t>ALTY</w:t>
              </w:r>
            </w:hyperlink>
          </w:p>
        </w:tc>
        <w:tc>
          <w:tcPr>
            <w:tcW w:w="3483" w:type="dxa"/>
            <w:shd w:val="clear" w:color="auto" w:fill="D8D8D8"/>
            <w:vAlign w:val="center"/>
          </w:tcPr>
          <w:p w14:paraId="638185D7" w14:textId="22A57AAC" w:rsidR="00B51BFE" w:rsidRPr="00B51BFE" w:rsidRDefault="00B51BFE" w:rsidP="00B51BFE">
            <w:pPr>
              <w:tabs>
                <w:tab w:val="left" w:pos="24"/>
              </w:tabs>
              <w:adjustRightInd w:val="0"/>
              <w:snapToGrid w:val="0"/>
              <w:jc w:val="both"/>
              <w:rPr>
                <w:sz w:val="22"/>
                <w:szCs w:val="22"/>
                <w:lang w:val="en-IN" w:eastAsia="ko-KR"/>
              </w:rPr>
            </w:pPr>
            <w:r w:rsidRPr="00B51BFE">
              <w:rPr>
                <w:sz w:val="22"/>
                <w:szCs w:val="22"/>
                <w:lang w:val="en-IN" w:eastAsia="ko-KR"/>
              </w:rPr>
              <w:t>Real Estate Sector Index</w:t>
            </w:r>
          </w:p>
        </w:tc>
      </w:tr>
      <w:tr w:rsidR="00B51BFE" w:rsidRPr="00B51BFE" w14:paraId="5799506B" w14:textId="77777777" w:rsidTr="00B51BFE">
        <w:trPr>
          <w:trHeight w:val="441"/>
          <w:jc w:val="center"/>
        </w:trPr>
        <w:tc>
          <w:tcPr>
            <w:tcW w:w="3480" w:type="dxa"/>
            <w:shd w:val="clear" w:color="auto" w:fill="D8D8D8"/>
            <w:vAlign w:val="center"/>
          </w:tcPr>
          <w:p w14:paraId="74C6912D" w14:textId="0AD6CF49" w:rsidR="00B51BFE" w:rsidRPr="00B51BFE" w:rsidRDefault="00B51BFE" w:rsidP="00B51BFE">
            <w:pPr>
              <w:tabs>
                <w:tab w:val="left" w:pos="24"/>
              </w:tabs>
              <w:adjustRightInd w:val="0"/>
              <w:snapToGrid w:val="0"/>
              <w:jc w:val="both"/>
              <w:rPr>
                <w:sz w:val="22"/>
                <w:szCs w:val="22"/>
                <w:lang w:val="en-IN" w:eastAsia="ko-KR"/>
              </w:rPr>
            </w:pPr>
            <w:r w:rsidRPr="00B51BFE">
              <w:rPr>
                <w:sz w:val="22"/>
                <w:szCs w:val="22"/>
                <w:lang w:val="en-IN" w:eastAsia="ko-KR"/>
              </w:rPr>
              <w:t>NIFTY PHARMA</w:t>
            </w:r>
          </w:p>
        </w:tc>
        <w:tc>
          <w:tcPr>
            <w:tcW w:w="3483" w:type="dxa"/>
            <w:shd w:val="clear" w:color="auto" w:fill="D8D8D8"/>
            <w:vAlign w:val="center"/>
          </w:tcPr>
          <w:p w14:paraId="00BC6C74" w14:textId="6DDAE3A8" w:rsidR="00B51BFE" w:rsidRPr="00B51BFE" w:rsidRDefault="00B51BFE" w:rsidP="00B51BFE">
            <w:pPr>
              <w:tabs>
                <w:tab w:val="left" w:pos="24"/>
              </w:tabs>
              <w:adjustRightInd w:val="0"/>
              <w:snapToGrid w:val="0"/>
              <w:jc w:val="both"/>
              <w:rPr>
                <w:sz w:val="22"/>
                <w:szCs w:val="22"/>
                <w:lang w:val="en-IN" w:eastAsia="ko-KR"/>
              </w:rPr>
            </w:pPr>
            <w:r w:rsidRPr="00B51BFE">
              <w:rPr>
                <w:sz w:val="22"/>
                <w:szCs w:val="22"/>
                <w:lang w:val="en-IN" w:eastAsia="ko-KR"/>
              </w:rPr>
              <w:t>Pharma Sector Index</w:t>
            </w:r>
          </w:p>
        </w:tc>
      </w:tr>
      <w:tr w:rsidR="00B51BFE" w:rsidRPr="00B51BFE" w14:paraId="77B08AAE" w14:textId="77777777" w:rsidTr="00B51BFE">
        <w:trPr>
          <w:trHeight w:val="441"/>
          <w:jc w:val="center"/>
        </w:trPr>
        <w:tc>
          <w:tcPr>
            <w:tcW w:w="3480" w:type="dxa"/>
            <w:shd w:val="clear" w:color="auto" w:fill="D8D8D8"/>
            <w:vAlign w:val="center"/>
          </w:tcPr>
          <w:p w14:paraId="48FB78B8" w14:textId="4AC531F7" w:rsidR="00B51BFE" w:rsidRPr="00B51BFE" w:rsidRDefault="00B51BFE" w:rsidP="00B51BFE">
            <w:pPr>
              <w:tabs>
                <w:tab w:val="left" w:pos="24"/>
              </w:tabs>
              <w:adjustRightInd w:val="0"/>
              <w:snapToGrid w:val="0"/>
              <w:jc w:val="both"/>
              <w:rPr>
                <w:sz w:val="22"/>
                <w:szCs w:val="22"/>
                <w:lang w:val="en-IN" w:eastAsia="ko-KR"/>
              </w:rPr>
            </w:pPr>
            <w:r w:rsidRPr="00B51BFE">
              <w:rPr>
                <w:sz w:val="22"/>
                <w:szCs w:val="22"/>
                <w:lang w:val="en-IN" w:eastAsia="ko-KR"/>
              </w:rPr>
              <w:t>NIFTY FMCG</w:t>
            </w:r>
          </w:p>
        </w:tc>
        <w:tc>
          <w:tcPr>
            <w:tcW w:w="3483" w:type="dxa"/>
            <w:shd w:val="clear" w:color="auto" w:fill="D8D8D8"/>
            <w:vAlign w:val="center"/>
          </w:tcPr>
          <w:p w14:paraId="72531098" w14:textId="0A1ABB35" w:rsidR="00B51BFE" w:rsidRPr="00B51BFE" w:rsidRDefault="00B51BFE" w:rsidP="00B51BFE">
            <w:pPr>
              <w:tabs>
                <w:tab w:val="left" w:pos="24"/>
              </w:tabs>
              <w:adjustRightInd w:val="0"/>
              <w:snapToGrid w:val="0"/>
              <w:jc w:val="both"/>
              <w:rPr>
                <w:sz w:val="22"/>
                <w:szCs w:val="22"/>
                <w:lang w:val="en-IN" w:eastAsia="ko-KR"/>
              </w:rPr>
            </w:pPr>
            <w:r w:rsidRPr="00B51BFE">
              <w:rPr>
                <w:sz w:val="22"/>
                <w:szCs w:val="22"/>
                <w:lang w:val="en-IN" w:eastAsia="ko-KR"/>
              </w:rPr>
              <w:t>FMCG Sector Index</w:t>
            </w:r>
          </w:p>
        </w:tc>
      </w:tr>
      <w:tr w:rsidR="00B51BFE" w:rsidRPr="00B51BFE" w14:paraId="17391B67" w14:textId="77777777" w:rsidTr="00B51BFE">
        <w:trPr>
          <w:trHeight w:val="441"/>
          <w:jc w:val="center"/>
        </w:trPr>
        <w:tc>
          <w:tcPr>
            <w:tcW w:w="3480" w:type="dxa"/>
            <w:shd w:val="clear" w:color="auto" w:fill="D8D8D8"/>
            <w:vAlign w:val="center"/>
          </w:tcPr>
          <w:p w14:paraId="28782D78" w14:textId="04DCF2CC" w:rsidR="00B51BFE" w:rsidRPr="00B51BFE" w:rsidRDefault="00B51BFE" w:rsidP="00B51BFE">
            <w:pPr>
              <w:tabs>
                <w:tab w:val="left" w:pos="24"/>
              </w:tabs>
              <w:adjustRightInd w:val="0"/>
              <w:snapToGrid w:val="0"/>
              <w:jc w:val="both"/>
              <w:rPr>
                <w:sz w:val="22"/>
                <w:szCs w:val="22"/>
                <w:lang w:val="en-IN" w:eastAsia="ko-KR"/>
              </w:rPr>
            </w:pPr>
            <w:r w:rsidRPr="00B51BFE">
              <w:rPr>
                <w:sz w:val="22"/>
                <w:szCs w:val="22"/>
                <w:lang w:val="en-IN" w:eastAsia="ko-KR"/>
              </w:rPr>
              <w:t>NIFTY GROWTH SECTORS 15</w:t>
            </w:r>
          </w:p>
        </w:tc>
        <w:tc>
          <w:tcPr>
            <w:tcW w:w="3483" w:type="dxa"/>
            <w:shd w:val="clear" w:color="auto" w:fill="D8D8D8"/>
            <w:vAlign w:val="center"/>
          </w:tcPr>
          <w:p w14:paraId="257511D0" w14:textId="2B5B2E50" w:rsidR="00B51BFE" w:rsidRPr="00B51BFE" w:rsidRDefault="00B51BFE" w:rsidP="00B51BFE">
            <w:pPr>
              <w:tabs>
                <w:tab w:val="left" w:pos="24"/>
              </w:tabs>
              <w:adjustRightInd w:val="0"/>
              <w:snapToGrid w:val="0"/>
              <w:jc w:val="both"/>
              <w:rPr>
                <w:sz w:val="22"/>
                <w:szCs w:val="22"/>
                <w:lang w:val="en-IN" w:eastAsia="ko-KR"/>
              </w:rPr>
            </w:pPr>
            <w:r w:rsidRPr="00B51BFE">
              <w:rPr>
                <w:sz w:val="22"/>
                <w:szCs w:val="22"/>
                <w:lang w:val="en-IN" w:eastAsia="ko-KR"/>
              </w:rPr>
              <w:t>Growth Factor Index</w:t>
            </w:r>
          </w:p>
        </w:tc>
      </w:tr>
      <w:tr w:rsidR="00B51BFE" w:rsidRPr="00B51BFE" w14:paraId="16E2B99D" w14:textId="77777777" w:rsidTr="00B51BFE">
        <w:trPr>
          <w:trHeight w:val="441"/>
          <w:jc w:val="center"/>
        </w:trPr>
        <w:tc>
          <w:tcPr>
            <w:tcW w:w="3480" w:type="dxa"/>
            <w:shd w:val="clear" w:color="auto" w:fill="D8D8D8"/>
            <w:vAlign w:val="center"/>
          </w:tcPr>
          <w:p w14:paraId="74B30614" w14:textId="12F78B03" w:rsidR="00B51BFE" w:rsidRPr="00B51BFE" w:rsidRDefault="00B51BFE" w:rsidP="00B51BFE">
            <w:pPr>
              <w:tabs>
                <w:tab w:val="left" w:pos="24"/>
              </w:tabs>
              <w:adjustRightInd w:val="0"/>
              <w:snapToGrid w:val="0"/>
              <w:jc w:val="both"/>
              <w:rPr>
                <w:sz w:val="22"/>
                <w:szCs w:val="22"/>
                <w:lang w:val="en-IN" w:eastAsia="ko-KR"/>
              </w:rPr>
            </w:pPr>
            <w:r w:rsidRPr="00B51BFE">
              <w:rPr>
                <w:sz w:val="22"/>
                <w:szCs w:val="22"/>
                <w:lang w:val="en-IN" w:eastAsia="ko-KR"/>
              </w:rPr>
              <w:t>NIFTY50 VALUE 20</w:t>
            </w:r>
          </w:p>
        </w:tc>
        <w:tc>
          <w:tcPr>
            <w:tcW w:w="3483" w:type="dxa"/>
            <w:shd w:val="clear" w:color="auto" w:fill="D8D8D8"/>
            <w:vAlign w:val="center"/>
          </w:tcPr>
          <w:p w14:paraId="12FD34E4" w14:textId="3D9CB6CD" w:rsidR="00B51BFE" w:rsidRPr="00B51BFE" w:rsidRDefault="00B51BFE" w:rsidP="00B51BFE">
            <w:pPr>
              <w:tabs>
                <w:tab w:val="left" w:pos="24"/>
              </w:tabs>
              <w:adjustRightInd w:val="0"/>
              <w:snapToGrid w:val="0"/>
              <w:jc w:val="both"/>
              <w:rPr>
                <w:sz w:val="22"/>
                <w:szCs w:val="22"/>
                <w:lang w:val="en-IN" w:eastAsia="ko-KR"/>
              </w:rPr>
            </w:pPr>
            <w:r w:rsidRPr="00B51BFE">
              <w:rPr>
                <w:sz w:val="22"/>
                <w:szCs w:val="22"/>
                <w:lang w:val="en-IN" w:eastAsia="ko-KR"/>
              </w:rPr>
              <w:t>Value Factor Index</w:t>
            </w:r>
          </w:p>
        </w:tc>
      </w:tr>
      <w:tr w:rsidR="00B51BFE" w:rsidRPr="00B51BFE" w14:paraId="5665D4B9" w14:textId="77777777" w:rsidTr="00B51BFE">
        <w:trPr>
          <w:trHeight w:val="441"/>
          <w:jc w:val="center"/>
        </w:trPr>
        <w:tc>
          <w:tcPr>
            <w:tcW w:w="3480" w:type="dxa"/>
            <w:shd w:val="clear" w:color="auto" w:fill="D8D8D8"/>
            <w:vAlign w:val="center"/>
          </w:tcPr>
          <w:p w14:paraId="24A8CE12" w14:textId="1B9EA6EF" w:rsidR="00B51BFE" w:rsidRPr="00B51BFE" w:rsidRDefault="00B51BFE" w:rsidP="00B51BFE">
            <w:pPr>
              <w:tabs>
                <w:tab w:val="left" w:pos="24"/>
              </w:tabs>
              <w:adjustRightInd w:val="0"/>
              <w:snapToGrid w:val="0"/>
              <w:jc w:val="both"/>
              <w:rPr>
                <w:sz w:val="22"/>
                <w:szCs w:val="22"/>
                <w:lang w:val="en-IN" w:eastAsia="ko-KR"/>
              </w:rPr>
            </w:pPr>
            <w:r w:rsidRPr="00B51BFE">
              <w:rPr>
                <w:sz w:val="22"/>
                <w:szCs w:val="22"/>
                <w:lang w:val="en-IN" w:eastAsia="ko-KR"/>
              </w:rPr>
              <w:t xml:space="preserve">NIFTY 10 </w:t>
            </w:r>
            <w:proofErr w:type="spellStart"/>
            <w:r w:rsidRPr="00B51BFE">
              <w:rPr>
                <w:sz w:val="22"/>
                <w:szCs w:val="22"/>
                <w:lang w:val="en-IN" w:eastAsia="ko-KR"/>
              </w:rPr>
              <w:t>yr</w:t>
            </w:r>
            <w:proofErr w:type="spellEnd"/>
            <w:r w:rsidRPr="00B51BFE">
              <w:rPr>
                <w:sz w:val="22"/>
                <w:szCs w:val="22"/>
                <w:lang w:val="en-IN" w:eastAsia="ko-KR"/>
              </w:rPr>
              <w:t xml:space="preserve"> Benchmark G-Sec Index</w:t>
            </w:r>
          </w:p>
        </w:tc>
        <w:tc>
          <w:tcPr>
            <w:tcW w:w="3483" w:type="dxa"/>
            <w:shd w:val="clear" w:color="auto" w:fill="D8D8D8"/>
            <w:vAlign w:val="center"/>
          </w:tcPr>
          <w:p w14:paraId="7AF64FF1" w14:textId="3076DD9E" w:rsidR="00B51BFE" w:rsidRPr="00B51BFE" w:rsidRDefault="00B51BFE" w:rsidP="00B51BFE">
            <w:pPr>
              <w:tabs>
                <w:tab w:val="left" w:pos="24"/>
              </w:tabs>
              <w:adjustRightInd w:val="0"/>
              <w:snapToGrid w:val="0"/>
              <w:jc w:val="both"/>
              <w:rPr>
                <w:sz w:val="22"/>
                <w:szCs w:val="22"/>
                <w:lang w:val="en-IN" w:eastAsia="ko-KR"/>
              </w:rPr>
            </w:pPr>
            <w:r w:rsidRPr="00B51BFE">
              <w:rPr>
                <w:sz w:val="22"/>
                <w:szCs w:val="22"/>
                <w:lang w:val="en-IN" w:eastAsia="ko-KR"/>
              </w:rPr>
              <w:t>Fixed Income Index</w:t>
            </w:r>
          </w:p>
        </w:tc>
      </w:tr>
      <w:tr w:rsidR="00B51BFE" w:rsidRPr="00B51BFE" w14:paraId="2F74A92A" w14:textId="77777777" w:rsidTr="00B51BFE">
        <w:trPr>
          <w:trHeight w:val="441"/>
          <w:jc w:val="center"/>
        </w:trPr>
        <w:tc>
          <w:tcPr>
            <w:tcW w:w="3480" w:type="dxa"/>
            <w:shd w:val="clear" w:color="auto" w:fill="D8D8D8"/>
            <w:vAlign w:val="center"/>
          </w:tcPr>
          <w:p w14:paraId="0045CDBA" w14:textId="298A8775" w:rsidR="00B51BFE" w:rsidRPr="00B51BFE" w:rsidRDefault="00B51BFE" w:rsidP="00B51BFE">
            <w:pPr>
              <w:tabs>
                <w:tab w:val="left" w:pos="24"/>
              </w:tabs>
              <w:adjustRightInd w:val="0"/>
              <w:snapToGrid w:val="0"/>
              <w:jc w:val="both"/>
              <w:rPr>
                <w:sz w:val="22"/>
                <w:szCs w:val="22"/>
                <w:lang w:val="en-IN" w:eastAsia="ko-KR"/>
              </w:rPr>
            </w:pPr>
            <w:r w:rsidRPr="00B51BFE">
              <w:rPr>
                <w:sz w:val="22"/>
                <w:szCs w:val="22"/>
                <w:lang w:val="en-IN" w:eastAsia="ko-KR"/>
              </w:rPr>
              <w:t>NIPPON INDIA ETF GOLD BEES</w:t>
            </w:r>
          </w:p>
        </w:tc>
        <w:tc>
          <w:tcPr>
            <w:tcW w:w="3483" w:type="dxa"/>
            <w:shd w:val="clear" w:color="auto" w:fill="D8D8D8"/>
            <w:vAlign w:val="center"/>
          </w:tcPr>
          <w:p w14:paraId="10F20348" w14:textId="427B5F55" w:rsidR="00B51BFE" w:rsidRPr="00B51BFE" w:rsidRDefault="00B51BFE" w:rsidP="00B51BFE">
            <w:pPr>
              <w:tabs>
                <w:tab w:val="left" w:pos="24"/>
              </w:tabs>
              <w:adjustRightInd w:val="0"/>
              <w:snapToGrid w:val="0"/>
              <w:jc w:val="both"/>
              <w:rPr>
                <w:sz w:val="22"/>
                <w:szCs w:val="22"/>
                <w:lang w:val="en-IN" w:eastAsia="ko-KR"/>
              </w:rPr>
            </w:pPr>
            <w:r w:rsidRPr="00B51BFE">
              <w:rPr>
                <w:sz w:val="22"/>
                <w:szCs w:val="22"/>
                <w:lang w:val="en-IN" w:eastAsia="ko-KR"/>
              </w:rPr>
              <w:t>Gold ETF</w:t>
            </w:r>
          </w:p>
        </w:tc>
      </w:tr>
    </w:tbl>
    <w:p w14:paraId="157D06E1" w14:textId="77777777" w:rsidR="00AB72F1" w:rsidRDefault="00AB72F1" w:rsidP="00AB72F1">
      <w:pPr>
        <w:tabs>
          <w:tab w:val="left" w:pos="24"/>
        </w:tabs>
        <w:adjustRightInd w:val="0"/>
        <w:snapToGrid w:val="0"/>
        <w:jc w:val="both"/>
        <w:rPr>
          <w:sz w:val="22"/>
          <w:szCs w:val="22"/>
          <w:lang w:eastAsia="ko-KR"/>
        </w:rPr>
      </w:pPr>
    </w:p>
    <w:p w14:paraId="786F3894" w14:textId="77777777" w:rsidR="00B51BFE" w:rsidRPr="00B51BFE" w:rsidRDefault="00B51BFE" w:rsidP="00B51BFE">
      <w:pPr>
        <w:pStyle w:val="BodyTextIndent"/>
        <w:tabs>
          <w:tab w:val="left" w:pos="24"/>
        </w:tabs>
        <w:adjustRightInd w:val="0"/>
        <w:snapToGrid w:val="0"/>
        <w:ind w:firstLine="244"/>
        <w:rPr>
          <w:lang w:val="en-ZA"/>
        </w:rPr>
      </w:pPr>
      <w:r w:rsidRPr="00B51BFE">
        <w:rPr>
          <w:lang w:val="en-ZA"/>
        </w:rPr>
        <w:t xml:space="preserve">We will test the medium term strategy by rebalancing the portfolio on a weekly or bi-weekly and monthly basis. In the long term strategy, we will rebalance quarterly, semi-annually and annually. </w:t>
      </w:r>
    </w:p>
    <w:p w14:paraId="5DDA7961" w14:textId="77777777" w:rsidR="00B51BFE" w:rsidRPr="00B51BFE" w:rsidRDefault="00B51BFE" w:rsidP="00B51BFE">
      <w:pPr>
        <w:pStyle w:val="BodyTextIndent"/>
        <w:tabs>
          <w:tab w:val="left" w:pos="24"/>
        </w:tabs>
        <w:adjustRightInd w:val="0"/>
        <w:snapToGrid w:val="0"/>
        <w:ind w:firstLine="244"/>
        <w:rPr>
          <w:lang w:val="en-ZA"/>
        </w:rPr>
      </w:pPr>
      <w:r w:rsidRPr="00B51BFE">
        <w:rPr>
          <w:lang w:val="en-ZA"/>
        </w:rPr>
        <w:t>We then evaluate our strategies numerically and visually using comparative returns, standard deviations, return consistency, alphas, Sharpe ratios, box plots, and maximum drawdowns under different scenarios.</w:t>
      </w:r>
    </w:p>
    <w:p w14:paraId="574A37B5" w14:textId="778615DC" w:rsidR="005747FF" w:rsidRDefault="005747FF" w:rsidP="008D7C63">
      <w:pPr>
        <w:pStyle w:val="References"/>
        <w:adjustRightInd w:val="0"/>
        <w:snapToGrid w:val="0"/>
        <w:rPr>
          <w:sz w:val="22"/>
          <w:szCs w:val="22"/>
        </w:rPr>
      </w:pPr>
    </w:p>
    <w:p w14:paraId="6E019766" w14:textId="4E1A1545" w:rsidR="00392C34" w:rsidRDefault="00392C34" w:rsidP="008D7C63">
      <w:pPr>
        <w:pStyle w:val="References"/>
        <w:adjustRightInd w:val="0"/>
        <w:snapToGrid w:val="0"/>
        <w:rPr>
          <w:sz w:val="22"/>
          <w:szCs w:val="22"/>
        </w:rPr>
      </w:pPr>
    </w:p>
    <w:p w14:paraId="59AEE396" w14:textId="77777777" w:rsidR="00392C34" w:rsidRDefault="00392C34" w:rsidP="008D7C63">
      <w:pPr>
        <w:pStyle w:val="References"/>
        <w:adjustRightInd w:val="0"/>
        <w:snapToGrid w:val="0"/>
        <w:rPr>
          <w:sz w:val="22"/>
          <w:szCs w:val="22"/>
        </w:rPr>
      </w:pPr>
    </w:p>
    <w:p w14:paraId="5547ECA6" w14:textId="77777777" w:rsidR="00305D04" w:rsidRDefault="008A2330" w:rsidP="008D7C63">
      <w:pPr>
        <w:tabs>
          <w:tab w:val="left" w:pos="24"/>
        </w:tabs>
        <w:adjustRightInd w:val="0"/>
        <w:snapToGrid w:val="0"/>
        <w:jc w:val="both"/>
        <w:rPr>
          <w:b/>
          <w:sz w:val="26"/>
          <w:lang w:eastAsia="ko-KR"/>
        </w:rPr>
      </w:pPr>
      <w:r>
        <w:rPr>
          <w:b/>
          <w:sz w:val="26"/>
        </w:rPr>
        <w:t>Reference</w:t>
      </w:r>
      <w:r>
        <w:rPr>
          <w:rFonts w:hint="eastAsia"/>
          <w:b/>
          <w:sz w:val="26"/>
          <w:lang w:eastAsia="ko-KR"/>
        </w:rPr>
        <w:t>s</w:t>
      </w:r>
    </w:p>
    <w:p w14:paraId="3727F7CF" w14:textId="77777777" w:rsidR="000D3070" w:rsidRDefault="000D3070" w:rsidP="008D7C63">
      <w:pPr>
        <w:pStyle w:val="BodyTextIndent"/>
        <w:tabs>
          <w:tab w:val="left" w:pos="24"/>
        </w:tabs>
        <w:adjustRightInd w:val="0"/>
        <w:snapToGrid w:val="0"/>
        <w:ind w:firstLine="0"/>
        <w:rPr>
          <w:spacing w:val="0"/>
          <w:lang w:eastAsia="ko-KR"/>
        </w:rPr>
      </w:pPr>
    </w:p>
    <w:p w14:paraId="13E2F9AE" w14:textId="35401AA6" w:rsidR="001324B3" w:rsidRDefault="00B51BFE" w:rsidP="00FF10CE">
      <w:pPr>
        <w:numPr>
          <w:ilvl w:val="0"/>
          <w:numId w:val="9"/>
        </w:numPr>
        <w:adjustRightInd w:val="0"/>
        <w:snapToGrid w:val="0"/>
        <w:spacing w:before="120"/>
        <w:ind w:left="403" w:hanging="403"/>
        <w:jc w:val="both"/>
        <w:rPr>
          <w:sz w:val="18"/>
          <w:szCs w:val="18"/>
          <w:lang w:eastAsia="ko-KR"/>
        </w:rPr>
      </w:pPr>
      <w:r w:rsidRPr="00F9257F">
        <w:t>Returns to Buying Winners and Selling Losers: Implications for Stock Market Efficiency</w:t>
      </w:r>
      <w:r>
        <w:t xml:space="preserve"> by </w:t>
      </w:r>
      <w:r w:rsidRPr="00F9257F">
        <w:t xml:space="preserve">Narasimhan </w:t>
      </w:r>
      <w:proofErr w:type="spellStart"/>
      <w:r w:rsidRPr="00F9257F">
        <w:t>Jegadeesh</w:t>
      </w:r>
      <w:proofErr w:type="spellEnd"/>
      <w:r w:rsidRPr="00F9257F">
        <w:t xml:space="preserve"> and Sheridan Titman</w:t>
      </w:r>
      <w:r w:rsidR="00C426BC" w:rsidRPr="001324B3">
        <w:rPr>
          <w:rFonts w:hint="eastAsia"/>
          <w:sz w:val="18"/>
          <w:szCs w:val="18"/>
          <w:lang w:eastAsia="ko-KR"/>
        </w:rPr>
        <w:t>.</w:t>
      </w:r>
    </w:p>
    <w:p w14:paraId="774B1031" w14:textId="3FC9861B" w:rsidR="00B51BFE" w:rsidRPr="00B51BFE" w:rsidRDefault="00B51BFE" w:rsidP="00FF10CE">
      <w:pPr>
        <w:numPr>
          <w:ilvl w:val="0"/>
          <w:numId w:val="9"/>
        </w:numPr>
        <w:adjustRightInd w:val="0"/>
        <w:snapToGrid w:val="0"/>
        <w:spacing w:before="120"/>
        <w:ind w:left="403" w:hanging="403"/>
        <w:jc w:val="both"/>
        <w:rPr>
          <w:sz w:val="18"/>
          <w:szCs w:val="18"/>
          <w:lang w:eastAsia="ko-KR"/>
        </w:rPr>
      </w:pPr>
      <w:r w:rsidRPr="00F9257F">
        <w:t>Value and Momentum Everywhere</w:t>
      </w:r>
      <w:r>
        <w:t xml:space="preserve"> by </w:t>
      </w:r>
      <w:r w:rsidRPr="00F9257F">
        <w:t>CLIFFORD S. ASNESS, TOBIAS J. MOSKOWITZ, and LASSE HEJE PEDERSEN</w:t>
      </w:r>
      <w:r>
        <w:t>.</w:t>
      </w:r>
    </w:p>
    <w:p w14:paraId="62B4B2E0" w14:textId="77777777" w:rsidR="00B51BFE" w:rsidRDefault="00B51BFE" w:rsidP="00B51BFE">
      <w:pPr>
        <w:numPr>
          <w:ilvl w:val="0"/>
          <w:numId w:val="9"/>
        </w:numPr>
        <w:adjustRightInd w:val="0"/>
        <w:snapToGrid w:val="0"/>
        <w:spacing w:before="120"/>
        <w:ind w:left="403" w:hanging="403"/>
        <w:jc w:val="both"/>
        <w:rPr>
          <w:sz w:val="18"/>
          <w:szCs w:val="18"/>
          <w:lang w:eastAsia="ko-KR"/>
        </w:rPr>
      </w:pPr>
      <w:r w:rsidRPr="00F9257F">
        <w:t>Risk Premia Harvesting Through Dual Momentum</w:t>
      </w:r>
      <w:r>
        <w:t xml:space="preserve"> by Gary </w:t>
      </w:r>
      <w:proofErr w:type="spellStart"/>
      <w:r>
        <w:t>Antonacci</w:t>
      </w:r>
      <w:proofErr w:type="spellEnd"/>
    </w:p>
    <w:p w14:paraId="0692EEF4" w14:textId="7DF2B272" w:rsidR="00B51BFE" w:rsidRPr="00B51BFE" w:rsidRDefault="00B51BFE" w:rsidP="00B51BFE">
      <w:pPr>
        <w:numPr>
          <w:ilvl w:val="0"/>
          <w:numId w:val="9"/>
        </w:numPr>
        <w:adjustRightInd w:val="0"/>
        <w:snapToGrid w:val="0"/>
        <w:spacing w:before="120"/>
        <w:ind w:left="403" w:hanging="403"/>
        <w:jc w:val="both"/>
        <w:rPr>
          <w:sz w:val="18"/>
          <w:szCs w:val="18"/>
          <w:lang w:eastAsia="ko-KR"/>
        </w:rPr>
      </w:pPr>
      <w:r w:rsidRPr="00F9257F">
        <w:t>Absolute Momentum: A Simple Rule-Based Strategy and Universal Trend-Following Overlay</w:t>
      </w:r>
      <w:r>
        <w:t xml:space="preserve"> by Gary </w:t>
      </w:r>
      <w:proofErr w:type="spellStart"/>
      <w:r>
        <w:t>Antonacci</w:t>
      </w:r>
      <w:proofErr w:type="spellEnd"/>
    </w:p>
    <w:p w14:paraId="731B234D" w14:textId="172684FD" w:rsidR="00637106" w:rsidRPr="003620E3" w:rsidRDefault="00637106" w:rsidP="00392C34">
      <w:pPr>
        <w:pStyle w:val="BodyTextIndent"/>
        <w:tabs>
          <w:tab w:val="left" w:pos="24"/>
        </w:tabs>
        <w:adjustRightInd w:val="0"/>
        <w:snapToGrid w:val="0"/>
        <w:ind w:firstLine="0"/>
        <w:rPr>
          <w:color w:val="FF0000"/>
          <w:spacing w:val="0"/>
        </w:rPr>
      </w:pPr>
    </w:p>
    <w:sectPr w:rsidR="00637106" w:rsidRPr="003620E3" w:rsidSect="00404FF3">
      <w:headerReference w:type="even" r:id="rId13"/>
      <w:headerReference w:type="default" r:id="rId14"/>
      <w:footerReference w:type="even" r:id="rId15"/>
      <w:footerReference w:type="default" r:id="rId16"/>
      <w:headerReference w:type="first" r:id="rId17"/>
      <w:footerReference w:type="first" r:id="rId18"/>
      <w:type w:val="continuous"/>
      <w:pgSz w:w="11907" w:h="16839" w:code="9"/>
      <w:pgMar w:top="1151" w:right="2070" w:bottom="1729" w:left="1871" w:header="720" w:footer="720" w:gutter="0"/>
      <w:cols w:space="720" w:equalWidth="0">
        <w:col w:w="7966"/>
      </w:cols>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F1898" w14:textId="77777777" w:rsidR="00BA3CFF" w:rsidRDefault="00BA3CFF">
      <w:r>
        <w:separator/>
      </w:r>
    </w:p>
  </w:endnote>
  <w:endnote w:type="continuationSeparator" w:id="0">
    <w:p w14:paraId="585AB4CE" w14:textId="77777777" w:rsidR="00BA3CFF" w:rsidRDefault="00BA3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Helvetica">
    <w:panose1 w:val="00000000000000000000"/>
    <w:charset w:val="00"/>
    <w:family w:val="auto"/>
    <w:pitch w:val="variable"/>
    <w:sig w:usb0="E00002FF" w:usb1="5000785B"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C702E" w14:textId="77777777" w:rsidR="00B144E6" w:rsidRDefault="00B144E6">
    <w:pPr>
      <w:pStyle w:val="Footer"/>
    </w:pPr>
    <w:r>
      <w:rPr>
        <w:rStyle w:val="PageNumber"/>
      </w:rPr>
      <w:fldChar w:fldCharType="begin"/>
    </w:r>
    <w:r>
      <w:rPr>
        <w:rStyle w:val="PageNumber"/>
      </w:rPr>
      <w:instrText xml:space="preserve"> PAGE </w:instrText>
    </w:r>
    <w:r>
      <w:rPr>
        <w:rStyle w:val="PageNumber"/>
      </w:rPr>
      <w:fldChar w:fldCharType="separate"/>
    </w:r>
    <w:r w:rsidR="00D32C9F">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5518F" w14:textId="77777777" w:rsidR="00B144E6" w:rsidRDefault="00B144E6" w:rsidP="00016ED5">
    <w:pPr>
      <w:pStyle w:val="Footer"/>
      <w:jc w:val="right"/>
    </w:pPr>
    <w:r>
      <w:rPr>
        <w:rStyle w:val="PageNumber"/>
      </w:rPr>
      <w:fldChar w:fldCharType="begin"/>
    </w:r>
    <w:r>
      <w:rPr>
        <w:rStyle w:val="PageNumber"/>
      </w:rPr>
      <w:instrText xml:space="preserve"> PAGE </w:instrText>
    </w:r>
    <w:r>
      <w:rPr>
        <w:rStyle w:val="PageNumber"/>
      </w:rPr>
      <w:fldChar w:fldCharType="separate"/>
    </w:r>
    <w:r w:rsidR="00D32C9F">
      <w:rPr>
        <w:rStyle w:val="PageNumber"/>
        <w:noProof/>
      </w:rPr>
      <w:t>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4F603" w14:textId="77777777" w:rsidR="008D7C63" w:rsidRDefault="008D7C63" w:rsidP="008D7C63">
    <w:pPr>
      <w:pStyle w:val="Footer"/>
      <w:rPr>
        <w:rFonts w:ascii="Gulim" w:eastAsia="Gulim" w:cs="Gulim"/>
        <w:color w:val="000000"/>
        <w:sz w:val="16"/>
        <w:szCs w:val="16"/>
        <w:lang w:val="en-PH" w:eastAsia="en-PH"/>
      </w:rPr>
    </w:pPr>
    <w:r w:rsidRPr="009D7C58">
      <w:rPr>
        <w:rFonts w:ascii="Gulim" w:eastAsia="Gulim" w:cs="Gulim"/>
        <w:color w:val="000000"/>
        <w:sz w:val="16"/>
        <w:szCs w:val="16"/>
        <w:lang w:val="en-PH" w:eastAsia="en-PH"/>
      </w:rPr>
      <w:t>I</w:t>
    </w:r>
    <w:r>
      <w:rPr>
        <w:rFonts w:ascii="Gulim" w:eastAsia="Gulim" w:cs="Gulim"/>
        <w:color w:val="000000"/>
        <w:sz w:val="16"/>
        <w:szCs w:val="16"/>
        <w:lang w:val="en-PH" w:eastAsia="en-PH"/>
      </w:rPr>
      <w:t>SSN: XXXX</w:t>
    </w:r>
    <w:r w:rsidRPr="009D7C58">
      <w:rPr>
        <w:rFonts w:ascii="Gulim" w:eastAsia="Gulim" w:cs="Gulim"/>
        <w:color w:val="000000"/>
        <w:sz w:val="16"/>
        <w:szCs w:val="16"/>
        <w:lang w:val="en-PH" w:eastAsia="en-PH"/>
      </w:rPr>
      <w:t>-</w:t>
    </w:r>
    <w:r>
      <w:rPr>
        <w:rFonts w:ascii="Gulim" w:eastAsia="Gulim" w:cs="Gulim"/>
        <w:color w:val="000000"/>
        <w:sz w:val="16"/>
        <w:szCs w:val="16"/>
        <w:lang w:val="en-PH" w:eastAsia="en-PH"/>
      </w:rPr>
      <w:t>XXXX</w:t>
    </w:r>
    <w:r w:rsidRPr="009D7C58">
      <w:rPr>
        <w:rFonts w:ascii="Gulim" w:eastAsia="Gulim" w:cs="Gulim"/>
        <w:color w:val="000000"/>
        <w:sz w:val="16"/>
        <w:szCs w:val="16"/>
        <w:lang w:val="en-PH" w:eastAsia="en-PH"/>
      </w:rPr>
      <w:t xml:space="preserve"> IJ</w:t>
    </w:r>
    <w:r>
      <w:rPr>
        <w:rFonts w:ascii="Gulim" w:eastAsia="Gulim" w:cs="Gulim"/>
        <w:color w:val="000000"/>
        <w:sz w:val="16"/>
        <w:szCs w:val="16"/>
        <w:lang w:val="en-PH" w:eastAsia="en-PH"/>
      </w:rPr>
      <w:t>XX</w:t>
    </w:r>
    <w:r w:rsidRPr="009D7C58">
      <w:rPr>
        <w:rFonts w:ascii="Gulim" w:eastAsia="Gulim" w:cs="Gulim"/>
        <w:color w:val="000000"/>
        <w:sz w:val="16"/>
        <w:szCs w:val="16"/>
        <w:lang w:val="en-PH" w:eastAsia="en-PH"/>
      </w:rPr>
      <w:t xml:space="preserve"> </w:t>
    </w:r>
  </w:p>
  <w:p w14:paraId="375EC6A7" w14:textId="77777777" w:rsidR="008D7C63" w:rsidRDefault="008D7C63" w:rsidP="008D7C63">
    <w:pPr>
      <w:pStyle w:val="Footer"/>
    </w:pPr>
    <w:r w:rsidRPr="009D7C58">
      <w:rPr>
        <w:rFonts w:ascii="Gulim" w:eastAsia="Gulim" w:cs="Gulim"/>
        <w:color w:val="000000"/>
        <w:sz w:val="16"/>
        <w:szCs w:val="16"/>
        <w:lang w:val="en-PH" w:eastAsia="en-PH"/>
      </w:rPr>
      <w:t xml:space="preserve">Copyright </w:t>
    </w:r>
    <w:r w:rsidRPr="009D7C58">
      <w:rPr>
        <w:rFonts w:ascii="Gulim" w:eastAsia="Gulim" w:cs="Gulim" w:hint="eastAsia"/>
        <w:color w:val="000000"/>
        <w:sz w:val="16"/>
        <w:szCs w:val="16"/>
        <w:lang w:val="en-PH" w:eastAsia="en-PH"/>
      </w:rPr>
      <w:t>ⓒ</w:t>
    </w:r>
    <w:r>
      <w:rPr>
        <w:rFonts w:ascii="Gulim" w:eastAsia="Gulim" w:cs="Gulim"/>
        <w:color w:val="000000"/>
        <w:sz w:val="16"/>
        <w:szCs w:val="16"/>
        <w:lang w:val="en-PH" w:eastAsia="en-PH"/>
      </w:rPr>
      <w:t xml:space="preserve"> XXXX</w:t>
    </w:r>
    <w:r w:rsidRPr="009D7C58">
      <w:rPr>
        <w:rFonts w:ascii="Gulim" w:eastAsia="Gulim" w:cs="Gulim"/>
        <w:color w:val="000000"/>
        <w:sz w:val="16"/>
        <w:szCs w:val="16"/>
        <w:lang w:val="en-PH" w:eastAsia="en-PH"/>
      </w:rPr>
      <w:t xml:space="preserve"> SERSC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7F5EC" w14:textId="77777777" w:rsidR="00BA3CFF" w:rsidRDefault="00BA3CFF">
      <w:r>
        <w:separator/>
      </w:r>
    </w:p>
  </w:footnote>
  <w:footnote w:type="continuationSeparator" w:id="0">
    <w:p w14:paraId="06FDD4D4" w14:textId="77777777" w:rsidR="00BA3CFF" w:rsidRDefault="00BA3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04A83" w14:textId="77777777" w:rsidR="00B144E6" w:rsidRPr="0009109B" w:rsidRDefault="00B144E6" w:rsidP="008D7C63">
    <w:pPr>
      <w:pStyle w:val="Header"/>
      <w:jc w:val="both"/>
      <w:rPr>
        <w:rFonts w:ascii="Gulim" w:eastAsia="Gulim" w:hAnsi="Gulim"/>
        <w:sz w:val="16"/>
        <w:lang w:eastAsia="ko-KR"/>
      </w:rPr>
    </w:pPr>
    <w:r w:rsidRPr="0009109B">
      <w:rPr>
        <w:rFonts w:ascii="Gulim" w:eastAsia="Gulim" w:hAnsi="Gulim" w:hint="eastAsia"/>
        <w:sz w:val="16"/>
      </w:rPr>
      <w:t>International Journal</w:t>
    </w:r>
    <w:r w:rsidRPr="0009109B">
      <w:rPr>
        <w:rFonts w:ascii="Gulim" w:eastAsia="Gulim" w:hAnsi="Gulim" w:hint="eastAsia"/>
        <w:sz w:val="16"/>
        <w:lang w:eastAsia="ko-KR"/>
      </w:rPr>
      <w:t xml:space="preserve"> of </w:t>
    </w:r>
    <w:proofErr w:type="spellStart"/>
    <w:r w:rsidRPr="0009109B">
      <w:rPr>
        <w:rFonts w:ascii="Gulim" w:eastAsia="Gulim" w:hAnsi="Gulim" w:hint="eastAsia"/>
        <w:sz w:val="16"/>
        <w:lang w:eastAsia="ko-KR"/>
      </w:rPr>
      <w:t>xxxxxx</w:t>
    </w:r>
    <w:proofErr w:type="spellEnd"/>
  </w:p>
  <w:p w14:paraId="13A7721D" w14:textId="77777777" w:rsidR="00B144E6" w:rsidRPr="0009109B" w:rsidRDefault="008D7C63" w:rsidP="008D7C63">
    <w:pPr>
      <w:pStyle w:val="Header"/>
      <w:jc w:val="both"/>
      <w:rPr>
        <w:rFonts w:ascii="Gulim" w:eastAsia="Gulim" w:hAnsi="Gulim"/>
        <w:sz w:val="16"/>
        <w:lang w:val="it-IT" w:eastAsia="ko-KR"/>
      </w:rPr>
    </w:pPr>
    <w:r>
      <w:rPr>
        <w:rFonts w:ascii="Gulim" w:eastAsia="Gulim" w:hAnsi="Gulim" w:hint="eastAsia"/>
        <w:sz w:val="16"/>
        <w:lang w:val="it-IT"/>
      </w:rPr>
      <w:t xml:space="preserve">Vol. x, No. </w:t>
    </w:r>
    <w:r>
      <w:rPr>
        <w:rFonts w:ascii="Gulim" w:eastAsia="Gulim" w:hAnsi="Gulim"/>
        <w:sz w:val="16"/>
        <w:lang w:val="it-IT"/>
      </w:rPr>
      <w:t>x,</w:t>
    </w:r>
    <w:r w:rsidR="000D3070" w:rsidRPr="0009109B">
      <w:rPr>
        <w:rFonts w:ascii="Gulim" w:eastAsia="Gulim" w:hAnsi="Gulim" w:hint="eastAsia"/>
        <w:sz w:val="16"/>
        <w:lang w:val="it-IT"/>
      </w:rPr>
      <w:t xml:space="preserve"> </w:t>
    </w:r>
    <w:r>
      <w:rPr>
        <w:rFonts w:ascii="Gulim" w:eastAsia="Gulim" w:hAnsi="Gulim"/>
        <w:sz w:val="16"/>
        <w:lang w:val="it-IT"/>
      </w:rPr>
      <w:t>(</w:t>
    </w:r>
    <w:r w:rsidR="000D3070" w:rsidRPr="0009109B">
      <w:rPr>
        <w:rFonts w:ascii="Gulim" w:eastAsia="Gulim" w:hAnsi="Gulim" w:hint="eastAsia"/>
        <w:sz w:val="16"/>
        <w:lang w:val="it-IT"/>
      </w:rPr>
      <w:t>20</w:t>
    </w:r>
    <w:r w:rsidR="000D3070" w:rsidRPr="0009109B">
      <w:rPr>
        <w:rFonts w:ascii="Gulim" w:eastAsia="Gulim" w:hAnsi="Gulim" w:hint="eastAsia"/>
        <w:sz w:val="16"/>
        <w:lang w:val="it-IT" w:eastAsia="ko-KR"/>
      </w:rPr>
      <w:t>xx</w:t>
    </w:r>
    <w:r>
      <w:rPr>
        <w:rFonts w:ascii="Gulim" w:eastAsia="Gulim" w:hAnsi="Gulim"/>
        <w:sz w:val="16"/>
        <w:lang w:val="it-IT" w:eastAsia="ko-KR"/>
      </w:rPr>
      <w:t>)</w:t>
    </w:r>
  </w:p>
  <w:p w14:paraId="19D17304" w14:textId="77777777" w:rsidR="00B144E6" w:rsidRPr="0009109B" w:rsidRDefault="00B144E6" w:rsidP="008D7C63">
    <w:pPr>
      <w:pStyle w:val="Header"/>
      <w:jc w:val="both"/>
      <w:rPr>
        <w:rFonts w:ascii="Gulim" w:eastAsia="Gulim" w:hAnsi="Gulim"/>
        <w:sz w:val="16"/>
        <w:lang w:val="it-IT" w:eastAsia="ko-KR"/>
      </w:rPr>
    </w:pPr>
  </w:p>
  <w:p w14:paraId="133627F0" w14:textId="77777777" w:rsidR="00B144E6" w:rsidRPr="0009109B" w:rsidRDefault="00B144E6" w:rsidP="008D7C63">
    <w:pPr>
      <w:pStyle w:val="Header"/>
      <w:jc w:val="both"/>
      <w:rPr>
        <w:rFonts w:ascii="Gulim" w:eastAsia="Gulim" w:hAnsi="Gulim"/>
        <w:sz w:val="16"/>
        <w:lang w:val="it-IT"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3598C" w14:textId="77777777" w:rsidR="008D7C63" w:rsidRPr="0009109B" w:rsidRDefault="008D7C63" w:rsidP="008D7C63">
    <w:pPr>
      <w:pStyle w:val="Header"/>
      <w:jc w:val="right"/>
      <w:rPr>
        <w:rFonts w:ascii="Gulim" w:eastAsia="Gulim" w:hAnsi="Gulim"/>
        <w:sz w:val="16"/>
        <w:lang w:eastAsia="ko-KR"/>
      </w:rPr>
    </w:pPr>
    <w:r w:rsidRPr="0009109B">
      <w:rPr>
        <w:rFonts w:ascii="Gulim" w:eastAsia="Gulim" w:hAnsi="Gulim" w:hint="eastAsia"/>
        <w:sz w:val="16"/>
      </w:rPr>
      <w:t>International Journal</w:t>
    </w:r>
    <w:r w:rsidRPr="0009109B">
      <w:rPr>
        <w:rFonts w:ascii="Gulim" w:eastAsia="Gulim" w:hAnsi="Gulim" w:hint="eastAsia"/>
        <w:sz w:val="16"/>
        <w:lang w:eastAsia="ko-KR"/>
      </w:rPr>
      <w:t xml:space="preserve"> of </w:t>
    </w:r>
    <w:proofErr w:type="spellStart"/>
    <w:r w:rsidRPr="0009109B">
      <w:rPr>
        <w:rFonts w:ascii="Gulim" w:eastAsia="Gulim" w:hAnsi="Gulim" w:hint="eastAsia"/>
        <w:sz w:val="16"/>
        <w:lang w:eastAsia="ko-KR"/>
      </w:rPr>
      <w:t>xxxxxx</w:t>
    </w:r>
    <w:proofErr w:type="spellEnd"/>
  </w:p>
  <w:p w14:paraId="7B8F3562" w14:textId="77777777" w:rsidR="008D7C63" w:rsidRPr="0009109B" w:rsidRDefault="008D7C63" w:rsidP="008D7C63">
    <w:pPr>
      <w:pStyle w:val="Header"/>
      <w:jc w:val="right"/>
      <w:rPr>
        <w:rFonts w:ascii="Gulim" w:eastAsia="Gulim" w:hAnsi="Gulim"/>
        <w:sz w:val="16"/>
        <w:lang w:val="it-IT" w:eastAsia="ko-KR"/>
      </w:rPr>
    </w:pPr>
    <w:r>
      <w:rPr>
        <w:rFonts w:ascii="Gulim" w:eastAsia="Gulim" w:hAnsi="Gulim" w:hint="eastAsia"/>
        <w:sz w:val="16"/>
        <w:lang w:val="it-IT"/>
      </w:rPr>
      <w:t xml:space="preserve">Vol. x, No. </w:t>
    </w:r>
    <w:r>
      <w:rPr>
        <w:rFonts w:ascii="Gulim" w:eastAsia="Gulim" w:hAnsi="Gulim"/>
        <w:sz w:val="16"/>
        <w:lang w:val="it-IT"/>
      </w:rPr>
      <w:t>x,</w:t>
    </w:r>
    <w:r w:rsidRPr="0009109B">
      <w:rPr>
        <w:rFonts w:ascii="Gulim" w:eastAsia="Gulim" w:hAnsi="Gulim" w:hint="eastAsia"/>
        <w:sz w:val="16"/>
        <w:lang w:val="it-IT"/>
      </w:rPr>
      <w:t xml:space="preserve"> </w:t>
    </w:r>
    <w:r>
      <w:rPr>
        <w:rFonts w:ascii="Gulim" w:eastAsia="Gulim" w:hAnsi="Gulim"/>
        <w:sz w:val="16"/>
        <w:lang w:val="it-IT"/>
      </w:rPr>
      <w:t>(</w:t>
    </w:r>
    <w:r w:rsidRPr="0009109B">
      <w:rPr>
        <w:rFonts w:ascii="Gulim" w:eastAsia="Gulim" w:hAnsi="Gulim" w:hint="eastAsia"/>
        <w:sz w:val="16"/>
        <w:lang w:val="it-IT"/>
      </w:rPr>
      <w:t>20</w:t>
    </w:r>
    <w:r w:rsidRPr="0009109B">
      <w:rPr>
        <w:rFonts w:ascii="Gulim" w:eastAsia="Gulim" w:hAnsi="Gulim" w:hint="eastAsia"/>
        <w:sz w:val="16"/>
        <w:lang w:val="it-IT" w:eastAsia="ko-KR"/>
      </w:rPr>
      <w:t>xx</w:t>
    </w:r>
    <w:r>
      <w:rPr>
        <w:rFonts w:ascii="Gulim" w:eastAsia="Gulim" w:hAnsi="Gulim"/>
        <w:sz w:val="16"/>
        <w:lang w:val="it-IT" w:eastAsia="ko-KR"/>
      </w:rPr>
      <w:t>)</w:t>
    </w:r>
  </w:p>
  <w:p w14:paraId="3FFFF586" w14:textId="77777777" w:rsidR="008D7C63" w:rsidRPr="0009109B" w:rsidRDefault="008D7C63" w:rsidP="008D7C63">
    <w:pPr>
      <w:pStyle w:val="Header"/>
      <w:jc w:val="right"/>
      <w:rPr>
        <w:rFonts w:ascii="Gulim" w:eastAsia="Gulim" w:hAnsi="Gulim"/>
        <w:sz w:val="16"/>
        <w:lang w:val="it-IT" w:eastAsia="ko-KR"/>
      </w:rPr>
    </w:pPr>
  </w:p>
  <w:p w14:paraId="597AF882" w14:textId="77777777" w:rsidR="008D7C63" w:rsidRPr="0009109B" w:rsidRDefault="008D7C63" w:rsidP="008D7C63">
    <w:pPr>
      <w:pStyle w:val="Header"/>
      <w:jc w:val="right"/>
      <w:rPr>
        <w:rFonts w:ascii="Gulim" w:eastAsia="Gulim" w:hAnsi="Gulim"/>
        <w:sz w:val="16"/>
        <w:lang w:val="it-IT" w:eastAsia="ko-K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38EC4" w14:textId="77777777" w:rsidR="008D7C63" w:rsidRPr="0009109B" w:rsidRDefault="008D7C63" w:rsidP="008D7C63">
    <w:pPr>
      <w:pStyle w:val="Header"/>
      <w:jc w:val="right"/>
      <w:rPr>
        <w:rFonts w:ascii="Gulim" w:eastAsia="Gulim" w:hAnsi="Gulim"/>
        <w:sz w:val="16"/>
        <w:lang w:eastAsia="ko-KR"/>
      </w:rPr>
    </w:pPr>
    <w:r w:rsidRPr="0009109B">
      <w:rPr>
        <w:rFonts w:ascii="Gulim" w:eastAsia="Gulim" w:hAnsi="Gulim" w:hint="eastAsia"/>
        <w:sz w:val="16"/>
      </w:rPr>
      <w:t>International Journal</w:t>
    </w:r>
    <w:r w:rsidRPr="0009109B">
      <w:rPr>
        <w:rFonts w:ascii="Gulim" w:eastAsia="Gulim" w:hAnsi="Gulim" w:hint="eastAsia"/>
        <w:sz w:val="16"/>
        <w:lang w:eastAsia="ko-KR"/>
      </w:rPr>
      <w:t xml:space="preserve"> of </w:t>
    </w:r>
    <w:proofErr w:type="spellStart"/>
    <w:r w:rsidRPr="0009109B">
      <w:rPr>
        <w:rFonts w:ascii="Gulim" w:eastAsia="Gulim" w:hAnsi="Gulim" w:hint="eastAsia"/>
        <w:sz w:val="16"/>
        <w:lang w:eastAsia="ko-KR"/>
      </w:rPr>
      <w:t>xxxxxx</w:t>
    </w:r>
    <w:proofErr w:type="spellEnd"/>
  </w:p>
  <w:p w14:paraId="5FC8ED29" w14:textId="77777777" w:rsidR="008D7C63" w:rsidRPr="0009109B" w:rsidRDefault="008D7C63" w:rsidP="008D7C63">
    <w:pPr>
      <w:pStyle w:val="Header"/>
      <w:jc w:val="right"/>
      <w:rPr>
        <w:rFonts w:ascii="Gulim" w:eastAsia="Gulim" w:hAnsi="Gulim"/>
        <w:sz w:val="16"/>
        <w:lang w:val="it-IT" w:eastAsia="ko-KR"/>
      </w:rPr>
    </w:pPr>
    <w:r w:rsidRPr="0009109B">
      <w:rPr>
        <w:rFonts w:ascii="Gulim" w:eastAsia="Gulim" w:hAnsi="Gulim" w:hint="eastAsia"/>
        <w:sz w:val="16"/>
        <w:lang w:val="it-IT"/>
      </w:rPr>
      <w:t xml:space="preserve">Vol. x, No. x, </w:t>
    </w:r>
    <w:r>
      <w:rPr>
        <w:rFonts w:ascii="Gulim" w:eastAsia="Gulim" w:hAnsi="Gulim"/>
        <w:sz w:val="16"/>
        <w:lang w:val="it-IT"/>
      </w:rPr>
      <w:t>(20xx)</w:t>
    </w:r>
    <w:r w:rsidRPr="0009109B">
      <w:rPr>
        <w:rFonts w:ascii="Gulim" w:eastAsia="Gulim" w:hAnsi="Gulim" w:hint="eastAsia"/>
        <w:sz w:val="16"/>
        <w:lang w:val="it-IT"/>
      </w:rPr>
      <w:t xml:space="preserve">, </w:t>
    </w:r>
    <w:r>
      <w:rPr>
        <w:rFonts w:ascii="Gulim" w:eastAsia="Gulim" w:hAnsi="Gulim"/>
        <w:sz w:val="16"/>
        <w:lang w:val="it-IT"/>
      </w:rPr>
      <w:t>pp. xx-xx</w:t>
    </w:r>
  </w:p>
  <w:p w14:paraId="3A3F36AE" w14:textId="77777777" w:rsidR="008D7C63" w:rsidRPr="0009109B" w:rsidRDefault="008D7C63" w:rsidP="008D7C63">
    <w:pPr>
      <w:pStyle w:val="Header"/>
      <w:jc w:val="right"/>
      <w:rPr>
        <w:rFonts w:ascii="Gulim" w:eastAsia="Gulim" w:hAnsi="Gulim"/>
        <w:sz w:val="16"/>
        <w:lang w:val="it-IT" w:eastAsia="ko-KR"/>
      </w:rPr>
    </w:pPr>
  </w:p>
  <w:p w14:paraId="2621838F" w14:textId="77777777" w:rsidR="008D7C63" w:rsidRPr="0009109B" w:rsidRDefault="008D7C63" w:rsidP="008D7C63">
    <w:pPr>
      <w:pStyle w:val="Header"/>
      <w:jc w:val="right"/>
      <w:rPr>
        <w:rFonts w:ascii="Gulim" w:eastAsia="Gulim" w:hAnsi="Gulim"/>
        <w:sz w:val="16"/>
        <w:lang w:val="it-IT" w:eastAsia="ko-K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A3BA4"/>
    <w:multiLevelType w:val="hybridMultilevel"/>
    <w:tmpl w:val="84F64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8710C"/>
    <w:multiLevelType w:val="hybridMultilevel"/>
    <w:tmpl w:val="4AD41742"/>
    <w:lvl w:ilvl="0" w:tplc="5F7A6A9C">
      <w:start w:val="1"/>
      <w:numFmt w:val="decimal"/>
      <w:lvlText w:val="[%1]"/>
      <w:lvlJc w:val="left"/>
      <w:pPr>
        <w:ind w:left="720" w:hanging="360"/>
      </w:pPr>
      <w:rPr>
        <w:rFonts w:ascii="Times New Roman" w:hAnsi="Times New Roman" w:cs="Times New Roman" w:hint="default"/>
        <w:b w:val="0"/>
        <w:bCs w:val="0"/>
        <w:i w:val="0"/>
        <w:iCs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861C8"/>
    <w:multiLevelType w:val="multilevel"/>
    <w:tmpl w:val="22E87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81E2C"/>
    <w:multiLevelType w:val="hybridMultilevel"/>
    <w:tmpl w:val="615A2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596DA5"/>
    <w:multiLevelType w:val="multilevel"/>
    <w:tmpl w:val="317C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64152"/>
    <w:multiLevelType w:val="hybridMultilevel"/>
    <w:tmpl w:val="310AB3BA"/>
    <w:lvl w:ilvl="0" w:tplc="59B4B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55360"/>
    <w:multiLevelType w:val="hybridMultilevel"/>
    <w:tmpl w:val="8194A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2A6443"/>
    <w:multiLevelType w:val="multilevel"/>
    <w:tmpl w:val="4B04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13519"/>
    <w:multiLevelType w:val="hybridMultilevel"/>
    <w:tmpl w:val="9E582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6"/>
  </w:num>
  <w:num w:numId="5">
    <w:abstractNumId w:val="3"/>
  </w:num>
  <w:num w:numId="6">
    <w:abstractNumId w:val="8"/>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250"/>
    <w:rsid w:val="00016ED5"/>
    <w:rsid w:val="0002443C"/>
    <w:rsid w:val="00035D0E"/>
    <w:rsid w:val="000502F1"/>
    <w:rsid w:val="00070C81"/>
    <w:rsid w:val="00071710"/>
    <w:rsid w:val="00072DD1"/>
    <w:rsid w:val="0009109B"/>
    <w:rsid w:val="000A2998"/>
    <w:rsid w:val="000C361A"/>
    <w:rsid w:val="000D3070"/>
    <w:rsid w:val="000D41DD"/>
    <w:rsid w:val="000D4778"/>
    <w:rsid w:val="000D6FF3"/>
    <w:rsid w:val="00123893"/>
    <w:rsid w:val="001324B3"/>
    <w:rsid w:val="001638C5"/>
    <w:rsid w:val="00183A26"/>
    <w:rsid w:val="001A0250"/>
    <w:rsid w:val="001B3382"/>
    <w:rsid w:val="001D795F"/>
    <w:rsid w:val="002058AB"/>
    <w:rsid w:val="00283946"/>
    <w:rsid w:val="00290930"/>
    <w:rsid w:val="002C184B"/>
    <w:rsid w:val="002F16B1"/>
    <w:rsid w:val="002F7515"/>
    <w:rsid w:val="00305A4D"/>
    <w:rsid w:val="00305D04"/>
    <w:rsid w:val="00325781"/>
    <w:rsid w:val="003324E7"/>
    <w:rsid w:val="003614B8"/>
    <w:rsid w:val="003620E3"/>
    <w:rsid w:val="00364412"/>
    <w:rsid w:val="00366969"/>
    <w:rsid w:val="0037447E"/>
    <w:rsid w:val="003747BF"/>
    <w:rsid w:val="00383F6A"/>
    <w:rsid w:val="00392C34"/>
    <w:rsid w:val="003A35B3"/>
    <w:rsid w:val="003C76DE"/>
    <w:rsid w:val="003D74D1"/>
    <w:rsid w:val="00400385"/>
    <w:rsid w:val="00404F29"/>
    <w:rsid w:val="00404FF3"/>
    <w:rsid w:val="004155BC"/>
    <w:rsid w:val="0042133A"/>
    <w:rsid w:val="00454591"/>
    <w:rsid w:val="00462B21"/>
    <w:rsid w:val="004E764C"/>
    <w:rsid w:val="004F19CE"/>
    <w:rsid w:val="00505651"/>
    <w:rsid w:val="005103B8"/>
    <w:rsid w:val="00546B0D"/>
    <w:rsid w:val="005634C9"/>
    <w:rsid w:val="0057145A"/>
    <w:rsid w:val="0057210C"/>
    <w:rsid w:val="005747FF"/>
    <w:rsid w:val="005A1351"/>
    <w:rsid w:val="005A5C32"/>
    <w:rsid w:val="005B59F4"/>
    <w:rsid w:val="005E199F"/>
    <w:rsid w:val="00610C7B"/>
    <w:rsid w:val="00630BF3"/>
    <w:rsid w:val="00637106"/>
    <w:rsid w:val="00644694"/>
    <w:rsid w:val="00664BB9"/>
    <w:rsid w:val="00671F1F"/>
    <w:rsid w:val="00674135"/>
    <w:rsid w:val="006A40D2"/>
    <w:rsid w:val="006A4DD3"/>
    <w:rsid w:val="006D6E42"/>
    <w:rsid w:val="006E0B28"/>
    <w:rsid w:val="006E75CD"/>
    <w:rsid w:val="006F71A9"/>
    <w:rsid w:val="00704C8F"/>
    <w:rsid w:val="0075038F"/>
    <w:rsid w:val="0075497D"/>
    <w:rsid w:val="00785581"/>
    <w:rsid w:val="0078612D"/>
    <w:rsid w:val="00795FAC"/>
    <w:rsid w:val="007A32C7"/>
    <w:rsid w:val="007A66B4"/>
    <w:rsid w:val="007D0AD8"/>
    <w:rsid w:val="00813227"/>
    <w:rsid w:val="00862FC7"/>
    <w:rsid w:val="00867CD0"/>
    <w:rsid w:val="00870422"/>
    <w:rsid w:val="008A2330"/>
    <w:rsid w:val="008C1C4F"/>
    <w:rsid w:val="008D7C63"/>
    <w:rsid w:val="008E57CB"/>
    <w:rsid w:val="008F07A3"/>
    <w:rsid w:val="009007BD"/>
    <w:rsid w:val="009120E8"/>
    <w:rsid w:val="00917132"/>
    <w:rsid w:val="009444DC"/>
    <w:rsid w:val="009525DC"/>
    <w:rsid w:val="00964399"/>
    <w:rsid w:val="00985F48"/>
    <w:rsid w:val="00985FCA"/>
    <w:rsid w:val="009C0DD8"/>
    <w:rsid w:val="009D0FBE"/>
    <w:rsid w:val="00A06A1E"/>
    <w:rsid w:val="00A31904"/>
    <w:rsid w:val="00A721C9"/>
    <w:rsid w:val="00A73008"/>
    <w:rsid w:val="00A86DE9"/>
    <w:rsid w:val="00AB1C58"/>
    <w:rsid w:val="00AB72F1"/>
    <w:rsid w:val="00AD395B"/>
    <w:rsid w:val="00AD3AB7"/>
    <w:rsid w:val="00B06D7A"/>
    <w:rsid w:val="00B144E6"/>
    <w:rsid w:val="00B45B3A"/>
    <w:rsid w:val="00B45E25"/>
    <w:rsid w:val="00B51BFE"/>
    <w:rsid w:val="00B94624"/>
    <w:rsid w:val="00BA3CFF"/>
    <w:rsid w:val="00BC6BC4"/>
    <w:rsid w:val="00BD69E7"/>
    <w:rsid w:val="00BF5651"/>
    <w:rsid w:val="00C16E9C"/>
    <w:rsid w:val="00C426BC"/>
    <w:rsid w:val="00C66FBE"/>
    <w:rsid w:val="00C829A9"/>
    <w:rsid w:val="00C94E5D"/>
    <w:rsid w:val="00C97F4E"/>
    <w:rsid w:val="00CA0007"/>
    <w:rsid w:val="00CA5BAA"/>
    <w:rsid w:val="00CB1710"/>
    <w:rsid w:val="00CB7CE3"/>
    <w:rsid w:val="00CC6448"/>
    <w:rsid w:val="00CF73FA"/>
    <w:rsid w:val="00D01A29"/>
    <w:rsid w:val="00D0713E"/>
    <w:rsid w:val="00D10437"/>
    <w:rsid w:val="00D146D9"/>
    <w:rsid w:val="00D16561"/>
    <w:rsid w:val="00D32C9F"/>
    <w:rsid w:val="00D6065B"/>
    <w:rsid w:val="00D745BD"/>
    <w:rsid w:val="00DA4F45"/>
    <w:rsid w:val="00DE5B27"/>
    <w:rsid w:val="00E04F6F"/>
    <w:rsid w:val="00E536A6"/>
    <w:rsid w:val="00E626FF"/>
    <w:rsid w:val="00E9761A"/>
    <w:rsid w:val="00EA4620"/>
    <w:rsid w:val="00EE6052"/>
    <w:rsid w:val="00F054BA"/>
    <w:rsid w:val="00F239D6"/>
    <w:rsid w:val="00F32629"/>
    <w:rsid w:val="00F3411A"/>
    <w:rsid w:val="00F34C2A"/>
    <w:rsid w:val="00F71884"/>
    <w:rsid w:val="00F8073F"/>
    <w:rsid w:val="00F909B9"/>
    <w:rsid w:val="00F90A30"/>
    <w:rsid w:val="00F96B0F"/>
    <w:rsid w:val="00F978FC"/>
    <w:rsid w:val="00FA7A33"/>
    <w:rsid w:val="00FB2E89"/>
    <w:rsid w:val="00FB66A3"/>
    <w:rsid w:val="00FB7389"/>
    <w:rsid w:val="00FE0436"/>
    <w:rsid w:val="00FE7904"/>
    <w:rsid w:val="00FF1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998896"/>
  <w15:chartTrackingRefBased/>
  <w15:docId w15:val="{A6DDA48A-3ABD-40E1-A68D-0F879DC1C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893"/>
  </w:style>
  <w:style w:type="paragraph" w:styleId="Heading1">
    <w:name w:val="heading 1"/>
    <w:basedOn w:val="Normal"/>
    <w:next w:val="Normal"/>
    <w:qFormat/>
    <w:pPr>
      <w:keepNext/>
      <w:jc w:val="center"/>
      <w:outlineLvl w:val="0"/>
    </w:pPr>
    <w:rPr>
      <w:b/>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link w:val="Heading3Char"/>
    <w:uiPriority w:val="9"/>
    <w:semiHidden/>
    <w:unhideWhenUsed/>
    <w:qFormat/>
    <w:rsid w:val="00637106"/>
    <w:pPr>
      <w:keepNext/>
      <w:spacing w:before="240" w:after="60"/>
      <w:outlineLvl w:val="2"/>
    </w:pPr>
    <w:rPr>
      <w:rFonts w:ascii="Cambria" w:eastAsia="Malgun Gothic"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245"/>
      <w:jc w:val="both"/>
    </w:pPr>
    <w:rPr>
      <w:spacing w:val="6"/>
      <w:sz w:val="22"/>
    </w:rPr>
  </w:style>
  <w:style w:type="paragraph" w:styleId="BodyText">
    <w:name w:val="Body Text"/>
    <w:basedOn w:val="Normal"/>
    <w:pPr>
      <w:jc w:val="both"/>
    </w:pPr>
    <w:rPr>
      <w:i/>
      <w:sz w:val="22"/>
    </w:rPr>
  </w:style>
  <w:style w:type="paragraph" w:styleId="BodyTextIndent2">
    <w:name w:val="Body Text Indent 2"/>
    <w:basedOn w:val="Normal"/>
    <w:pPr>
      <w:spacing w:before="120" w:line="260" w:lineRule="exact"/>
      <w:ind w:firstLine="245"/>
    </w:pPr>
    <w:rPr>
      <w:spacing w:val="6"/>
      <w:sz w:val="22"/>
    </w:rPr>
  </w:style>
  <w:style w:type="paragraph" w:styleId="List">
    <w:name w:val="List"/>
    <w:basedOn w:val="Normal"/>
    <w:pPr>
      <w:ind w:left="360" w:hanging="360"/>
    </w:pPr>
  </w:style>
  <w:style w:type="paragraph" w:styleId="BodyTextIndent3">
    <w:name w:val="Body Text Indent 3"/>
    <w:basedOn w:val="Normal"/>
    <w:pPr>
      <w:spacing w:before="120" w:line="260" w:lineRule="exact"/>
      <w:ind w:firstLine="270"/>
      <w:jc w:val="both"/>
    </w:pPr>
    <w:rPr>
      <w:sz w:val="22"/>
    </w:rPr>
  </w:style>
  <w:style w:type="paragraph" w:styleId="BodyText2">
    <w:name w:val="Body Text 2"/>
    <w:basedOn w:val="Normal"/>
    <w:pPr>
      <w:spacing w:line="260" w:lineRule="exact"/>
    </w:pPr>
    <w:rPr>
      <w:spacing w:val="6"/>
      <w:sz w:val="22"/>
    </w:rPr>
  </w:style>
  <w:style w:type="paragraph" w:styleId="Header">
    <w:name w:val="header"/>
    <w:basedOn w:val="Normal"/>
    <w:rsid w:val="00016ED5"/>
    <w:pPr>
      <w:tabs>
        <w:tab w:val="center" w:pos="4252"/>
        <w:tab w:val="right" w:pos="8504"/>
      </w:tabs>
      <w:snapToGrid w:val="0"/>
    </w:pPr>
  </w:style>
  <w:style w:type="paragraph" w:styleId="Footer">
    <w:name w:val="footer"/>
    <w:basedOn w:val="Normal"/>
    <w:link w:val="FooterChar"/>
    <w:uiPriority w:val="99"/>
    <w:rsid w:val="00016ED5"/>
    <w:pPr>
      <w:tabs>
        <w:tab w:val="center" w:pos="4252"/>
        <w:tab w:val="right" w:pos="8504"/>
      </w:tabs>
      <w:snapToGrid w:val="0"/>
    </w:pPr>
  </w:style>
  <w:style w:type="character" w:styleId="PageNumber">
    <w:name w:val="page number"/>
    <w:basedOn w:val="DefaultParagraphFont"/>
    <w:rsid w:val="00016ED5"/>
  </w:style>
  <w:style w:type="paragraph" w:customStyle="1" w:styleId="References">
    <w:name w:val="References"/>
    <w:basedOn w:val="Normal"/>
    <w:rsid w:val="000D3070"/>
    <w:pPr>
      <w:jc w:val="both"/>
    </w:pPr>
    <w:rPr>
      <w:rFonts w:eastAsia="Malgun Gothic"/>
      <w:sz w:val="18"/>
    </w:rPr>
  </w:style>
  <w:style w:type="character" w:customStyle="1" w:styleId="Heading3Char">
    <w:name w:val="Heading 3 Char"/>
    <w:link w:val="Heading3"/>
    <w:uiPriority w:val="9"/>
    <w:semiHidden/>
    <w:rsid w:val="00637106"/>
    <w:rPr>
      <w:rFonts w:ascii="Cambria" w:eastAsia="Malgun Gothic" w:hAnsi="Cambria" w:cs="Times New Roman"/>
      <w:b/>
      <w:bCs/>
      <w:sz w:val="26"/>
      <w:szCs w:val="26"/>
      <w:lang w:eastAsia="en-US"/>
    </w:rPr>
  </w:style>
  <w:style w:type="paragraph" w:styleId="NormalWeb">
    <w:name w:val="Normal (Web)"/>
    <w:basedOn w:val="Normal"/>
    <w:uiPriority w:val="99"/>
    <w:semiHidden/>
    <w:unhideWhenUsed/>
    <w:rsid w:val="00637106"/>
    <w:pPr>
      <w:spacing w:before="100" w:beforeAutospacing="1" w:after="100" w:afterAutospacing="1"/>
    </w:pPr>
    <w:rPr>
      <w:rFonts w:eastAsia="Times New Roman"/>
      <w:sz w:val="24"/>
      <w:szCs w:val="24"/>
      <w:lang w:eastAsia="ko-KR"/>
    </w:rPr>
  </w:style>
  <w:style w:type="character" w:customStyle="1" w:styleId="apple-converted-space">
    <w:name w:val="apple-converted-space"/>
    <w:rsid w:val="00637106"/>
  </w:style>
  <w:style w:type="character" w:customStyle="1" w:styleId="journal-title">
    <w:name w:val="journal-title"/>
    <w:rsid w:val="00637106"/>
  </w:style>
  <w:style w:type="character" w:styleId="Hyperlink">
    <w:name w:val="Hyperlink"/>
    <w:uiPriority w:val="99"/>
    <w:unhideWhenUsed/>
    <w:rsid w:val="00637106"/>
    <w:rPr>
      <w:color w:val="0000FF"/>
      <w:u w:val="single"/>
    </w:rPr>
  </w:style>
  <w:style w:type="character" w:styleId="Strong">
    <w:name w:val="Strong"/>
    <w:uiPriority w:val="22"/>
    <w:qFormat/>
    <w:rsid w:val="00AB1C58"/>
    <w:rPr>
      <w:b/>
      <w:bCs/>
    </w:rPr>
  </w:style>
  <w:style w:type="paragraph" w:styleId="FootnoteText">
    <w:name w:val="footnote text"/>
    <w:basedOn w:val="Normal"/>
    <w:link w:val="FootnoteTextChar"/>
    <w:uiPriority w:val="99"/>
    <w:semiHidden/>
    <w:unhideWhenUsed/>
    <w:rsid w:val="00364412"/>
    <w:pPr>
      <w:snapToGrid w:val="0"/>
    </w:pPr>
    <w:rPr>
      <w:sz w:val="18"/>
      <w:szCs w:val="18"/>
    </w:rPr>
  </w:style>
  <w:style w:type="character" w:customStyle="1" w:styleId="FootnoteTextChar">
    <w:name w:val="Footnote Text Char"/>
    <w:link w:val="FootnoteText"/>
    <w:uiPriority w:val="99"/>
    <w:semiHidden/>
    <w:rsid w:val="00364412"/>
    <w:rPr>
      <w:sz w:val="18"/>
      <w:szCs w:val="18"/>
      <w:lang w:eastAsia="en-US"/>
    </w:rPr>
  </w:style>
  <w:style w:type="character" w:styleId="FootnoteReference">
    <w:name w:val="footnote reference"/>
    <w:uiPriority w:val="99"/>
    <w:semiHidden/>
    <w:unhideWhenUsed/>
    <w:rsid w:val="00364412"/>
    <w:rPr>
      <w:vertAlign w:val="superscript"/>
    </w:rPr>
  </w:style>
  <w:style w:type="table" w:styleId="TableGrid">
    <w:name w:val="Table Grid"/>
    <w:basedOn w:val="TableNormal"/>
    <w:uiPriority w:val="59"/>
    <w:rsid w:val="00B45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6">
    <w:name w:val="Medium Shading 2 Accent 6"/>
    <w:basedOn w:val="TableNormal"/>
    <w:uiPriority w:val="64"/>
    <w:rsid w:val="006D6E4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D6E4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FooterChar">
    <w:name w:val="Footer Char"/>
    <w:link w:val="Footer"/>
    <w:uiPriority w:val="99"/>
    <w:locked/>
    <w:rsid w:val="008D7C63"/>
  </w:style>
  <w:style w:type="character" w:styleId="UnresolvedMention">
    <w:name w:val="Unresolved Mention"/>
    <w:basedOn w:val="DefaultParagraphFont"/>
    <w:uiPriority w:val="99"/>
    <w:semiHidden/>
    <w:unhideWhenUsed/>
    <w:rsid w:val="00AB72F1"/>
    <w:rPr>
      <w:color w:val="605E5C"/>
      <w:shd w:val="clear" w:color="auto" w:fill="E1DFDD"/>
    </w:rPr>
  </w:style>
  <w:style w:type="paragraph" w:styleId="ListParagraph">
    <w:name w:val="List Paragraph"/>
    <w:basedOn w:val="Normal"/>
    <w:uiPriority w:val="34"/>
    <w:qFormat/>
    <w:rsid w:val="00B51BFE"/>
    <w:pPr>
      <w:ind w:left="720"/>
      <w:contextualSpacing/>
    </w:pPr>
  </w:style>
  <w:style w:type="paragraph" w:styleId="BalloonText">
    <w:name w:val="Balloon Text"/>
    <w:basedOn w:val="Normal"/>
    <w:link w:val="BalloonTextChar"/>
    <w:uiPriority w:val="99"/>
    <w:semiHidden/>
    <w:unhideWhenUsed/>
    <w:rsid w:val="000D6FF3"/>
    <w:rPr>
      <w:sz w:val="18"/>
      <w:szCs w:val="18"/>
    </w:rPr>
  </w:style>
  <w:style w:type="character" w:customStyle="1" w:styleId="BalloonTextChar">
    <w:name w:val="Balloon Text Char"/>
    <w:basedOn w:val="DefaultParagraphFont"/>
    <w:link w:val="BalloonText"/>
    <w:uiPriority w:val="99"/>
    <w:semiHidden/>
    <w:rsid w:val="000D6F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66157">
      <w:bodyDiv w:val="1"/>
      <w:marLeft w:val="0"/>
      <w:marRight w:val="0"/>
      <w:marTop w:val="0"/>
      <w:marBottom w:val="0"/>
      <w:divBdr>
        <w:top w:val="none" w:sz="0" w:space="0" w:color="auto"/>
        <w:left w:val="none" w:sz="0" w:space="0" w:color="auto"/>
        <w:bottom w:val="none" w:sz="0" w:space="0" w:color="auto"/>
        <w:right w:val="none" w:sz="0" w:space="0" w:color="auto"/>
      </w:divBdr>
      <w:divsChild>
        <w:div w:id="1544636047">
          <w:marLeft w:val="0"/>
          <w:marRight w:val="0"/>
          <w:marTop w:val="0"/>
          <w:marBottom w:val="0"/>
          <w:divBdr>
            <w:top w:val="none" w:sz="0" w:space="0" w:color="auto"/>
            <w:left w:val="none" w:sz="0" w:space="0" w:color="auto"/>
            <w:bottom w:val="none" w:sz="0" w:space="0" w:color="auto"/>
            <w:right w:val="none" w:sz="0" w:space="0" w:color="auto"/>
          </w:divBdr>
          <w:divsChild>
            <w:div w:id="1897935307">
              <w:marLeft w:val="0"/>
              <w:marRight w:val="0"/>
              <w:marTop w:val="0"/>
              <w:marBottom w:val="0"/>
              <w:divBdr>
                <w:top w:val="none" w:sz="0" w:space="0" w:color="auto"/>
                <w:left w:val="none" w:sz="0" w:space="0" w:color="auto"/>
                <w:bottom w:val="none" w:sz="0" w:space="0" w:color="auto"/>
                <w:right w:val="none" w:sz="0" w:space="0" w:color="auto"/>
              </w:divBdr>
              <w:divsChild>
                <w:div w:id="12881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4526">
      <w:bodyDiv w:val="1"/>
      <w:marLeft w:val="0"/>
      <w:marRight w:val="0"/>
      <w:marTop w:val="0"/>
      <w:marBottom w:val="0"/>
      <w:divBdr>
        <w:top w:val="none" w:sz="0" w:space="0" w:color="auto"/>
        <w:left w:val="none" w:sz="0" w:space="0" w:color="auto"/>
        <w:bottom w:val="none" w:sz="0" w:space="0" w:color="auto"/>
        <w:right w:val="none" w:sz="0" w:space="0" w:color="auto"/>
      </w:divBdr>
    </w:div>
    <w:div w:id="290867537">
      <w:bodyDiv w:val="1"/>
      <w:marLeft w:val="0"/>
      <w:marRight w:val="0"/>
      <w:marTop w:val="0"/>
      <w:marBottom w:val="0"/>
      <w:divBdr>
        <w:top w:val="none" w:sz="0" w:space="0" w:color="auto"/>
        <w:left w:val="none" w:sz="0" w:space="0" w:color="auto"/>
        <w:bottom w:val="none" w:sz="0" w:space="0" w:color="auto"/>
        <w:right w:val="none" w:sz="0" w:space="0" w:color="auto"/>
      </w:divBdr>
    </w:div>
    <w:div w:id="328561445">
      <w:bodyDiv w:val="1"/>
      <w:marLeft w:val="0"/>
      <w:marRight w:val="0"/>
      <w:marTop w:val="0"/>
      <w:marBottom w:val="0"/>
      <w:divBdr>
        <w:top w:val="none" w:sz="0" w:space="0" w:color="auto"/>
        <w:left w:val="none" w:sz="0" w:space="0" w:color="auto"/>
        <w:bottom w:val="none" w:sz="0" w:space="0" w:color="auto"/>
        <w:right w:val="none" w:sz="0" w:space="0" w:color="auto"/>
      </w:divBdr>
      <w:divsChild>
        <w:div w:id="787821422">
          <w:marLeft w:val="0"/>
          <w:marRight w:val="0"/>
          <w:marTop w:val="0"/>
          <w:marBottom w:val="0"/>
          <w:divBdr>
            <w:top w:val="none" w:sz="0" w:space="0" w:color="auto"/>
            <w:left w:val="none" w:sz="0" w:space="0" w:color="auto"/>
            <w:bottom w:val="none" w:sz="0" w:space="0" w:color="auto"/>
            <w:right w:val="none" w:sz="0" w:space="0" w:color="auto"/>
          </w:divBdr>
          <w:divsChild>
            <w:div w:id="341131830">
              <w:marLeft w:val="0"/>
              <w:marRight w:val="0"/>
              <w:marTop w:val="0"/>
              <w:marBottom w:val="0"/>
              <w:divBdr>
                <w:top w:val="none" w:sz="0" w:space="0" w:color="auto"/>
                <w:left w:val="none" w:sz="0" w:space="0" w:color="auto"/>
                <w:bottom w:val="none" w:sz="0" w:space="0" w:color="auto"/>
                <w:right w:val="none" w:sz="0" w:space="0" w:color="auto"/>
              </w:divBdr>
              <w:divsChild>
                <w:div w:id="11902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123063">
      <w:bodyDiv w:val="1"/>
      <w:marLeft w:val="0"/>
      <w:marRight w:val="0"/>
      <w:marTop w:val="0"/>
      <w:marBottom w:val="0"/>
      <w:divBdr>
        <w:top w:val="none" w:sz="0" w:space="0" w:color="auto"/>
        <w:left w:val="none" w:sz="0" w:space="0" w:color="auto"/>
        <w:bottom w:val="none" w:sz="0" w:space="0" w:color="auto"/>
        <w:right w:val="none" w:sz="0" w:space="0" w:color="auto"/>
      </w:divBdr>
    </w:div>
    <w:div w:id="557476200">
      <w:bodyDiv w:val="1"/>
      <w:marLeft w:val="0"/>
      <w:marRight w:val="0"/>
      <w:marTop w:val="0"/>
      <w:marBottom w:val="0"/>
      <w:divBdr>
        <w:top w:val="none" w:sz="0" w:space="0" w:color="auto"/>
        <w:left w:val="none" w:sz="0" w:space="0" w:color="auto"/>
        <w:bottom w:val="none" w:sz="0" w:space="0" w:color="auto"/>
        <w:right w:val="none" w:sz="0" w:space="0" w:color="auto"/>
      </w:divBdr>
      <w:divsChild>
        <w:div w:id="475493255">
          <w:marLeft w:val="0"/>
          <w:marRight w:val="0"/>
          <w:marTop w:val="0"/>
          <w:marBottom w:val="0"/>
          <w:divBdr>
            <w:top w:val="none" w:sz="0" w:space="0" w:color="auto"/>
            <w:left w:val="none" w:sz="0" w:space="0" w:color="auto"/>
            <w:bottom w:val="none" w:sz="0" w:space="0" w:color="auto"/>
            <w:right w:val="none" w:sz="0" w:space="0" w:color="auto"/>
          </w:divBdr>
          <w:divsChild>
            <w:div w:id="1249732756">
              <w:marLeft w:val="0"/>
              <w:marRight w:val="0"/>
              <w:marTop w:val="0"/>
              <w:marBottom w:val="0"/>
              <w:divBdr>
                <w:top w:val="none" w:sz="0" w:space="0" w:color="auto"/>
                <w:left w:val="none" w:sz="0" w:space="0" w:color="auto"/>
                <w:bottom w:val="none" w:sz="0" w:space="0" w:color="auto"/>
                <w:right w:val="none" w:sz="0" w:space="0" w:color="auto"/>
              </w:divBdr>
              <w:divsChild>
                <w:div w:id="9194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44629">
      <w:bodyDiv w:val="1"/>
      <w:marLeft w:val="0"/>
      <w:marRight w:val="0"/>
      <w:marTop w:val="0"/>
      <w:marBottom w:val="0"/>
      <w:divBdr>
        <w:top w:val="none" w:sz="0" w:space="0" w:color="auto"/>
        <w:left w:val="none" w:sz="0" w:space="0" w:color="auto"/>
        <w:bottom w:val="none" w:sz="0" w:space="0" w:color="auto"/>
        <w:right w:val="none" w:sz="0" w:space="0" w:color="auto"/>
      </w:divBdr>
      <w:divsChild>
        <w:div w:id="1066994463">
          <w:marLeft w:val="0"/>
          <w:marRight w:val="0"/>
          <w:marTop w:val="0"/>
          <w:marBottom w:val="0"/>
          <w:divBdr>
            <w:top w:val="none" w:sz="0" w:space="0" w:color="auto"/>
            <w:left w:val="none" w:sz="0" w:space="0" w:color="auto"/>
            <w:bottom w:val="none" w:sz="0" w:space="0" w:color="auto"/>
            <w:right w:val="none" w:sz="0" w:space="0" w:color="auto"/>
          </w:divBdr>
          <w:divsChild>
            <w:div w:id="1127626874">
              <w:marLeft w:val="0"/>
              <w:marRight w:val="0"/>
              <w:marTop w:val="0"/>
              <w:marBottom w:val="0"/>
              <w:divBdr>
                <w:top w:val="none" w:sz="0" w:space="0" w:color="auto"/>
                <w:left w:val="none" w:sz="0" w:space="0" w:color="auto"/>
                <w:bottom w:val="none" w:sz="0" w:space="0" w:color="auto"/>
                <w:right w:val="none" w:sz="0" w:space="0" w:color="auto"/>
              </w:divBdr>
              <w:divsChild>
                <w:div w:id="6659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507984">
      <w:bodyDiv w:val="1"/>
      <w:marLeft w:val="0"/>
      <w:marRight w:val="0"/>
      <w:marTop w:val="0"/>
      <w:marBottom w:val="0"/>
      <w:divBdr>
        <w:top w:val="none" w:sz="0" w:space="0" w:color="auto"/>
        <w:left w:val="none" w:sz="0" w:space="0" w:color="auto"/>
        <w:bottom w:val="none" w:sz="0" w:space="0" w:color="auto"/>
        <w:right w:val="none" w:sz="0" w:space="0" w:color="auto"/>
      </w:divBdr>
      <w:divsChild>
        <w:div w:id="931159301">
          <w:marLeft w:val="0"/>
          <w:marRight w:val="0"/>
          <w:marTop w:val="0"/>
          <w:marBottom w:val="0"/>
          <w:divBdr>
            <w:top w:val="none" w:sz="0" w:space="0" w:color="auto"/>
            <w:left w:val="none" w:sz="0" w:space="0" w:color="auto"/>
            <w:bottom w:val="none" w:sz="0" w:space="0" w:color="auto"/>
            <w:right w:val="none" w:sz="0" w:space="0" w:color="auto"/>
          </w:divBdr>
          <w:divsChild>
            <w:div w:id="1773285077">
              <w:marLeft w:val="0"/>
              <w:marRight w:val="0"/>
              <w:marTop w:val="0"/>
              <w:marBottom w:val="0"/>
              <w:divBdr>
                <w:top w:val="none" w:sz="0" w:space="0" w:color="auto"/>
                <w:left w:val="none" w:sz="0" w:space="0" w:color="auto"/>
                <w:bottom w:val="none" w:sz="0" w:space="0" w:color="auto"/>
                <w:right w:val="none" w:sz="0" w:space="0" w:color="auto"/>
              </w:divBdr>
              <w:divsChild>
                <w:div w:id="2374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98653">
      <w:bodyDiv w:val="1"/>
      <w:marLeft w:val="0"/>
      <w:marRight w:val="0"/>
      <w:marTop w:val="0"/>
      <w:marBottom w:val="0"/>
      <w:divBdr>
        <w:top w:val="none" w:sz="0" w:space="0" w:color="auto"/>
        <w:left w:val="none" w:sz="0" w:space="0" w:color="auto"/>
        <w:bottom w:val="none" w:sz="0" w:space="0" w:color="auto"/>
        <w:right w:val="none" w:sz="0" w:space="0" w:color="auto"/>
      </w:divBdr>
      <w:divsChild>
        <w:div w:id="37945919">
          <w:marLeft w:val="0"/>
          <w:marRight w:val="0"/>
          <w:marTop w:val="0"/>
          <w:marBottom w:val="0"/>
          <w:divBdr>
            <w:top w:val="none" w:sz="0" w:space="0" w:color="auto"/>
            <w:left w:val="none" w:sz="0" w:space="0" w:color="auto"/>
            <w:bottom w:val="none" w:sz="0" w:space="0" w:color="auto"/>
            <w:right w:val="none" w:sz="0" w:space="0" w:color="auto"/>
          </w:divBdr>
          <w:divsChild>
            <w:div w:id="2015916710">
              <w:marLeft w:val="0"/>
              <w:marRight w:val="0"/>
              <w:marTop w:val="0"/>
              <w:marBottom w:val="0"/>
              <w:divBdr>
                <w:top w:val="none" w:sz="0" w:space="0" w:color="auto"/>
                <w:left w:val="none" w:sz="0" w:space="0" w:color="auto"/>
                <w:bottom w:val="none" w:sz="0" w:space="0" w:color="auto"/>
                <w:right w:val="none" w:sz="0" w:space="0" w:color="auto"/>
              </w:divBdr>
              <w:divsChild>
                <w:div w:id="7335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047350">
      <w:bodyDiv w:val="1"/>
      <w:marLeft w:val="0"/>
      <w:marRight w:val="0"/>
      <w:marTop w:val="0"/>
      <w:marBottom w:val="0"/>
      <w:divBdr>
        <w:top w:val="none" w:sz="0" w:space="0" w:color="auto"/>
        <w:left w:val="none" w:sz="0" w:space="0" w:color="auto"/>
        <w:bottom w:val="none" w:sz="0" w:space="0" w:color="auto"/>
        <w:right w:val="none" w:sz="0" w:space="0" w:color="auto"/>
      </w:divBdr>
      <w:divsChild>
        <w:div w:id="245504117">
          <w:marLeft w:val="0"/>
          <w:marRight w:val="0"/>
          <w:marTop w:val="0"/>
          <w:marBottom w:val="0"/>
          <w:divBdr>
            <w:top w:val="none" w:sz="0" w:space="0" w:color="auto"/>
            <w:left w:val="none" w:sz="0" w:space="0" w:color="auto"/>
            <w:bottom w:val="none" w:sz="0" w:space="0" w:color="auto"/>
            <w:right w:val="none" w:sz="0" w:space="0" w:color="auto"/>
          </w:divBdr>
          <w:divsChild>
            <w:div w:id="1957904108">
              <w:marLeft w:val="0"/>
              <w:marRight w:val="0"/>
              <w:marTop w:val="0"/>
              <w:marBottom w:val="0"/>
              <w:divBdr>
                <w:top w:val="none" w:sz="0" w:space="0" w:color="auto"/>
                <w:left w:val="none" w:sz="0" w:space="0" w:color="auto"/>
                <w:bottom w:val="none" w:sz="0" w:space="0" w:color="auto"/>
                <w:right w:val="none" w:sz="0" w:space="0" w:color="auto"/>
              </w:divBdr>
              <w:divsChild>
                <w:div w:id="3054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47286">
      <w:bodyDiv w:val="1"/>
      <w:marLeft w:val="0"/>
      <w:marRight w:val="0"/>
      <w:marTop w:val="0"/>
      <w:marBottom w:val="0"/>
      <w:divBdr>
        <w:top w:val="none" w:sz="0" w:space="0" w:color="auto"/>
        <w:left w:val="none" w:sz="0" w:space="0" w:color="auto"/>
        <w:bottom w:val="none" w:sz="0" w:space="0" w:color="auto"/>
        <w:right w:val="none" w:sz="0" w:space="0" w:color="auto"/>
      </w:divBdr>
      <w:divsChild>
        <w:div w:id="2055351534">
          <w:marLeft w:val="0"/>
          <w:marRight w:val="0"/>
          <w:marTop w:val="0"/>
          <w:marBottom w:val="0"/>
          <w:divBdr>
            <w:top w:val="none" w:sz="0" w:space="0" w:color="auto"/>
            <w:left w:val="none" w:sz="0" w:space="0" w:color="auto"/>
            <w:bottom w:val="none" w:sz="0" w:space="0" w:color="auto"/>
            <w:right w:val="none" w:sz="0" w:space="0" w:color="auto"/>
          </w:divBdr>
          <w:divsChild>
            <w:div w:id="326440601">
              <w:marLeft w:val="0"/>
              <w:marRight w:val="0"/>
              <w:marTop w:val="0"/>
              <w:marBottom w:val="0"/>
              <w:divBdr>
                <w:top w:val="none" w:sz="0" w:space="0" w:color="auto"/>
                <w:left w:val="none" w:sz="0" w:space="0" w:color="auto"/>
                <w:bottom w:val="none" w:sz="0" w:space="0" w:color="auto"/>
                <w:right w:val="none" w:sz="0" w:space="0" w:color="auto"/>
              </w:divBdr>
              <w:divsChild>
                <w:div w:id="4475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86578">
      <w:bodyDiv w:val="1"/>
      <w:marLeft w:val="0"/>
      <w:marRight w:val="0"/>
      <w:marTop w:val="0"/>
      <w:marBottom w:val="0"/>
      <w:divBdr>
        <w:top w:val="none" w:sz="0" w:space="0" w:color="auto"/>
        <w:left w:val="none" w:sz="0" w:space="0" w:color="auto"/>
        <w:bottom w:val="none" w:sz="0" w:space="0" w:color="auto"/>
        <w:right w:val="none" w:sz="0" w:space="0" w:color="auto"/>
      </w:divBdr>
      <w:divsChild>
        <w:div w:id="1667896306">
          <w:marLeft w:val="0"/>
          <w:marRight w:val="0"/>
          <w:marTop w:val="0"/>
          <w:marBottom w:val="0"/>
          <w:divBdr>
            <w:top w:val="none" w:sz="0" w:space="0" w:color="auto"/>
            <w:left w:val="none" w:sz="0" w:space="0" w:color="auto"/>
            <w:bottom w:val="none" w:sz="0" w:space="0" w:color="auto"/>
            <w:right w:val="none" w:sz="0" w:space="0" w:color="auto"/>
          </w:divBdr>
          <w:divsChild>
            <w:div w:id="325285622">
              <w:marLeft w:val="0"/>
              <w:marRight w:val="0"/>
              <w:marTop w:val="0"/>
              <w:marBottom w:val="0"/>
              <w:divBdr>
                <w:top w:val="none" w:sz="0" w:space="0" w:color="auto"/>
                <w:left w:val="none" w:sz="0" w:space="0" w:color="auto"/>
                <w:bottom w:val="none" w:sz="0" w:space="0" w:color="auto"/>
                <w:right w:val="none" w:sz="0" w:space="0" w:color="auto"/>
              </w:divBdr>
              <w:divsChild>
                <w:div w:id="18369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73906">
      <w:bodyDiv w:val="1"/>
      <w:marLeft w:val="0"/>
      <w:marRight w:val="0"/>
      <w:marTop w:val="0"/>
      <w:marBottom w:val="0"/>
      <w:divBdr>
        <w:top w:val="none" w:sz="0" w:space="0" w:color="auto"/>
        <w:left w:val="none" w:sz="0" w:space="0" w:color="auto"/>
        <w:bottom w:val="none" w:sz="0" w:space="0" w:color="auto"/>
        <w:right w:val="none" w:sz="0" w:space="0" w:color="auto"/>
      </w:divBdr>
      <w:divsChild>
        <w:div w:id="1827090417">
          <w:marLeft w:val="0"/>
          <w:marRight w:val="0"/>
          <w:marTop w:val="0"/>
          <w:marBottom w:val="0"/>
          <w:divBdr>
            <w:top w:val="none" w:sz="0" w:space="0" w:color="auto"/>
            <w:left w:val="none" w:sz="0" w:space="0" w:color="auto"/>
            <w:bottom w:val="none" w:sz="0" w:space="0" w:color="auto"/>
            <w:right w:val="none" w:sz="0" w:space="0" w:color="auto"/>
          </w:divBdr>
          <w:divsChild>
            <w:div w:id="1996109814">
              <w:marLeft w:val="0"/>
              <w:marRight w:val="0"/>
              <w:marTop w:val="0"/>
              <w:marBottom w:val="0"/>
              <w:divBdr>
                <w:top w:val="none" w:sz="0" w:space="0" w:color="auto"/>
                <w:left w:val="none" w:sz="0" w:space="0" w:color="auto"/>
                <w:bottom w:val="none" w:sz="0" w:space="0" w:color="auto"/>
                <w:right w:val="none" w:sz="0" w:space="0" w:color="auto"/>
              </w:divBdr>
              <w:divsChild>
                <w:div w:id="19316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62703">
      <w:bodyDiv w:val="1"/>
      <w:marLeft w:val="0"/>
      <w:marRight w:val="0"/>
      <w:marTop w:val="0"/>
      <w:marBottom w:val="0"/>
      <w:divBdr>
        <w:top w:val="none" w:sz="0" w:space="0" w:color="auto"/>
        <w:left w:val="none" w:sz="0" w:space="0" w:color="auto"/>
        <w:bottom w:val="none" w:sz="0" w:space="0" w:color="auto"/>
        <w:right w:val="none" w:sz="0" w:space="0" w:color="auto"/>
      </w:divBdr>
      <w:divsChild>
        <w:div w:id="98917788">
          <w:marLeft w:val="0"/>
          <w:marRight w:val="0"/>
          <w:marTop w:val="0"/>
          <w:marBottom w:val="0"/>
          <w:divBdr>
            <w:top w:val="none" w:sz="0" w:space="0" w:color="auto"/>
            <w:left w:val="none" w:sz="0" w:space="0" w:color="auto"/>
            <w:bottom w:val="none" w:sz="0" w:space="0" w:color="auto"/>
            <w:right w:val="none" w:sz="0" w:space="0" w:color="auto"/>
          </w:divBdr>
          <w:divsChild>
            <w:div w:id="504441062">
              <w:marLeft w:val="0"/>
              <w:marRight w:val="0"/>
              <w:marTop w:val="0"/>
              <w:marBottom w:val="0"/>
              <w:divBdr>
                <w:top w:val="none" w:sz="0" w:space="0" w:color="auto"/>
                <w:left w:val="none" w:sz="0" w:space="0" w:color="auto"/>
                <w:bottom w:val="none" w:sz="0" w:space="0" w:color="auto"/>
                <w:right w:val="none" w:sz="0" w:space="0" w:color="auto"/>
              </w:divBdr>
              <w:divsChild>
                <w:div w:id="2393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55035">
      <w:bodyDiv w:val="1"/>
      <w:marLeft w:val="0"/>
      <w:marRight w:val="0"/>
      <w:marTop w:val="0"/>
      <w:marBottom w:val="0"/>
      <w:divBdr>
        <w:top w:val="none" w:sz="0" w:space="0" w:color="auto"/>
        <w:left w:val="none" w:sz="0" w:space="0" w:color="auto"/>
        <w:bottom w:val="none" w:sz="0" w:space="0" w:color="auto"/>
        <w:right w:val="none" w:sz="0" w:space="0" w:color="auto"/>
      </w:divBdr>
      <w:divsChild>
        <w:div w:id="1406536850">
          <w:marLeft w:val="0"/>
          <w:marRight w:val="0"/>
          <w:marTop w:val="0"/>
          <w:marBottom w:val="0"/>
          <w:divBdr>
            <w:top w:val="none" w:sz="0" w:space="0" w:color="auto"/>
            <w:left w:val="none" w:sz="0" w:space="0" w:color="auto"/>
            <w:bottom w:val="none" w:sz="0" w:space="0" w:color="auto"/>
            <w:right w:val="none" w:sz="0" w:space="0" w:color="auto"/>
          </w:divBdr>
          <w:divsChild>
            <w:div w:id="286274762">
              <w:marLeft w:val="0"/>
              <w:marRight w:val="0"/>
              <w:marTop w:val="0"/>
              <w:marBottom w:val="0"/>
              <w:divBdr>
                <w:top w:val="none" w:sz="0" w:space="0" w:color="auto"/>
                <w:left w:val="none" w:sz="0" w:space="0" w:color="auto"/>
                <w:bottom w:val="none" w:sz="0" w:space="0" w:color="auto"/>
                <w:right w:val="none" w:sz="0" w:space="0" w:color="auto"/>
              </w:divBdr>
              <w:divsChild>
                <w:div w:id="12434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835">
      <w:bodyDiv w:val="1"/>
      <w:marLeft w:val="0"/>
      <w:marRight w:val="0"/>
      <w:marTop w:val="0"/>
      <w:marBottom w:val="0"/>
      <w:divBdr>
        <w:top w:val="none" w:sz="0" w:space="0" w:color="auto"/>
        <w:left w:val="none" w:sz="0" w:space="0" w:color="auto"/>
        <w:bottom w:val="none" w:sz="0" w:space="0" w:color="auto"/>
        <w:right w:val="none" w:sz="0" w:space="0" w:color="auto"/>
      </w:divBdr>
      <w:divsChild>
        <w:div w:id="1773163475">
          <w:marLeft w:val="0"/>
          <w:marRight w:val="0"/>
          <w:marTop w:val="0"/>
          <w:marBottom w:val="0"/>
          <w:divBdr>
            <w:top w:val="none" w:sz="0" w:space="0" w:color="auto"/>
            <w:left w:val="none" w:sz="0" w:space="0" w:color="auto"/>
            <w:bottom w:val="none" w:sz="0" w:space="0" w:color="auto"/>
            <w:right w:val="none" w:sz="0" w:space="0" w:color="auto"/>
          </w:divBdr>
          <w:divsChild>
            <w:div w:id="983706116">
              <w:marLeft w:val="0"/>
              <w:marRight w:val="0"/>
              <w:marTop w:val="0"/>
              <w:marBottom w:val="0"/>
              <w:divBdr>
                <w:top w:val="none" w:sz="0" w:space="0" w:color="auto"/>
                <w:left w:val="none" w:sz="0" w:space="0" w:color="auto"/>
                <w:bottom w:val="none" w:sz="0" w:space="0" w:color="auto"/>
                <w:right w:val="none" w:sz="0" w:space="0" w:color="auto"/>
              </w:divBdr>
              <w:divsChild>
                <w:div w:id="4887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921921">
      <w:bodyDiv w:val="1"/>
      <w:marLeft w:val="0"/>
      <w:marRight w:val="0"/>
      <w:marTop w:val="0"/>
      <w:marBottom w:val="0"/>
      <w:divBdr>
        <w:top w:val="none" w:sz="0" w:space="0" w:color="auto"/>
        <w:left w:val="none" w:sz="0" w:space="0" w:color="auto"/>
        <w:bottom w:val="none" w:sz="0" w:space="0" w:color="auto"/>
        <w:right w:val="none" w:sz="0" w:space="0" w:color="auto"/>
      </w:divBdr>
    </w:div>
    <w:div w:id="1561945408">
      <w:bodyDiv w:val="1"/>
      <w:marLeft w:val="0"/>
      <w:marRight w:val="0"/>
      <w:marTop w:val="0"/>
      <w:marBottom w:val="0"/>
      <w:divBdr>
        <w:top w:val="none" w:sz="0" w:space="0" w:color="auto"/>
        <w:left w:val="none" w:sz="0" w:space="0" w:color="auto"/>
        <w:bottom w:val="none" w:sz="0" w:space="0" w:color="auto"/>
        <w:right w:val="none" w:sz="0" w:space="0" w:color="auto"/>
      </w:divBdr>
      <w:divsChild>
        <w:div w:id="1959221393">
          <w:marLeft w:val="0"/>
          <w:marRight w:val="0"/>
          <w:marTop w:val="0"/>
          <w:marBottom w:val="0"/>
          <w:divBdr>
            <w:top w:val="none" w:sz="0" w:space="0" w:color="auto"/>
            <w:left w:val="none" w:sz="0" w:space="0" w:color="auto"/>
            <w:bottom w:val="none" w:sz="0" w:space="0" w:color="auto"/>
            <w:right w:val="none" w:sz="0" w:space="0" w:color="auto"/>
          </w:divBdr>
          <w:divsChild>
            <w:div w:id="1834758714">
              <w:marLeft w:val="0"/>
              <w:marRight w:val="0"/>
              <w:marTop w:val="0"/>
              <w:marBottom w:val="0"/>
              <w:divBdr>
                <w:top w:val="none" w:sz="0" w:space="0" w:color="auto"/>
                <w:left w:val="none" w:sz="0" w:space="0" w:color="auto"/>
                <w:bottom w:val="none" w:sz="0" w:space="0" w:color="auto"/>
                <w:right w:val="none" w:sz="0" w:space="0" w:color="auto"/>
              </w:divBdr>
              <w:divsChild>
                <w:div w:id="9115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21273">
      <w:bodyDiv w:val="1"/>
      <w:marLeft w:val="0"/>
      <w:marRight w:val="0"/>
      <w:marTop w:val="0"/>
      <w:marBottom w:val="0"/>
      <w:divBdr>
        <w:top w:val="none" w:sz="0" w:space="0" w:color="auto"/>
        <w:left w:val="none" w:sz="0" w:space="0" w:color="auto"/>
        <w:bottom w:val="none" w:sz="0" w:space="0" w:color="auto"/>
        <w:right w:val="none" w:sz="0" w:space="0" w:color="auto"/>
      </w:divBdr>
      <w:divsChild>
        <w:div w:id="1543055589">
          <w:marLeft w:val="0"/>
          <w:marRight w:val="0"/>
          <w:marTop w:val="0"/>
          <w:marBottom w:val="0"/>
          <w:divBdr>
            <w:top w:val="none" w:sz="0" w:space="0" w:color="auto"/>
            <w:left w:val="none" w:sz="0" w:space="0" w:color="auto"/>
            <w:bottom w:val="none" w:sz="0" w:space="0" w:color="auto"/>
            <w:right w:val="none" w:sz="0" w:space="0" w:color="auto"/>
          </w:divBdr>
          <w:divsChild>
            <w:div w:id="353384344">
              <w:marLeft w:val="0"/>
              <w:marRight w:val="0"/>
              <w:marTop w:val="0"/>
              <w:marBottom w:val="0"/>
              <w:divBdr>
                <w:top w:val="none" w:sz="0" w:space="0" w:color="auto"/>
                <w:left w:val="none" w:sz="0" w:space="0" w:color="auto"/>
                <w:bottom w:val="none" w:sz="0" w:space="0" w:color="auto"/>
                <w:right w:val="none" w:sz="0" w:space="0" w:color="auto"/>
              </w:divBdr>
              <w:divsChild>
                <w:div w:id="15902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8721">
      <w:bodyDiv w:val="1"/>
      <w:marLeft w:val="0"/>
      <w:marRight w:val="0"/>
      <w:marTop w:val="0"/>
      <w:marBottom w:val="0"/>
      <w:divBdr>
        <w:top w:val="none" w:sz="0" w:space="0" w:color="auto"/>
        <w:left w:val="none" w:sz="0" w:space="0" w:color="auto"/>
        <w:bottom w:val="none" w:sz="0" w:space="0" w:color="auto"/>
        <w:right w:val="none" w:sz="0" w:space="0" w:color="auto"/>
      </w:divBdr>
      <w:divsChild>
        <w:div w:id="503907838">
          <w:marLeft w:val="0"/>
          <w:marRight w:val="0"/>
          <w:marTop w:val="0"/>
          <w:marBottom w:val="0"/>
          <w:divBdr>
            <w:top w:val="none" w:sz="0" w:space="0" w:color="auto"/>
            <w:left w:val="none" w:sz="0" w:space="0" w:color="auto"/>
            <w:bottom w:val="none" w:sz="0" w:space="0" w:color="auto"/>
            <w:right w:val="none" w:sz="0" w:space="0" w:color="auto"/>
          </w:divBdr>
          <w:divsChild>
            <w:div w:id="641352763">
              <w:marLeft w:val="0"/>
              <w:marRight w:val="0"/>
              <w:marTop w:val="0"/>
              <w:marBottom w:val="0"/>
              <w:divBdr>
                <w:top w:val="none" w:sz="0" w:space="0" w:color="auto"/>
                <w:left w:val="none" w:sz="0" w:space="0" w:color="auto"/>
                <w:bottom w:val="none" w:sz="0" w:space="0" w:color="auto"/>
                <w:right w:val="none" w:sz="0" w:space="0" w:color="auto"/>
              </w:divBdr>
              <w:divsChild>
                <w:div w:id="3655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576671">
      <w:bodyDiv w:val="1"/>
      <w:marLeft w:val="0"/>
      <w:marRight w:val="0"/>
      <w:marTop w:val="0"/>
      <w:marBottom w:val="0"/>
      <w:divBdr>
        <w:top w:val="none" w:sz="0" w:space="0" w:color="auto"/>
        <w:left w:val="none" w:sz="0" w:space="0" w:color="auto"/>
        <w:bottom w:val="none" w:sz="0" w:space="0" w:color="auto"/>
        <w:right w:val="none" w:sz="0" w:space="0" w:color="auto"/>
      </w:divBdr>
    </w:div>
    <w:div w:id="1798795508">
      <w:bodyDiv w:val="1"/>
      <w:marLeft w:val="0"/>
      <w:marRight w:val="0"/>
      <w:marTop w:val="0"/>
      <w:marBottom w:val="0"/>
      <w:divBdr>
        <w:top w:val="none" w:sz="0" w:space="0" w:color="auto"/>
        <w:left w:val="none" w:sz="0" w:space="0" w:color="auto"/>
        <w:bottom w:val="none" w:sz="0" w:space="0" w:color="auto"/>
        <w:right w:val="none" w:sz="0" w:space="0" w:color="auto"/>
      </w:divBdr>
    </w:div>
    <w:div w:id="1808234049">
      <w:bodyDiv w:val="1"/>
      <w:marLeft w:val="0"/>
      <w:marRight w:val="0"/>
      <w:marTop w:val="0"/>
      <w:marBottom w:val="0"/>
      <w:divBdr>
        <w:top w:val="none" w:sz="0" w:space="0" w:color="auto"/>
        <w:left w:val="none" w:sz="0" w:space="0" w:color="auto"/>
        <w:bottom w:val="none" w:sz="0" w:space="0" w:color="auto"/>
        <w:right w:val="none" w:sz="0" w:space="0" w:color="auto"/>
      </w:divBdr>
      <w:divsChild>
        <w:div w:id="253173328">
          <w:marLeft w:val="0"/>
          <w:marRight w:val="0"/>
          <w:marTop w:val="0"/>
          <w:marBottom w:val="0"/>
          <w:divBdr>
            <w:top w:val="none" w:sz="0" w:space="0" w:color="auto"/>
            <w:left w:val="none" w:sz="0" w:space="0" w:color="auto"/>
            <w:bottom w:val="none" w:sz="0" w:space="0" w:color="auto"/>
            <w:right w:val="none" w:sz="0" w:space="0" w:color="auto"/>
          </w:divBdr>
        </w:div>
      </w:divsChild>
    </w:div>
    <w:div w:id="1860773111">
      <w:bodyDiv w:val="1"/>
      <w:marLeft w:val="0"/>
      <w:marRight w:val="0"/>
      <w:marTop w:val="0"/>
      <w:marBottom w:val="0"/>
      <w:divBdr>
        <w:top w:val="none" w:sz="0" w:space="0" w:color="auto"/>
        <w:left w:val="none" w:sz="0" w:space="0" w:color="auto"/>
        <w:bottom w:val="none" w:sz="0" w:space="0" w:color="auto"/>
        <w:right w:val="none" w:sz="0" w:space="0" w:color="auto"/>
      </w:divBdr>
    </w:div>
    <w:div w:id="2067946531">
      <w:bodyDiv w:val="1"/>
      <w:marLeft w:val="0"/>
      <w:marRight w:val="0"/>
      <w:marTop w:val="0"/>
      <w:marBottom w:val="0"/>
      <w:divBdr>
        <w:top w:val="none" w:sz="0" w:space="0" w:color="auto"/>
        <w:left w:val="none" w:sz="0" w:space="0" w:color="auto"/>
        <w:bottom w:val="none" w:sz="0" w:space="0" w:color="auto"/>
        <w:right w:val="none" w:sz="0" w:space="0" w:color="auto"/>
      </w:divBdr>
    </w:div>
    <w:div w:id="2104063154">
      <w:bodyDiv w:val="1"/>
      <w:marLeft w:val="0"/>
      <w:marRight w:val="0"/>
      <w:marTop w:val="0"/>
      <w:marBottom w:val="0"/>
      <w:divBdr>
        <w:top w:val="none" w:sz="0" w:space="0" w:color="auto"/>
        <w:left w:val="none" w:sz="0" w:space="0" w:color="auto"/>
        <w:bottom w:val="none" w:sz="0" w:space="0" w:color="auto"/>
        <w:right w:val="none" w:sz="0" w:space="0" w:color="auto"/>
      </w:divBdr>
      <w:divsChild>
        <w:div w:id="1104377390">
          <w:marLeft w:val="0"/>
          <w:marRight w:val="0"/>
          <w:marTop w:val="0"/>
          <w:marBottom w:val="0"/>
          <w:divBdr>
            <w:top w:val="none" w:sz="0" w:space="0" w:color="auto"/>
            <w:left w:val="none" w:sz="0" w:space="0" w:color="auto"/>
            <w:bottom w:val="none" w:sz="0" w:space="0" w:color="auto"/>
            <w:right w:val="none" w:sz="0" w:space="0" w:color="auto"/>
          </w:divBdr>
          <w:divsChild>
            <w:div w:id="142041483">
              <w:marLeft w:val="0"/>
              <w:marRight w:val="0"/>
              <w:marTop w:val="0"/>
              <w:marBottom w:val="0"/>
              <w:divBdr>
                <w:top w:val="none" w:sz="0" w:space="0" w:color="auto"/>
                <w:left w:val="none" w:sz="0" w:space="0" w:color="auto"/>
                <w:bottom w:val="none" w:sz="0" w:space="0" w:color="auto"/>
                <w:right w:val="none" w:sz="0" w:space="0" w:color="auto"/>
              </w:divBdr>
              <w:divsChild>
                <w:div w:id="11889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49334">
      <w:bodyDiv w:val="1"/>
      <w:marLeft w:val="0"/>
      <w:marRight w:val="0"/>
      <w:marTop w:val="0"/>
      <w:marBottom w:val="0"/>
      <w:divBdr>
        <w:top w:val="none" w:sz="0" w:space="0" w:color="auto"/>
        <w:left w:val="none" w:sz="0" w:space="0" w:color="auto"/>
        <w:bottom w:val="none" w:sz="0" w:space="0" w:color="auto"/>
        <w:right w:val="none" w:sz="0" w:space="0" w:color="auto"/>
      </w:divBdr>
      <w:divsChild>
        <w:div w:id="367920578">
          <w:marLeft w:val="0"/>
          <w:marRight w:val="0"/>
          <w:marTop w:val="0"/>
          <w:marBottom w:val="0"/>
          <w:divBdr>
            <w:top w:val="none" w:sz="0" w:space="0" w:color="auto"/>
            <w:left w:val="none" w:sz="0" w:space="0" w:color="auto"/>
            <w:bottom w:val="none" w:sz="0" w:space="0" w:color="auto"/>
            <w:right w:val="none" w:sz="0" w:space="0" w:color="auto"/>
          </w:divBdr>
          <w:divsChild>
            <w:div w:id="1393192982">
              <w:marLeft w:val="0"/>
              <w:marRight w:val="0"/>
              <w:marTop w:val="0"/>
              <w:marBottom w:val="0"/>
              <w:divBdr>
                <w:top w:val="none" w:sz="0" w:space="0" w:color="auto"/>
                <w:left w:val="none" w:sz="0" w:space="0" w:color="auto"/>
                <w:bottom w:val="none" w:sz="0" w:space="0" w:color="auto"/>
                <w:right w:val="none" w:sz="0" w:space="0" w:color="auto"/>
              </w:divBdr>
              <w:divsChild>
                <w:div w:id="6640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15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garwalnishan5@gmail.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seindia.com/market-data/live-equity-market?symbol=NIFTY%20REALTY"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seindia.com/market-data/live-equity-market?symbol=NIFTY%20REALT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arthakbadjatiya@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kshaypk2012@gmail.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01E9C-C613-4BD0-87F9-6E51C669B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1097</Words>
  <Characters>6256</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Journal Paper Format</vt:lpstr>
      <vt:lpstr>Journal Paper Format</vt:lpstr>
    </vt:vector>
  </TitlesOfParts>
  <Company>IEEE Computer Society</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Paper Format</dc:title>
  <dc:subject/>
  <dc:creator>SERSC</dc:creator>
  <cp:keywords/>
  <cp:lastModifiedBy>Akshay Kulkarni</cp:lastModifiedBy>
  <cp:revision>4</cp:revision>
  <cp:lastPrinted>2020-12-13T07:23:00Z</cp:lastPrinted>
  <dcterms:created xsi:type="dcterms:W3CDTF">2020-12-13T07:23:00Z</dcterms:created>
  <dcterms:modified xsi:type="dcterms:W3CDTF">2021-01-17T05:45:00Z</dcterms:modified>
</cp:coreProperties>
</file>