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7408f73ee4cd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2.3.3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e3cd05ff6d4187" /><Relationship Type="http://schemas.microsoft.com/office/2007/relationships/stylesWithEffects" Target="/word/stylesWithEffects.xml" Id="R76099ad30444465a" /><Relationship Type="http://schemas.openxmlformats.org/officeDocument/2006/relationships/fontTable" Target="/word/fontTable.xml" Id="Rbf57aca898fe49d6" /><Relationship Type="http://schemas.openxmlformats.org/officeDocument/2006/relationships/settings" Target="/word/settings.xml" Id="R575508429c2b43d3" /><Relationship Type="http://schemas.openxmlformats.org/officeDocument/2006/relationships/header" Target="/word/header.xml" Id="R3161365107fa42b7" /><Relationship Type="http://schemas.openxmlformats.org/officeDocument/2006/relationships/footer" Target="/word/footer.xml" Id="Rcb1cb57c744043cd" /></Relationships>
</file>