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16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336675" cy="3587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6938" cy="3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8"/>
        <w:rPr>
          <w:rFonts w:ascii="Times New Roman"/>
          <w:sz w:val="23"/>
        </w:rPr>
      </w:pPr>
    </w:p>
    <w:p>
      <w:pPr>
        <w:spacing w:after="0"/>
        <w:rPr>
          <w:rFonts w:ascii="Times New Roman"/>
          <w:sz w:val="23"/>
        </w:rPr>
        <w:sectPr>
          <w:type w:val="continuous"/>
          <w:pgSz w:w="11910" w:h="16840"/>
          <w:pgMar w:top="820" w:right="1680" w:bottom="280" w:left="1680" w:header="720" w:footer="720" w:gutter="0"/>
        </w:sectPr>
      </w:pPr>
    </w:p>
    <w:p>
      <w:pPr>
        <w:pStyle w:val="2"/>
        <w:rPr>
          <w:rFonts w:ascii="Times New Roman"/>
          <w:sz w:val="32"/>
        </w:rPr>
      </w:pPr>
    </w:p>
    <w:p>
      <w:pPr>
        <w:pStyle w:val="2"/>
        <w:spacing w:before="6"/>
        <w:rPr>
          <w:rFonts w:ascii="Times New Roman"/>
          <w:sz w:val="35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案例分析题</w:t>
      </w:r>
    </w:p>
    <w:p>
      <w:pPr>
        <w:spacing w:before="18"/>
        <w:ind w:left="120" w:right="0" w:firstLine="0"/>
        <w:jc w:val="left"/>
        <w:rPr>
          <w:b/>
          <w:sz w:val="32"/>
        </w:rPr>
      </w:pPr>
      <w:r>
        <w:br w:type="column"/>
      </w:r>
      <w:r>
        <w:rPr>
          <w:b/>
          <w:sz w:val="32"/>
        </w:rPr>
        <w:t>第 11 周案例分析作业</w:t>
      </w:r>
    </w:p>
    <w:p>
      <w:pPr>
        <w:spacing w:after="0"/>
        <w:jc w:val="left"/>
        <w:rPr>
          <w:sz w:val="32"/>
        </w:rPr>
        <w:sectPr>
          <w:type w:val="continuous"/>
          <w:pgSz w:w="11910" w:h="16840"/>
          <w:pgMar w:top="820" w:right="1680" w:bottom="280" w:left="1680" w:header="720" w:footer="720" w:gutter="0"/>
          <w:cols w:equalWidth="0" w:num="2">
            <w:col w:w="2294" w:space="299"/>
            <w:col w:w="5957"/>
          </w:cols>
        </w:sectPr>
      </w:pPr>
    </w:p>
    <w:p>
      <w:pPr>
        <w:pStyle w:val="2"/>
        <w:spacing w:before="9"/>
        <w:rPr>
          <w:b/>
          <w:sz w:val="18"/>
        </w:rPr>
      </w:pPr>
    </w:p>
    <w:p>
      <w:pPr>
        <w:pStyle w:val="2"/>
        <w:spacing w:before="38" w:line="338" w:lineRule="auto"/>
        <w:ind w:left="120" w:right="112"/>
        <w:jc w:val="both"/>
      </w:pPr>
      <w:r>
        <w:drawing>
          <wp:anchor distT="0" distB="0" distL="0" distR="0" simplePos="0" relativeHeight="251601920" behindDoc="1" locked="0" layoutInCell="1" allowOverlap="1">
            <wp:simplePos x="0" y="0"/>
            <wp:positionH relativeFrom="page">
              <wp:posOffset>2178685</wp:posOffset>
            </wp:positionH>
            <wp:positionV relativeFrom="paragraph">
              <wp:posOffset>1436370</wp:posOffset>
            </wp:positionV>
            <wp:extent cx="3263900" cy="365696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870" cy="365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</w:t>
      </w:r>
      <w:r>
        <w:rPr>
          <w:spacing w:val="-5"/>
        </w:rPr>
        <w:t>、 下载洋河股份近五年年报，打开最近一年年报找到并阅读年报的“公司业务</w:t>
      </w:r>
      <w:r>
        <w:rPr>
          <w:spacing w:val="-12"/>
        </w:rPr>
        <w:t>概要”、“经营情况讨论与分析”、“重要事项”、“普通股股份变动及股东情</w:t>
      </w:r>
      <w:r>
        <w:rPr>
          <w:spacing w:val="-11"/>
        </w:rPr>
        <w:t>况”、“董监高管理人员和员工情况”、“财务报告”等章节，学会找到合并资产负债表、合并利润表、合并现金流量表的位置。打开最近一年年报并回答以下问题：公司的基本信息是什么？公司是做什么的？公司所处行业是什么行业？</w:t>
      </w:r>
    </w:p>
    <w:p>
      <w:pPr>
        <w:pStyle w:val="2"/>
        <w:spacing w:before="2"/>
        <w:ind w:left="120"/>
        <w:jc w:val="both"/>
      </w:pPr>
      <w:r>
        <w:t>（100 分 ）</w:t>
      </w:r>
    </w:p>
    <w:p>
      <w:pPr>
        <w:pStyle w:val="2"/>
      </w:pPr>
      <w:r>
        <w:drawing>
          <wp:inline distT="0" distB="0" distL="114300" distR="114300">
            <wp:extent cx="5425440" cy="1851025"/>
            <wp:effectExtent l="0" t="0" r="381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5426075" cy="3087370"/>
            <wp:effectExtent l="0" t="0" r="3175" b="177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  <w:r>
        <w:drawing>
          <wp:inline distT="0" distB="0" distL="114300" distR="114300">
            <wp:extent cx="5428615" cy="6243320"/>
            <wp:effectExtent l="0" t="0" r="63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624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6"/>
        <w:rPr>
          <w:sz w:val="33"/>
        </w:rPr>
      </w:pPr>
    </w:p>
    <w:p>
      <w:pPr>
        <w:pStyle w:val="2"/>
        <w:spacing w:before="6"/>
      </w:pPr>
      <w:r>
        <w:drawing>
          <wp:inline distT="0" distB="0" distL="114300" distR="114300">
            <wp:extent cx="5427345" cy="6189345"/>
            <wp:effectExtent l="0" t="0" r="1905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618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6"/>
      </w:pPr>
      <w:r>
        <w:drawing>
          <wp:inline distT="0" distB="0" distL="114300" distR="114300">
            <wp:extent cx="5422265" cy="6219190"/>
            <wp:effectExtent l="0" t="0" r="6985" b="1016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621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6"/>
      </w:pPr>
      <w:r>
        <w:drawing>
          <wp:inline distT="0" distB="0" distL="114300" distR="114300">
            <wp:extent cx="5422265" cy="2292985"/>
            <wp:effectExtent l="0" t="0" r="6985" b="1206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公司基本信息是什么？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公司名称：</w:t>
      </w:r>
      <w:r>
        <w:rPr>
          <w:rFonts w:hint="eastAsia" w:ascii="宋体" w:hAnsi="宋体" w:eastAsia="宋体" w:cs="宋体"/>
          <w:b/>
          <w:color w:val="000000"/>
          <w:kern w:val="0"/>
          <w:sz w:val="36"/>
          <w:szCs w:val="36"/>
          <w:lang w:val="en-US" w:eastAsia="zh-CN" w:bidi="ar"/>
        </w:rPr>
        <w:t xml:space="preserve">江苏洋河酒厂股份有限公司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公司地址：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江苏省宿迁市洋河中大街 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118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公司经营范围：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本公司从事的主要业务是白酒的生产与销售，白酒生产采用固态发酵方式，白酒销售主要采用经销和零售两种模式，报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告期内公司的主营业务和经营模式没有发生变化。根据中国证监会颁布的《上市公司行业分类指引（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2012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年修订）》，公司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属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“C15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酒、饮料和精制茶制造业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本公司是全国大型白酒生产企业，是白酒行业唯一拥有洋河、双沟两大中国名酒，两个中华老字号，六枚中国驰名商标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的企业。公司主导产品梦之蓝、洋河蓝色经典、双沟珍宝坊、洋河大曲、双沟大曲等绵柔型系列白酒，在全国享有较高的品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牌知名度和美誉度。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报告期内，白酒行业发展在激烈竞争中呈稳健上升态势，高端、次高端品牌发展优势明显，行业的集中化、品牌化、高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端化趋势继续凸显。根据已经披露的白酒行业定期报告，公司的营业收入和利润规模继续保持行业前三位。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，</w:t>
      </w:r>
      <w:r>
        <w:drawing>
          <wp:inline distT="0" distB="0" distL="114300" distR="114300">
            <wp:extent cx="5427345" cy="1936750"/>
            <wp:effectExtent l="0" t="0" r="1905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</w:pPr>
    </w:p>
    <w:p>
      <w:pPr>
        <w:pStyle w:val="2"/>
        <w:spacing w:before="6"/>
        <w:rPr>
          <w:rFonts w:hint="default"/>
          <w:lang w:val="en-US" w:eastAsia="zh-CN"/>
        </w:rPr>
      </w:pPr>
    </w:p>
    <w:p>
      <w:pPr>
        <w:pStyle w:val="2"/>
        <w:spacing w:line="338" w:lineRule="auto"/>
        <w:ind w:left="120" w:right="112"/>
        <w:jc w:val="both"/>
      </w:pPr>
      <w:r>
        <w:t>2</w:t>
      </w:r>
      <w:r>
        <w:rPr>
          <w:spacing w:val="-5"/>
        </w:rPr>
        <w:t>、 下载嘉寓股份近五年年报，打开最近一年年报找到并阅读年报的“公司业务</w:t>
      </w:r>
      <w:r>
        <w:rPr>
          <w:spacing w:val="-12"/>
        </w:rPr>
        <w:t>概要”、“经营情况讨论与分析”、“重要事项”、“普通股股份变动及股东情</w:t>
      </w:r>
      <w:r>
        <w:rPr>
          <w:spacing w:val="-11"/>
        </w:rPr>
        <w:t>况”、“董监高管理人员和员工情况”、“财务报告”等章节，学会找到合并资产负债表、合并利润表、合并现金流量表的位置。打开最近一年年报并回答以下问题：公司的基本信息是什么？公司是做什么的？公司所处行业是什么行业？</w:t>
      </w:r>
    </w:p>
    <w:p>
      <w:pPr>
        <w:pStyle w:val="2"/>
        <w:spacing w:before="2"/>
        <w:ind w:left="120"/>
        <w:jc w:val="both"/>
      </w:pPr>
      <w:r>
        <w:t>（100 分 ）</w:t>
      </w:r>
    </w:p>
    <w:p>
      <w:pPr>
        <w:pStyle w:val="2"/>
        <w:spacing w:before="2"/>
        <w:ind w:left="120"/>
        <w:jc w:val="both"/>
      </w:pPr>
    </w:p>
    <w:p>
      <w:pPr>
        <w:pStyle w:val="2"/>
        <w:rPr>
          <w:sz w:val="20"/>
        </w:rPr>
      </w:pPr>
    </w:p>
    <w:p>
      <w:pPr>
        <w:pStyle w:val="2"/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</w:rPr>
      </w:pPr>
      <w:r>
        <w:rPr>
          <w:rFonts w:hint="eastAsia" w:cs="微软雅黑"/>
          <w:i w:val="0"/>
          <w:caps w:val="0"/>
          <w:color w:val="3F3F3F"/>
          <w:spacing w:val="0"/>
          <w:sz w:val="21"/>
          <w:szCs w:val="21"/>
          <w:shd w:val="clear" w:fill="EDF5FA"/>
          <w:lang w:val="en-US" w:eastAsia="zh-CN"/>
        </w:rPr>
        <w:t>公司名称：</w:t>
      </w: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</w:rPr>
        <w:t>北京嘉寓门窗幕墙股份有限公司</w:t>
      </w:r>
    </w:p>
    <w:p>
      <w:pPr>
        <w:pStyle w:val="2"/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</w:rPr>
      </w:pPr>
      <w:r>
        <w:rPr>
          <w:rFonts w:hint="eastAsia" w:cs="微软雅黑"/>
          <w:i w:val="0"/>
          <w:caps w:val="0"/>
          <w:color w:val="3F3F3F"/>
          <w:spacing w:val="0"/>
          <w:sz w:val="21"/>
          <w:szCs w:val="21"/>
          <w:shd w:val="clear" w:fill="EDF5FA"/>
          <w:lang w:val="en-US" w:eastAsia="zh-CN"/>
        </w:rPr>
        <w:t>公司地址：</w:t>
      </w: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</w:rPr>
        <w:t>北京市顺义区牛栏山镇牛富路1号</w:t>
      </w:r>
    </w:p>
    <w:p>
      <w:pPr>
        <w:pStyle w:val="2"/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</w:rPr>
      </w:pPr>
      <w:r>
        <w:rPr>
          <w:rFonts w:hint="eastAsia" w:cs="微软雅黑"/>
          <w:i w:val="0"/>
          <w:caps w:val="0"/>
          <w:color w:val="3F3F3F"/>
          <w:spacing w:val="0"/>
          <w:sz w:val="21"/>
          <w:szCs w:val="21"/>
          <w:shd w:val="clear" w:fill="EDF5FA"/>
          <w:lang w:val="en-US" w:eastAsia="zh-CN"/>
        </w:rPr>
        <w:t>上市时间：</w:t>
      </w: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</w:rPr>
        <w:t>2010-09-02</w:t>
      </w:r>
    </w:p>
    <w:p>
      <w:pPr>
        <w:pStyle w:val="2"/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</w:rPr>
      </w:pPr>
      <w:r>
        <w:rPr>
          <w:rFonts w:hint="eastAsia" w:cs="微软雅黑"/>
          <w:i w:val="0"/>
          <w:caps w:val="0"/>
          <w:color w:val="3F3F3F"/>
          <w:spacing w:val="0"/>
          <w:sz w:val="21"/>
          <w:szCs w:val="21"/>
          <w:shd w:val="clear" w:fill="EDF5FA"/>
          <w:lang w:val="en-US" w:eastAsia="zh-CN"/>
        </w:rPr>
        <w:t>所属市场：</w:t>
      </w: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</w:rPr>
        <w:t>深交所创业板</w:t>
      </w:r>
    </w:p>
    <w:p>
      <w:pPr>
        <w:pStyle w:val="2"/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</w:rPr>
      </w:pPr>
      <w:r>
        <w:rPr>
          <w:rFonts w:hint="eastAsia" w:cs="微软雅黑"/>
          <w:i w:val="0"/>
          <w:caps w:val="0"/>
          <w:color w:val="3F3F3F"/>
          <w:spacing w:val="0"/>
          <w:sz w:val="21"/>
          <w:szCs w:val="21"/>
          <w:shd w:val="clear" w:fill="EDF5FA"/>
          <w:lang w:val="en-US" w:eastAsia="zh-CN"/>
        </w:rPr>
        <w:t>主要业务：</w:t>
      </w: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</w:rPr>
        <w:t>节能门窗幕墙、太阳能光伏和高端智能装备。</w:t>
      </w:r>
    </w:p>
    <w:p>
      <w:pPr>
        <w:pStyle w:val="2"/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</w:rPr>
      </w:pPr>
      <w:r>
        <w:rPr>
          <w:rFonts w:hint="eastAsia" w:cs="微软雅黑"/>
          <w:i w:val="0"/>
          <w:caps w:val="0"/>
          <w:color w:val="3F3F3F"/>
          <w:spacing w:val="0"/>
          <w:sz w:val="21"/>
          <w:szCs w:val="21"/>
          <w:shd w:val="clear" w:fill="EDF5FA"/>
          <w:lang w:val="en-US" w:eastAsia="zh-CN"/>
        </w:rPr>
        <w:t>经营范围：</w:t>
      </w: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</w:rPr>
        <w:t>制造金属门窗、防火门、防盗门、塑钢门窗、木制门窗；建筑幕墙加工；工程设计；专业承包；装潢设计；建筑幕墙设计、安装；仓储服务；销售自产产品；技术开发；技术转让；技术咨询；技术服务；技术推广；工程咨询。</w:t>
      </w:r>
    </w:p>
    <w:p>
      <w:pPr>
        <w:pStyle w:val="2"/>
        <w:rPr>
          <w:rFonts w:hint="default"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  <w:lang w:val="en-US" w:eastAsia="zh-CN"/>
        </w:rPr>
      </w:pPr>
      <w:bookmarkStart w:id="0" w:name="_GoBack"/>
      <w:bookmarkEnd w:id="0"/>
    </w:p>
    <w:p>
      <w:pPr>
        <w:pStyle w:val="2"/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1"/>
          <w:szCs w:val="21"/>
          <w:shd w:val="clear" w:fill="EDF5FA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1"/>
        <w:rPr>
          <w:sz w:val="13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5078095</wp:posOffset>
            </wp:positionH>
            <wp:positionV relativeFrom="paragraph">
              <wp:posOffset>177800</wp:posOffset>
            </wp:positionV>
            <wp:extent cx="1309370" cy="351790"/>
            <wp:effectExtent l="0" t="0" r="0" b="0"/>
            <wp:wrapTopAndBottom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53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10" w:h="16840"/>
      <w:pgMar w:top="820" w:right="1680" w:bottom="280" w:left="16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276971A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微软雅黑" w:hAnsi="微软雅黑" w:eastAsia="微软雅黑" w:cs="微软雅黑"/>
      <w:sz w:val="22"/>
      <w:szCs w:val="22"/>
      <w:lang w:val="zh-CN" w:eastAsia="zh-CN" w:bidi="zh-CN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微软雅黑" w:hAnsi="微软雅黑" w:eastAsia="微软雅黑" w:cs="微软雅黑"/>
      <w:sz w:val="24"/>
      <w:szCs w:val="24"/>
      <w:lang w:val="zh-CN" w:eastAsia="zh-CN" w:bidi="zh-CN"/>
    </w:rPr>
  </w:style>
  <w:style w:type="table" w:customStyle="1" w:styleId="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zh-CN" w:eastAsia="zh-CN" w:bidi="zh-CN"/>
    </w:rPr>
  </w:style>
  <w:style w:type="paragraph" w:customStyle="1" w:styleId="7">
    <w:name w:val="Table Paragraph"/>
    <w:basedOn w:val="1"/>
    <w:qFormat/>
    <w:uiPriority w:val="1"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ScaleCrop>false</ScaleCrop>
  <LinksUpToDate>false</LinksUpToDate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2020-11-14T10:48:00Z</dcterms:created>
  <dc:creator>马凯</dc:creator>
  <cp:lastModifiedBy>茶豆</cp:lastModifiedBy>
  <dcterms:modified xsi:type="dcterms:W3CDTF">2020-11-14T11:22:06Z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2020-11-14T00:00:00Z</vt:filetime>
  </property>
  <property fmtid="{D5CDD505-2E9C-101B-9397-08002B2CF9AE}" pid="5" name="KSOProductBuildVer">
    <vt:lpwstr>2052-11.1.0.10132</vt:lpwstr>
  </property>
</Properties>
</file>