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ascii="MicrosoftYaHei-Bold" w:hAnsi="MicrosoftYaHei-Bold" w:eastAsia="MicrosoftYaHei-Bold" w:cs="MicrosoftYaHei-Bold"/>
          <w:b/>
          <w:color w:val="000000"/>
          <w:kern w:val="0"/>
          <w:sz w:val="32"/>
          <w:szCs w:val="32"/>
          <w:lang w:val="en-US" w:eastAsia="zh-CN" w:bidi="ar"/>
        </w:rPr>
        <w:t xml:space="preserve">第 </w:t>
      </w:r>
      <w:r>
        <w:rPr>
          <w:rFonts w:hint="eastAsia" w:asciiTheme="majorEastAsia" w:hAnsiTheme="majorEastAsia" w:eastAsiaTheme="majorEastAsia" w:cstheme="majorEastAsia"/>
          <w:b/>
          <w:color w:val="000000"/>
          <w:kern w:val="0"/>
          <w:sz w:val="32"/>
          <w:szCs w:val="32"/>
          <w:lang w:val="en-US" w:eastAsia="zh-CN" w:bidi="ar"/>
        </w:rPr>
        <w:t>12</w:t>
      </w:r>
      <w:r>
        <w:rPr>
          <w:rFonts w:ascii="MicrosoftYaHei-Bold" w:hAnsi="MicrosoftYaHei-Bold" w:eastAsia="MicrosoftYaHei-Bold" w:cs="MicrosoftYaHei-Bold"/>
          <w:b/>
          <w:color w:val="000000"/>
          <w:kern w:val="0"/>
          <w:sz w:val="32"/>
          <w:szCs w:val="32"/>
          <w:lang w:val="en-US" w:eastAsia="zh-CN" w:bidi="ar"/>
        </w:rPr>
        <w:t xml:space="preserve"> 周案例分析作业</w:t>
      </w:r>
      <w:bookmarkStart w:id="0" w:name="_GoBack"/>
      <w:bookmarkEnd w:id="0"/>
    </w:p>
    <w:p>
      <w:pPr>
        <w:keepNext w:val="0"/>
        <w:keepLines w:val="0"/>
        <w:widowControl/>
        <w:suppressLineNumbers w:val="0"/>
        <w:jc w:val="left"/>
      </w:pPr>
      <w:r>
        <w:rPr>
          <w:rFonts w:hint="default" w:ascii="MicrosoftYaHei-Bold" w:hAnsi="MicrosoftYaHei-Bold" w:eastAsia="MicrosoftYaHei-Bold" w:cs="MicrosoftYaHei-Bold"/>
          <w:b/>
          <w:color w:val="000000"/>
          <w:kern w:val="0"/>
          <w:sz w:val="24"/>
          <w:szCs w:val="24"/>
          <w:lang w:val="en-US" w:eastAsia="zh-CN" w:bidi="ar"/>
        </w:rPr>
        <w:t xml:space="preserve">案例分析题 </w:t>
      </w:r>
    </w:p>
    <w:p>
      <w:pPr>
        <w:keepNext w:val="0"/>
        <w:keepLines w:val="0"/>
        <w:widowControl/>
        <w:suppressLineNumbers w:val="0"/>
        <w:jc w:val="left"/>
      </w:pPr>
      <w:r>
        <w:rPr>
          <w:rFonts w:ascii="微软雅黑" w:hAnsi="微软雅黑" w:eastAsia="微软雅黑" w:cs="微软雅黑"/>
          <w:color w:val="000000"/>
          <w:kern w:val="0"/>
          <w:sz w:val="24"/>
          <w:szCs w:val="24"/>
          <w:lang w:val="en-US" w:eastAsia="zh-CN" w:bidi="ar"/>
        </w:rPr>
        <w:t xml:space="preserve">1、 根据洋河股份公司最近一年年报中的“经营情况讨论与分析”章节，分析 </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 xml:space="preserve">如下内容：公司的收入变动是否异常？如异常，查找其原因？分析收入、成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 xml:space="preserve">本、毛利率、根据分析结果总结公司经营的优势和劣势。（100 分） </w:t>
      </w:r>
    </w:p>
    <w:p>
      <w:pPr>
        <w:keepNext w:val="0"/>
        <w:keepLines w:val="0"/>
        <w:widowControl/>
        <w:suppressLineNumbers w:val="0"/>
        <w:jc w:val="left"/>
      </w:pPr>
      <w:r>
        <w:drawing>
          <wp:inline distT="0" distB="0" distL="114300" distR="114300">
            <wp:extent cx="4959350" cy="3200400"/>
            <wp:effectExtent l="0" t="0" r="635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959350" cy="3200400"/>
                    </a:xfrm>
                    <a:prstGeom prst="rect">
                      <a:avLst/>
                    </a:prstGeom>
                    <a:noFill/>
                    <a:ln>
                      <a:noFill/>
                    </a:ln>
                  </pic:spPr>
                </pic:pic>
              </a:graphicData>
            </a:graphic>
          </wp:inline>
        </w:drawing>
      </w:r>
    </w:p>
    <w:p>
      <w:pPr>
        <w:keepNext w:val="0"/>
        <w:keepLines w:val="0"/>
        <w:widowControl/>
        <w:numPr>
          <w:ilvl w:val="0"/>
          <w:numId w:val="1"/>
        </w:numPr>
        <w:suppressLineNumbers w:val="0"/>
        <w:jc w:val="left"/>
        <w:rPr>
          <w:rFonts w:hint="eastAsia"/>
          <w:lang w:val="en-US" w:eastAsia="zh-CN"/>
        </w:rPr>
      </w:pPr>
      <w:r>
        <w:rPr>
          <w:rFonts w:hint="eastAsia"/>
          <w:lang w:val="en-US" w:eastAsia="zh-CN"/>
        </w:rPr>
        <w:t>产品分析</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 xml:space="preserve">登录企业官网，我们查看洋河产品 </w:t>
      </w:r>
      <w:r>
        <w:rPr>
          <w:rFonts w:hint="eastAsia" w:ascii="宋体" w:hAnsi="宋体" w:eastAsia="宋体" w:cs="宋体"/>
          <w:color w:val="0563C1"/>
          <w:kern w:val="0"/>
          <w:sz w:val="22"/>
          <w:szCs w:val="22"/>
          <w:lang w:val="en-US" w:eastAsia="zh-CN" w:bidi="ar"/>
        </w:rPr>
        <w:t xml:space="preserve">https://www.chinayanghe.com/ </w:t>
      </w:r>
    </w:p>
    <w:p>
      <w:pPr>
        <w:keepNext w:val="0"/>
        <w:keepLines w:val="0"/>
        <w:widowControl/>
        <w:numPr>
          <w:ilvl w:val="0"/>
          <w:numId w:val="0"/>
        </w:numPr>
        <w:suppressLineNumbers w:val="0"/>
        <w:jc w:val="left"/>
        <w:rPr>
          <w:rFonts w:hint="default"/>
          <w:lang w:val="en-US" w:eastAsia="zh-CN"/>
        </w:rPr>
      </w:pPr>
      <w:r>
        <w:rPr>
          <w:rFonts w:hint="eastAsia"/>
          <w:lang w:val="en-US" w:eastAsia="zh-CN"/>
        </w:rPr>
        <w:t>1、产品情况</w:t>
      </w:r>
    </w:p>
    <w:p>
      <w:pPr>
        <w:keepNext w:val="0"/>
        <w:keepLines w:val="0"/>
        <w:widowControl/>
        <w:numPr>
          <w:ilvl w:val="0"/>
          <w:numId w:val="0"/>
        </w:numPr>
        <w:suppressLineNumbers w:val="0"/>
        <w:jc w:val="left"/>
      </w:pPr>
      <w:r>
        <w:drawing>
          <wp:inline distT="0" distB="0" distL="114300" distR="114300">
            <wp:extent cx="4489450" cy="2762250"/>
            <wp:effectExtent l="0" t="0" r="6350" b="635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4489450" cy="2762250"/>
                    </a:xfrm>
                    <a:prstGeom prst="rect">
                      <a:avLst/>
                    </a:prstGeom>
                    <a:noFill/>
                    <a:ln>
                      <a:noFill/>
                    </a:ln>
                  </pic:spPr>
                </pic:pic>
              </a:graphicData>
            </a:graphic>
          </wp:inline>
        </w:drawing>
      </w:r>
    </w:p>
    <w:p>
      <w:pPr>
        <w:keepNext w:val="0"/>
        <w:keepLines w:val="0"/>
        <w:widowControl/>
        <w:suppressLineNumbers w:val="0"/>
        <w:ind w:firstLine="360" w:firstLineChars="200"/>
        <w:jc w:val="left"/>
        <w:rPr>
          <w:rFonts w:hint="eastAsia" w:ascii="宋体" w:hAnsi="宋体" w:eastAsia="宋体" w:cs="宋体"/>
          <w:color w:val="000000"/>
          <w:kern w:val="0"/>
          <w:sz w:val="18"/>
          <w:szCs w:val="18"/>
          <w:lang w:val="en-US" w:eastAsia="zh-CN" w:bidi="ar"/>
        </w:rPr>
      </w:pPr>
      <w:r>
        <w:rPr>
          <w:rFonts w:hint="eastAsia" w:ascii="宋体" w:hAnsi="宋体" w:eastAsia="宋体" w:cs="宋体"/>
          <w:color w:val="000000"/>
          <w:kern w:val="0"/>
          <w:sz w:val="18"/>
          <w:szCs w:val="18"/>
          <w:lang w:val="en-US" w:eastAsia="zh-CN" w:bidi="ar"/>
        </w:rPr>
        <w:t>洋河股份是全国大型白酒生产企业，是白酒行业唯一拥有洋河、双沟两大中国名酒，两个中华老字号，六枚中国驰名商标的企业。</w:t>
      </w:r>
    </w:p>
    <w:p>
      <w:pPr>
        <w:keepNext w:val="0"/>
        <w:keepLines w:val="0"/>
        <w:widowControl/>
        <w:suppressLineNumbers w:val="0"/>
        <w:ind w:firstLine="360" w:firstLineChars="200"/>
        <w:jc w:val="left"/>
      </w:pPr>
      <w:r>
        <w:rPr>
          <w:rFonts w:hint="eastAsia" w:ascii="宋体" w:hAnsi="宋体" w:eastAsia="宋体" w:cs="宋体"/>
          <w:color w:val="000000"/>
          <w:kern w:val="0"/>
          <w:sz w:val="18"/>
          <w:szCs w:val="18"/>
          <w:lang w:val="en-US" w:eastAsia="zh-CN" w:bidi="ar"/>
        </w:rPr>
        <w:t>公司主导产品梦之蓝、洋河蓝色经典、双沟珍宝坊、洋河大曲、双沟大曲等绵柔型系列白酒，在全国享有较高的品牌知名度和美誉度。</w:t>
      </w:r>
    </w:p>
    <w:p>
      <w:pPr>
        <w:keepNext w:val="0"/>
        <w:keepLines w:val="0"/>
        <w:widowControl/>
        <w:numPr>
          <w:ilvl w:val="0"/>
          <w:numId w:val="2"/>
        </w:numPr>
        <w:suppressLineNumbers w:val="0"/>
        <w:jc w:val="left"/>
        <w:rPr>
          <w:rFonts w:hint="eastAsia"/>
          <w:lang w:val="en-US" w:eastAsia="zh-CN"/>
        </w:rPr>
      </w:pPr>
      <w:r>
        <w:rPr>
          <w:rFonts w:hint="eastAsia"/>
          <w:lang w:val="en-US" w:eastAsia="zh-CN"/>
        </w:rPr>
        <w:t>产品销售情况</w:t>
      </w:r>
    </w:p>
    <w:p>
      <w:pPr>
        <w:keepNext w:val="0"/>
        <w:keepLines w:val="0"/>
        <w:widowControl/>
        <w:numPr>
          <w:ilvl w:val="0"/>
          <w:numId w:val="0"/>
        </w:numPr>
        <w:suppressLineNumbers w:val="0"/>
        <w:jc w:val="left"/>
      </w:pPr>
      <w:r>
        <w:drawing>
          <wp:inline distT="0" distB="0" distL="114300" distR="114300">
            <wp:extent cx="5273675" cy="1711325"/>
            <wp:effectExtent l="0" t="0" r="9525"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6"/>
                    <a:stretch>
                      <a:fillRect/>
                    </a:stretch>
                  </pic:blipFill>
                  <pic:spPr>
                    <a:xfrm>
                      <a:off x="0" y="0"/>
                      <a:ext cx="5273675" cy="1711325"/>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1646555" cy="2931160"/>
            <wp:effectExtent l="0" t="0" r="4445" b="254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7"/>
                    <a:stretch>
                      <a:fillRect/>
                    </a:stretch>
                  </pic:blipFill>
                  <pic:spPr>
                    <a:xfrm>
                      <a:off x="0" y="0"/>
                      <a:ext cx="1646555" cy="2931160"/>
                    </a:xfrm>
                    <a:prstGeom prst="rect">
                      <a:avLst/>
                    </a:prstGeom>
                    <a:noFill/>
                    <a:ln>
                      <a:noFill/>
                    </a:ln>
                  </pic:spPr>
                </pic:pic>
              </a:graphicData>
            </a:graphic>
          </wp:inline>
        </w:drawing>
      </w:r>
      <w:r>
        <w:drawing>
          <wp:inline distT="0" distB="0" distL="114300" distR="114300">
            <wp:extent cx="1475105" cy="2943225"/>
            <wp:effectExtent l="0" t="0" r="10795" b="317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8"/>
                    <a:stretch>
                      <a:fillRect/>
                    </a:stretch>
                  </pic:blipFill>
                  <pic:spPr>
                    <a:xfrm>
                      <a:off x="0" y="0"/>
                      <a:ext cx="1475105" cy="2943225"/>
                    </a:xfrm>
                    <a:prstGeom prst="rect">
                      <a:avLst/>
                    </a:prstGeom>
                    <a:noFill/>
                    <a:ln>
                      <a:noFill/>
                    </a:ln>
                  </pic:spPr>
                </pic:pic>
              </a:graphicData>
            </a:graphic>
          </wp:inline>
        </w:drawing>
      </w:r>
      <w:r>
        <w:drawing>
          <wp:inline distT="0" distB="0" distL="114300" distR="114300">
            <wp:extent cx="1611630" cy="2521585"/>
            <wp:effectExtent l="0" t="0" r="1270"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9"/>
                    <a:stretch>
                      <a:fillRect/>
                    </a:stretch>
                  </pic:blipFill>
                  <pic:spPr>
                    <a:xfrm>
                      <a:off x="0" y="0"/>
                      <a:ext cx="1611630" cy="252158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FF"/>
          <w:kern w:val="0"/>
          <w:sz w:val="24"/>
          <w:szCs w:val="24"/>
          <w:lang w:val="en-US" w:eastAsia="zh-CN" w:bidi="ar"/>
        </w:rPr>
        <w:t>从价格上我们可以推断洋河的市场定位应该是以次高端、中端白酒消费市场为主。</w:t>
      </w:r>
    </w:p>
    <w:p>
      <w:pPr>
        <w:keepNext w:val="0"/>
        <w:keepLines w:val="0"/>
        <w:widowControl/>
        <w:numPr>
          <w:ilvl w:val="0"/>
          <w:numId w:val="0"/>
        </w:numPr>
        <w:suppressLineNumbers w:val="0"/>
        <w:jc w:val="left"/>
        <w:rPr>
          <w:rFonts w:hint="default"/>
          <w:lang w:val="en-US" w:eastAsia="zh-CN"/>
        </w:rPr>
      </w:pPr>
      <w:r>
        <w:rPr>
          <w:rFonts w:hint="eastAsia"/>
          <w:lang w:val="en-US" w:eastAsia="zh-CN"/>
        </w:rPr>
        <w:t>二、营业收入分析</w:t>
      </w:r>
    </w:p>
    <w:p>
      <w:pPr>
        <w:keepNext w:val="0"/>
        <w:keepLines w:val="0"/>
        <w:widowControl/>
        <w:numPr>
          <w:ilvl w:val="0"/>
          <w:numId w:val="0"/>
        </w:numPr>
        <w:suppressLineNumbers w:val="0"/>
        <w:jc w:val="left"/>
        <w:rPr>
          <w:rFonts w:hint="default"/>
          <w:lang w:val="en-US" w:eastAsia="zh-CN"/>
        </w:rPr>
      </w:pPr>
    </w:p>
    <w:p>
      <w:pPr>
        <w:keepNext w:val="0"/>
        <w:keepLines w:val="0"/>
        <w:widowControl/>
        <w:suppressLineNumbers w:val="0"/>
        <w:jc w:val="left"/>
      </w:pPr>
      <w:r>
        <w:drawing>
          <wp:inline distT="0" distB="0" distL="114300" distR="114300">
            <wp:extent cx="5267960" cy="18846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7960" cy="188468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2"/>
          <w:szCs w:val="22"/>
          <w:lang w:val="en-US" w:eastAsia="zh-CN" w:bidi="ar"/>
        </w:rPr>
      </w:pPr>
      <w:r>
        <w:rPr>
          <w:rFonts w:hint="eastAsia" w:ascii="宋体" w:hAnsi="宋体" w:eastAsia="宋体" w:cs="宋体"/>
          <w:color w:val="000000"/>
          <w:kern w:val="0"/>
          <w:sz w:val="21"/>
          <w:szCs w:val="21"/>
          <w:lang w:val="en-US" w:eastAsia="zh-CN" w:bidi="ar"/>
        </w:rPr>
        <w:t>对洋河股份的营业收入有了大概了解之后，用营业收入规模和增长率两个维度进行分析。</w:t>
      </w:r>
    </w:p>
    <w:p>
      <w:pPr>
        <w:keepNext w:val="0"/>
        <w:keepLines w:val="0"/>
        <w:widowControl/>
        <w:suppressLineNumbers w:val="0"/>
        <w:jc w:val="left"/>
      </w:pPr>
      <w:r>
        <w:rPr>
          <w:rFonts w:ascii="TimesNewRomanPSMT" w:hAnsi="TimesNewRomanPSMT" w:eastAsia="TimesNewRomanPSMT" w:cs="TimesNewRomanPSMT"/>
          <w:color w:val="000000"/>
          <w:kern w:val="0"/>
          <w:sz w:val="21"/>
          <w:szCs w:val="21"/>
          <w:lang w:val="en-US" w:eastAsia="zh-CN" w:bidi="ar"/>
        </w:rPr>
        <w:t>1</w:t>
      </w:r>
      <w:r>
        <w:rPr>
          <w:rFonts w:hint="eastAsia" w:ascii="黑体" w:hAnsi="宋体" w:eastAsia="黑体" w:cs="黑体"/>
          <w:color w:val="000000"/>
          <w:kern w:val="0"/>
          <w:sz w:val="21"/>
          <w:szCs w:val="21"/>
          <w:lang w:val="en-US" w:eastAsia="zh-CN" w:bidi="ar"/>
        </w:rPr>
        <w:t>）营业收入规模分析</w:t>
      </w:r>
    </w:p>
    <w:p>
      <w:pPr>
        <w:keepNext w:val="0"/>
        <w:keepLines w:val="0"/>
        <w:widowControl/>
        <w:suppressLineNumbers w:val="0"/>
        <w:jc w:val="left"/>
      </w:pPr>
    </w:p>
    <w:p>
      <w:pPr>
        <w:keepNext w:val="0"/>
        <w:keepLines w:val="0"/>
        <w:widowControl/>
        <w:suppressLineNumbers w:val="0"/>
        <w:jc w:val="left"/>
      </w:pPr>
      <w:r>
        <w:rPr>
          <w:rFonts w:hint="default" w:ascii="TimesNewRomanPSMT" w:hAnsi="TimesNewRomanPSMT" w:eastAsia="TimesNewRomanPSMT" w:cs="TimesNewRomanPSMT"/>
          <w:color w:val="0563C1"/>
          <w:kern w:val="0"/>
          <w:sz w:val="21"/>
          <w:szCs w:val="21"/>
          <w:lang w:val="en-US" w:eastAsia="zh-CN" w:bidi="ar"/>
        </w:rPr>
        <w:t>http://stockpage.10jqka.com.cn/300033/#refCountId=stockpage_5c3e9aef_93</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我们打开网站后在搜索框输入要分析的股票的代码或者简称，跳转到洋河股份主页面后我们选择行业分析—行业地位。</w:t>
      </w:r>
    </w:p>
    <w:p>
      <w:pPr>
        <w:keepNext w:val="0"/>
        <w:keepLines w:val="0"/>
        <w:widowControl/>
        <w:suppressLineNumbers w:val="0"/>
        <w:jc w:val="both"/>
      </w:pPr>
      <w:r>
        <w:drawing>
          <wp:inline distT="0" distB="0" distL="114300" distR="114300">
            <wp:extent cx="5272405" cy="2802890"/>
            <wp:effectExtent l="0" t="0" r="1079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2405" cy="280289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通过行业对比，我们获知洋河股份的营业收入规模在行业第三，说明规模处于较高水平。</w:t>
      </w:r>
    </w:p>
    <w:p>
      <w:pPr>
        <w:keepNext w:val="0"/>
        <w:keepLines w:val="0"/>
        <w:widowControl/>
        <w:suppressLineNumbers w:val="0"/>
        <w:jc w:val="left"/>
      </w:pPr>
      <w:r>
        <w:rPr>
          <w:rFonts w:ascii="黑体" w:hAnsi="宋体" w:eastAsia="黑体" w:cs="黑体"/>
          <w:color w:val="000000"/>
          <w:kern w:val="0"/>
          <w:sz w:val="21"/>
          <w:szCs w:val="21"/>
          <w:lang w:val="en-US" w:eastAsia="zh-CN" w:bidi="ar"/>
        </w:rPr>
        <w:t>（</w:t>
      </w:r>
      <w:r>
        <w:rPr>
          <w:rFonts w:ascii="TimesNewRomanPSMT" w:hAnsi="TimesNewRomanPSMT" w:eastAsia="TimesNewRomanPSMT" w:cs="TimesNewRomanPSMT"/>
          <w:color w:val="000000"/>
          <w:kern w:val="0"/>
          <w:sz w:val="21"/>
          <w:szCs w:val="21"/>
          <w:lang w:val="en-US" w:eastAsia="zh-CN" w:bidi="ar"/>
        </w:rPr>
        <w:t>2</w:t>
      </w:r>
      <w:r>
        <w:rPr>
          <w:rFonts w:hint="eastAsia" w:ascii="黑体" w:hAnsi="宋体" w:eastAsia="黑体" w:cs="黑体"/>
          <w:color w:val="000000"/>
          <w:kern w:val="0"/>
          <w:sz w:val="21"/>
          <w:szCs w:val="21"/>
          <w:lang w:val="en-US" w:eastAsia="zh-CN" w:bidi="ar"/>
        </w:rPr>
        <w:t>）营业收入增长率分析</w:t>
      </w:r>
    </w:p>
    <w:p>
      <w:pPr>
        <w:keepNext w:val="0"/>
        <w:keepLines w:val="0"/>
        <w:widowControl/>
        <w:suppressLineNumbers w:val="0"/>
        <w:jc w:val="left"/>
        <w:rPr>
          <w:rFonts w:hint="eastAsia" w:ascii="宋体" w:hAnsi="宋体" w:eastAsia="宋体" w:cs="宋体"/>
          <w:color w:val="FFFFFF"/>
          <w:kern w:val="0"/>
          <w:sz w:val="22"/>
          <w:szCs w:val="22"/>
          <w:lang w:val="en-US" w:eastAsia="zh-CN" w:bidi="ar"/>
        </w:rPr>
      </w:pPr>
      <w:r>
        <w:rPr>
          <w:rFonts w:hint="eastAsia" w:ascii="宋体" w:hAnsi="宋体" w:eastAsia="宋体" w:cs="宋体"/>
          <w:color w:val="000000"/>
          <w:kern w:val="0"/>
          <w:sz w:val="21"/>
          <w:szCs w:val="21"/>
          <w:lang w:val="en-US" w:eastAsia="zh-CN" w:bidi="ar"/>
        </w:rPr>
        <w:t xml:space="preserve"> </w:t>
      </w:r>
      <w:r>
        <w:rPr>
          <w:rFonts w:hint="eastAsia" w:ascii="宋体" w:hAnsi="宋体" w:eastAsia="宋体" w:cs="宋体"/>
          <w:color w:val="FFFFFF"/>
          <w:kern w:val="0"/>
          <w:sz w:val="22"/>
          <w:szCs w:val="22"/>
          <w:lang w:val="en-US" w:eastAsia="zh-CN" w:bidi="ar"/>
        </w:rPr>
        <w:t>项</w:t>
      </w:r>
      <w:r>
        <w:drawing>
          <wp:inline distT="0" distB="0" distL="114300" distR="114300">
            <wp:extent cx="3868420" cy="3068320"/>
            <wp:effectExtent l="0" t="0" r="508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868420" cy="3068320"/>
                    </a:xfrm>
                    <a:prstGeom prst="rect">
                      <a:avLst/>
                    </a:prstGeom>
                    <a:noFill/>
                    <a:ln>
                      <a:noFill/>
                    </a:ln>
                  </pic:spPr>
                </pic:pic>
              </a:graphicData>
            </a:graphic>
          </wp:inline>
        </w:drawing>
      </w:r>
      <w:r>
        <w:rPr>
          <w:rFonts w:hint="eastAsia" w:ascii="宋体" w:hAnsi="宋体" w:eastAsia="宋体" w:cs="宋体"/>
          <w:color w:val="FFFFFF"/>
          <w:kern w:val="0"/>
          <w:sz w:val="22"/>
          <w:szCs w:val="22"/>
          <w:lang w:val="en-US" w:eastAsia="zh-CN" w:bidi="ar"/>
        </w:rPr>
        <w:t xml:space="preserve">目 </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 xml:space="preserve">洋河股份 2015 年至 2018 年收入稳定增长，2019 年减幅 4.28%。需要查找异常原因。 </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 xml:space="preserve">接下来我们需要看收入细分看哪一类收入下降导致总收入增长率下降。 </w:t>
      </w:r>
    </w:p>
    <w:p>
      <w:pPr>
        <w:keepNext w:val="0"/>
        <w:keepLines w:val="0"/>
        <w:widowControl/>
        <w:numPr>
          <w:ilvl w:val="0"/>
          <w:numId w:val="3"/>
        </w:numPr>
        <w:suppressLineNumbers w:val="0"/>
        <w:jc w:val="left"/>
        <w:rPr>
          <w:rFonts w:hint="eastAsia"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按行业</w:t>
      </w:r>
    </w:p>
    <w:p>
      <w:pPr>
        <w:keepNext w:val="0"/>
        <w:keepLines w:val="0"/>
        <w:widowControl/>
        <w:numPr>
          <w:ilvl w:val="0"/>
          <w:numId w:val="0"/>
        </w:numPr>
        <w:suppressLineNumbers w:val="0"/>
        <w:jc w:val="left"/>
        <w:rPr>
          <w:rFonts w:hint="default"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可以看出是酒类行业收入减少导致。</w:t>
      </w:r>
    </w:p>
    <w:p>
      <w:pPr>
        <w:keepNext w:val="0"/>
        <w:keepLines w:val="0"/>
        <w:widowControl/>
        <w:suppressLineNumbers w:val="0"/>
        <w:jc w:val="left"/>
      </w:pPr>
      <w:r>
        <w:drawing>
          <wp:inline distT="0" distB="0" distL="114300" distR="114300">
            <wp:extent cx="5272405" cy="3168015"/>
            <wp:effectExtent l="0" t="0" r="1079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2405" cy="3168015"/>
                    </a:xfrm>
                    <a:prstGeom prst="rect">
                      <a:avLst/>
                    </a:prstGeom>
                    <a:noFill/>
                    <a:ln>
                      <a:noFill/>
                    </a:ln>
                  </pic:spPr>
                </pic:pic>
              </a:graphicData>
            </a:graphic>
          </wp:inline>
        </w:drawing>
      </w:r>
    </w:p>
    <w:p>
      <w:pPr>
        <w:keepNext w:val="0"/>
        <w:keepLines w:val="0"/>
        <w:widowControl/>
        <w:numPr>
          <w:ilvl w:val="0"/>
          <w:numId w:val="4"/>
        </w:numPr>
        <w:suppressLineNumbers w:val="0"/>
        <w:jc w:val="left"/>
      </w:pPr>
      <w:r>
        <w:rPr>
          <w:rFonts w:hint="eastAsia"/>
          <w:lang w:val="en-US" w:eastAsia="zh-CN"/>
        </w:rPr>
        <w:t>按产品</w:t>
      </w:r>
      <w:r>
        <w:drawing>
          <wp:inline distT="0" distB="0" distL="114300" distR="114300">
            <wp:extent cx="5270500" cy="91757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70500" cy="9175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可以看出白酒虽然同比下降比率不是最大，但因其占总销售比例大，所以它的下降是导致全年下降的主要原因。</w:t>
      </w:r>
    </w:p>
    <w:p>
      <w:pPr>
        <w:keepNext w:val="0"/>
        <w:keepLines w:val="0"/>
        <w:widowControl/>
        <w:numPr>
          <w:ilvl w:val="0"/>
          <w:numId w:val="4"/>
        </w:numPr>
        <w:suppressLineNumbers w:val="0"/>
        <w:ind w:left="0" w:leftChars="0" w:firstLine="0" w:firstLineChars="0"/>
        <w:jc w:val="left"/>
        <w:rPr>
          <w:rFonts w:hint="eastAsia"/>
          <w:lang w:val="en-US" w:eastAsia="zh-CN"/>
        </w:rPr>
      </w:pPr>
      <w:r>
        <w:rPr>
          <w:rFonts w:hint="eastAsia"/>
          <w:lang w:val="en-US" w:eastAsia="zh-CN"/>
        </w:rPr>
        <w:t>分地区</w:t>
      </w:r>
    </w:p>
    <w:p>
      <w:pPr>
        <w:keepNext w:val="0"/>
        <w:keepLines w:val="0"/>
        <w:widowControl/>
        <w:numPr>
          <w:ilvl w:val="0"/>
          <w:numId w:val="0"/>
        </w:numPr>
        <w:suppressLineNumbers w:val="0"/>
        <w:ind w:leftChars="0"/>
        <w:jc w:val="left"/>
      </w:pPr>
      <w:r>
        <w:drawing>
          <wp:inline distT="0" distB="0" distL="114300" distR="114300">
            <wp:extent cx="5270500" cy="725805"/>
            <wp:effectExtent l="0" t="0" r="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0500" cy="7258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可以看出主要是省内收入减少导致。</w:t>
      </w:r>
    </w:p>
    <w:p>
      <w:pPr>
        <w:keepNext w:val="0"/>
        <w:keepLines w:val="0"/>
        <w:widowControl/>
        <w:suppressLineNumbers w:val="0"/>
        <w:jc w:val="left"/>
      </w:pPr>
      <w:r>
        <w:rPr>
          <w:rFonts w:hint="eastAsia" w:ascii="黑体" w:hAnsi="宋体" w:eastAsia="黑体" w:cs="黑体"/>
          <w:color w:val="000000"/>
          <w:kern w:val="0"/>
          <w:sz w:val="25"/>
          <w:szCs w:val="25"/>
          <w:lang w:val="en-US" w:eastAsia="zh-CN" w:bidi="ar"/>
        </w:rPr>
        <w:t>(3)</w:t>
      </w:r>
      <w:r>
        <w:rPr>
          <w:rFonts w:ascii="黑体" w:hAnsi="宋体" w:eastAsia="黑体" w:cs="黑体"/>
          <w:color w:val="000000"/>
          <w:kern w:val="0"/>
          <w:sz w:val="25"/>
          <w:szCs w:val="25"/>
          <w:lang w:val="en-US" w:eastAsia="zh-CN" w:bidi="ar"/>
        </w:rPr>
        <w:t xml:space="preserve">、毛利率 </w:t>
      </w:r>
    </w:p>
    <w:p>
      <w:pPr>
        <w:keepNext w:val="0"/>
        <w:keepLines w:val="0"/>
        <w:widowControl/>
        <w:suppressLineNumbers w:val="0"/>
        <w:jc w:val="left"/>
        <w:rPr>
          <w:rFonts w:hint="eastAsia" w:ascii="黑体" w:hAnsi="宋体" w:eastAsia="黑体" w:cs="黑体"/>
          <w:color w:val="000000"/>
          <w:kern w:val="0"/>
          <w:sz w:val="21"/>
          <w:szCs w:val="21"/>
          <w:lang w:val="en-US" w:eastAsia="zh-CN" w:bidi="ar"/>
        </w:rPr>
      </w:pPr>
      <w:r>
        <w:rPr>
          <w:rFonts w:ascii="TimesNewRomanPSMT" w:hAnsi="TimesNewRomanPSMT" w:eastAsia="TimesNewRomanPSMT" w:cs="TimesNewRomanPSMT"/>
          <w:color w:val="000000"/>
          <w:kern w:val="0"/>
          <w:sz w:val="21"/>
          <w:szCs w:val="21"/>
          <w:lang w:val="en-US" w:eastAsia="zh-CN" w:bidi="ar"/>
        </w:rPr>
        <w:t>1</w:t>
      </w:r>
      <w:r>
        <w:rPr>
          <w:rFonts w:hint="eastAsia" w:ascii="黑体" w:hAnsi="宋体" w:eastAsia="黑体" w:cs="黑体"/>
          <w:color w:val="000000"/>
          <w:kern w:val="0"/>
          <w:sz w:val="21"/>
          <w:szCs w:val="21"/>
          <w:lang w:val="en-US" w:eastAsia="zh-CN" w:bidi="ar"/>
        </w:rPr>
        <w:t xml:space="preserve">）毛利率排名 </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我们使用同花顺网站中的-行业分析-行业地位功能</w:t>
      </w:r>
      <w:r>
        <w:rPr>
          <w:rFonts w:hint="default" w:ascii="TimesNewRomanPSMT" w:hAnsi="TimesNewRomanPSMT" w:eastAsia="TimesNewRomanPSMT" w:cs="TimesNewRomanPSMT"/>
          <w:color w:val="0563C1"/>
          <w:kern w:val="0"/>
          <w:sz w:val="21"/>
          <w:szCs w:val="21"/>
          <w:lang w:val="en-US" w:eastAsia="zh-CN" w:bidi="ar"/>
        </w:rPr>
        <w:t xml:space="preserve">http://stockpage.10jqka.com.cn/603288/field/#fieldstatus </w:t>
      </w:r>
      <w:r>
        <w:drawing>
          <wp:inline distT="0" distB="0" distL="114300" distR="114300">
            <wp:extent cx="5265420" cy="2101215"/>
            <wp:effectExtent l="0" t="0" r="508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5265420" cy="21012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eastAsiaTheme="minorEastAsia"/>
          <w:lang w:val="en-US" w:eastAsia="zh-CN"/>
        </w:rPr>
      </w:pPr>
      <w:r>
        <w:rPr>
          <w:rFonts w:hint="eastAsia"/>
          <w:lang w:val="en-US" w:eastAsia="zh-CN"/>
        </w:rPr>
        <w:t>从上图可以看出，洋河股份处于中游，毛利还有较大的上升空间。</w:t>
      </w:r>
    </w:p>
    <w:p>
      <w:pPr>
        <w:keepNext w:val="0"/>
        <w:keepLines w:val="0"/>
        <w:widowControl/>
        <w:numPr>
          <w:ilvl w:val="0"/>
          <w:numId w:val="0"/>
        </w:numPr>
        <w:suppressLineNumbers w:val="0"/>
        <w:ind w:leftChars="0"/>
        <w:jc w:val="left"/>
      </w:pPr>
      <w:r>
        <w:drawing>
          <wp:inline distT="0" distB="0" distL="114300" distR="114300">
            <wp:extent cx="5273675" cy="2858770"/>
            <wp:effectExtent l="0" t="0" r="9525"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5273675" cy="2858770"/>
                    </a:xfrm>
                    <a:prstGeom prst="rect">
                      <a:avLst/>
                    </a:prstGeom>
                    <a:noFill/>
                    <a:ln>
                      <a:noFill/>
                    </a:ln>
                  </pic:spPr>
                </pic:pic>
              </a:graphicData>
            </a:graphic>
          </wp:inline>
        </w:drawing>
      </w:r>
    </w:p>
    <w:p>
      <w:pPr>
        <w:ind w:left="420" w:leftChars="200"/>
        <w:rPr>
          <w:rFonts w:hint="default" w:eastAsiaTheme="minorEastAsia"/>
          <w:lang w:val="en-US" w:eastAsia="zh-CN"/>
        </w:rPr>
      </w:pPr>
      <w:r>
        <w:rPr>
          <w:rFonts w:hint="eastAsia"/>
        </w:rPr>
        <w:t>洋河股份各产品的毛利率水平均在70%以上</w:t>
      </w:r>
      <w:r>
        <w:rPr>
          <w:rFonts w:hint="eastAsia"/>
          <w:lang w:eastAsia="zh-CN"/>
        </w:rPr>
        <w:t>，</w:t>
      </w:r>
      <w:r>
        <w:rPr>
          <w:rFonts w:hint="eastAsia"/>
          <w:lang w:val="en-US" w:eastAsia="zh-CN"/>
        </w:rPr>
        <w:t>远远大于好公司的大于40%毛利率的标准</w:t>
      </w:r>
      <w:r>
        <w:rPr>
          <w:rFonts w:hint="eastAsia"/>
        </w:rPr>
        <w:t>，</w:t>
      </w:r>
      <w:r>
        <w:rPr>
          <w:rFonts w:hint="eastAsia"/>
          <w:lang w:val="en-US" w:eastAsia="zh-CN"/>
        </w:rPr>
        <w:t>说明</w:t>
      </w:r>
      <w:r>
        <w:rPr>
          <w:rFonts w:hint="eastAsia"/>
        </w:rPr>
        <w:t>公司产品盈利能力</w:t>
      </w:r>
      <w:r>
        <w:rPr>
          <w:rFonts w:hint="eastAsia"/>
          <w:lang w:val="en-US" w:eastAsia="zh-CN"/>
        </w:rPr>
        <w:t>很</w:t>
      </w:r>
      <w:r>
        <w:rPr>
          <w:rFonts w:hint="eastAsia"/>
        </w:rPr>
        <w:t>强</w:t>
      </w:r>
      <w:r>
        <w:rPr>
          <w:rFonts w:hint="eastAsia"/>
          <w:lang w:eastAsia="zh-CN"/>
        </w:rPr>
        <w:t>，</w:t>
      </w:r>
      <w:r>
        <w:rPr>
          <w:rFonts w:hint="eastAsia"/>
          <w:lang w:val="en-US" w:eastAsia="zh-CN"/>
        </w:rPr>
        <w:t>但仍处于行业的中游，毛利还有较大的上升空间。</w:t>
      </w:r>
    </w:p>
    <w:p>
      <w:pPr>
        <w:keepNext w:val="0"/>
        <w:keepLines w:val="0"/>
        <w:widowControl/>
        <w:suppressLineNumbers w:val="0"/>
        <w:jc w:val="left"/>
      </w:pPr>
      <w:r>
        <w:rPr>
          <w:rFonts w:ascii="TimesNewRomanPSMT" w:hAnsi="TimesNewRomanPSMT" w:eastAsia="TimesNewRomanPSMT" w:cs="TimesNewRomanPSMT"/>
          <w:color w:val="000000"/>
          <w:kern w:val="0"/>
          <w:sz w:val="21"/>
          <w:szCs w:val="21"/>
          <w:lang w:val="en-US" w:eastAsia="zh-CN" w:bidi="ar"/>
        </w:rPr>
        <w:t>2</w:t>
      </w:r>
      <w:r>
        <w:rPr>
          <w:rFonts w:hint="eastAsia" w:ascii="黑体" w:hAnsi="宋体" w:eastAsia="黑体" w:cs="黑体"/>
          <w:color w:val="000000"/>
          <w:kern w:val="0"/>
          <w:sz w:val="21"/>
          <w:szCs w:val="21"/>
          <w:lang w:val="en-US" w:eastAsia="zh-CN" w:bidi="ar"/>
        </w:rPr>
        <w:t xml:space="preserve">）毛利率变动 </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 xml:space="preserve">从上表可以看出，毛利率减少是由于收入减少的同时成本增加，关于收入减少的原因已在上一步进行了分析，这一步主要分析一下成本增加的原因。 </w:t>
      </w:r>
    </w:p>
    <w:p>
      <w:pPr>
        <w:keepNext w:val="0"/>
        <w:keepLines w:val="0"/>
        <w:widowControl/>
        <w:suppressLineNumbers w:val="0"/>
        <w:jc w:val="left"/>
        <w:rPr>
          <w:rFonts w:hint="eastAsia"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在年报第四节中查找“营业成本构成”</w:t>
      </w:r>
    </w:p>
    <w:p>
      <w:pPr>
        <w:keepNext w:val="0"/>
        <w:keepLines w:val="0"/>
        <w:widowControl/>
        <w:suppressLineNumbers w:val="0"/>
        <w:jc w:val="left"/>
        <w:rPr>
          <w:rFonts w:hint="default" w:ascii="宋体" w:hAnsi="宋体" w:eastAsia="宋体" w:cs="宋体"/>
          <w:color w:val="000000"/>
          <w:kern w:val="0"/>
          <w:sz w:val="22"/>
          <w:szCs w:val="22"/>
          <w:lang w:val="en-US" w:eastAsia="zh-CN" w:bidi="ar"/>
        </w:rPr>
      </w:pPr>
      <w:r>
        <w:drawing>
          <wp:inline distT="0" distB="0" distL="114300" distR="114300">
            <wp:extent cx="5273040" cy="2524125"/>
            <wp:effectExtent l="0" t="0" r="1016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73040" cy="2524125"/>
                    </a:xfrm>
                    <a:prstGeom prst="rect">
                      <a:avLst/>
                    </a:prstGeom>
                    <a:noFill/>
                    <a:ln>
                      <a:noFill/>
                    </a:ln>
                  </pic:spPr>
                </pic:pic>
              </a:graphicData>
            </a:graphic>
          </wp:inline>
        </w:drawing>
      </w:r>
      <w:r>
        <w:rPr>
          <w:rFonts w:hint="eastAsia" w:ascii="宋体" w:hAnsi="宋体" w:eastAsia="宋体" w:cs="宋体"/>
          <w:color w:val="000000"/>
          <w:kern w:val="0"/>
          <w:sz w:val="22"/>
          <w:szCs w:val="22"/>
          <w:lang w:val="en-US" w:eastAsia="zh-CN" w:bidi="ar"/>
        </w:rPr>
        <w:t xml:space="preserve"> 人工成本的增加是直接导致主营成本增长的原因。</w:t>
      </w:r>
    </w:p>
    <w:p>
      <w:pPr>
        <w:keepNext w:val="0"/>
        <w:keepLines w:val="0"/>
        <w:widowControl/>
        <w:suppressLineNumbers w:val="0"/>
        <w:jc w:val="left"/>
        <w:rPr>
          <w:rFonts w:hint="eastAsia" w:ascii="宋体" w:hAnsi="宋体" w:eastAsia="宋体" w:cs="宋体"/>
          <w:color w:val="000000"/>
          <w:kern w:val="0"/>
          <w:sz w:val="22"/>
          <w:szCs w:val="22"/>
          <w:lang w:val="en-US" w:eastAsia="zh-CN" w:bidi="ar"/>
        </w:rPr>
      </w:pPr>
    </w:p>
    <w:p>
      <w:pPr>
        <w:keepNext w:val="0"/>
        <w:keepLines w:val="0"/>
        <w:widowControl/>
        <w:suppressLineNumbers w:val="0"/>
        <w:jc w:val="left"/>
      </w:pPr>
      <w:r>
        <w:rPr>
          <w:rFonts w:ascii="黑体" w:hAnsi="宋体" w:eastAsia="黑体" w:cs="黑体"/>
          <w:color w:val="000000"/>
          <w:kern w:val="0"/>
          <w:sz w:val="25"/>
          <w:szCs w:val="25"/>
          <w:lang w:val="en-US" w:eastAsia="zh-CN" w:bidi="ar"/>
        </w:rPr>
        <w:t xml:space="preserve">四、经营优势劣势分析： </w:t>
      </w:r>
    </w:p>
    <w:p>
      <w:pPr>
        <w:keepNext w:val="0"/>
        <w:keepLines w:val="0"/>
        <w:widowControl/>
        <w:suppressLineNumbers w:val="0"/>
        <w:jc w:val="left"/>
        <w:rPr>
          <w:rFonts w:hint="eastAsia"/>
        </w:rPr>
      </w:pPr>
      <w:r>
        <w:rPr>
          <w:rFonts w:hint="eastAsia"/>
        </w:rPr>
        <w:t>优势：</w:t>
      </w:r>
    </w:p>
    <w:p>
      <w:pPr>
        <w:keepNext w:val="0"/>
        <w:keepLines w:val="0"/>
        <w:widowControl/>
        <w:suppressLineNumbers w:val="0"/>
        <w:tabs>
          <w:tab w:val="left" w:pos="7542"/>
        </w:tabs>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1、自然环境优势。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人</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2、品质优势。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3、人才储备优势</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4、品牌优势。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5、营销网络优势。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劣势：</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1、营收首次出现负增长，表明营收有下降趋势。</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2、白酒行业省内同比有所下降，说明省内市场被同行业其他产品抢占。</w:t>
      </w:r>
    </w:p>
    <w:p>
      <w:pPr>
        <w:keepNext w:val="0"/>
        <w:keepLines w:val="0"/>
        <w:widowControl/>
        <w:suppressLineNumbers w:val="0"/>
        <w:jc w:val="left"/>
        <w:rPr>
          <w:rFonts w:hint="eastAsia"/>
          <w:lang w:val="en-US" w:eastAsia="zh-CN"/>
        </w:rPr>
      </w:pP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suppressLineNumbers w:val="0"/>
        <w:jc w:val="left"/>
      </w:pPr>
      <w:r>
        <w:rPr>
          <w:rFonts w:hint="eastAsia" w:ascii="宋体" w:hAnsi="宋体" w:eastAsia="宋体" w:cs="宋体"/>
          <w:color w:val="FFFFFF"/>
          <w:kern w:val="0"/>
          <w:sz w:val="22"/>
          <w:szCs w:val="22"/>
          <w:lang w:val="en-US" w:eastAsia="zh-CN" w:bidi="ar"/>
        </w:rPr>
        <w:t xml:space="preserve">2015 年 </w:t>
      </w:r>
    </w:p>
    <w:p>
      <w:pPr>
        <w:keepNext w:val="0"/>
        <w:keepLines w:val="0"/>
        <w:widowControl/>
        <w:suppressLineNumbers w:val="0"/>
        <w:jc w:val="left"/>
      </w:pPr>
      <w:r>
        <w:rPr>
          <w:rFonts w:hint="eastAsia" w:ascii="宋体" w:hAnsi="宋体" w:eastAsia="宋体" w:cs="宋体"/>
          <w:color w:val="FFFFFF"/>
          <w:kern w:val="0"/>
          <w:sz w:val="22"/>
          <w:szCs w:val="22"/>
          <w:lang w:val="en-US" w:eastAsia="zh-CN" w:bidi="ar"/>
        </w:rPr>
        <w:t xml:space="preserve">2016 年 </w:t>
      </w:r>
    </w:p>
    <w:p>
      <w:pPr>
        <w:keepNext w:val="0"/>
        <w:keepLines w:val="0"/>
        <w:widowControl/>
        <w:suppressLineNumbers w:val="0"/>
        <w:jc w:val="left"/>
      </w:pPr>
      <w:r>
        <w:rPr>
          <w:rFonts w:hint="eastAsia" w:ascii="宋体" w:hAnsi="宋体" w:eastAsia="宋体" w:cs="宋体"/>
          <w:color w:val="FFFFFF"/>
          <w:kern w:val="0"/>
          <w:sz w:val="22"/>
          <w:szCs w:val="22"/>
          <w:lang w:val="en-US" w:eastAsia="zh-CN" w:bidi="ar"/>
        </w:rPr>
        <w:t xml:space="preserve">2017 年 </w:t>
      </w:r>
    </w:p>
    <w:p>
      <w:pPr>
        <w:keepNext w:val="0"/>
        <w:keepLines w:val="0"/>
        <w:widowControl/>
        <w:suppressLineNumbers w:val="0"/>
        <w:jc w:val="left"/>
      </w:pPr>
      <w:r>
        <w:rPr>
          <w:rFonts w:hint="eastAsia" w:ascii="宋体" w:hAnsi="宋体" w:eastAsia="宋体" w:cs="宋体"/>
          <w:color w:val="FFFFFF"/>
          <w:kern w:val="0"/>
          <w:sz w:val="22"/>
          <w:szCs w:val="22"/>
          <w:lang w:val="en-US" w:eastAsia="zh-CN" w:bidi="ar"/>
        </w:rPr>
        <w:t xml:space="preserve">2018 年 </w:t>
      </w:r>
    </w:p>
    <w:p>
      <w:pPr>
        <w:keepNext w:val="0"/>
        <w:keepLines w:val="0"/>
        <w:widowControl/>
        <w:suppressLineNumbers w:val="0"/>
        <w:jc w:val="left"/>
      </w:pPr>
      <w:r>
        <w:rPr>
          <w:rFonts w:hint="eastAsia" w:ascii="宋体" w:hAnsi="宋体" w:eastAsia="宋体" w:cs="宋体"/>
          <w:color w:val="FFFFFF"/>
          <w:kern w:val="0"/>
          <w:sz w:val="22"/>
          <w:szCs w:val="22"/>
          <w:lang w:val="en-US" w:eastAsia="zh-CN" w:bidi="ar"/>
        </w:rPr>
        <w:t xml:space="preserve">2019 年 </w:t>
      </w:r>
    </w:p>
    <w:p>
      <w:pPr>
        <w:keepNext w:val="0"/>
        <w:keepLines w:val="0"/>
        <w:widowControl/>
        <w:suppressLineNumbers w:val="0"/>
        <w:jc w:val="left"/>
      </w:pPr>
    </w:p>
    <w:p>
      <w:pPr>
        <w:keepNext w:val="0"/>
        <w:keepLines w:val="0"/>
        <w:widowControl/>
        <w:suppressLineNumbers w:val="0"/>
        <w:jc w:val="left"/>
        <w:rPr>
          <w:rFonts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ascii="微软雅黑" w:hAnsi="微软雅黑" w:eastAsia="微软雅黑" w:cs="微软雅黑"/>
          <w:color w:val="000000"/>
          <w:kern w:val="0"/>
          <w:sz w:val="24"/>
          <w:szCs w:val="24"/>
          <w:lang w:val="en-US" w:eastAsia="zh-CN" w:bidi="ar"/>
        </w:rPr>
      </w:pPr>
    </w:p>
    <w:p>
      <w:pPr>
        <w:keepNext w:val="0"/>
        <w:keepLines w:val="0"/>
        <w:widowControl/>
        <w:suppressLineNumbers w:val="0"/>
        <w:jc w:val="left"/>
      </w:pPr>
      <w:r>
        <w:rPr>
          <w:rFonts w:ascii="微软雅黑" w:hAnsi="微软雅黑" w:eastAsia="微软雅黑" w:cs="微软雅黑"/>
          <w:color w:val="000000"/>
          <w:kern w:val="0"/>
          <w:sz w:val="24"/>
          <w:szCs w:val="24"/>
          <w:lang w:val="en-US" w:eastAsia="zh-CN" w:bidi="ar"/>
        </w:rPr>
        <w:t xml:space="preserve">2、 根据嘉寓股份公司最近一年年报中的“经营情况讨论与分析”章节，分析 </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 xml:space="preserve">如下内容：公司的收入变动是否异常？如异常，查找其原因？分析收入、成 </w:t>
      </w: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本、毛利率、根据分析结果总结公司经营的优势和劣势。（100 分）</w:t>
      </w:r>
    </w:p>
    <w:p>
      <w:pPr>
        <w:keepNext w:val="0"/>
        <w:keepLines w:val="0"/>
        <w:widowControl/>
        <w:numPr>
          <w:ilvl w:val="0"/>
          <w:numId w:val="5"/>
        </w:numPr>
        <w:suppressLineNumbers w:val="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产品分析</w:t>
      </w:r>
    </w:p>
    <w:p>
      <w:pPr>
        <w:keepNext w:val="0"/>
        <w:keepLines w:val="0"/>
        <w:widowControl/>
        <w:numPr>
          <w:ilvl w:val="0"/>
          <w:numId w:val="0"/>
        </w:numPr>
        <w:suppressLineNumbers w:val="0"/>
        <w:jc w:val="both"/>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登录企业官网，查看嘉寓产品 </w:t>
      </w:r>
      <w:r>
        <w:rPr>
          <w:rFonts w:hint="eastAsia" w:ascii="宋体" w:hAnsi="宋体" w:eastAsia="宋体" w:cs="宋体"/>
          <w:color w:val="0000FF"/>
          <w:kern w:val="0"/>
          <w:sz w:val="24"/>
          <w:szCs w:val="24"/>
          <w:lang w:val="en-US" w:eastAsia="zh-CN" w:bidi="ar"/>
        </w:rPr>
        <w:fldChar w:fldCharType="begin"/>
      </w:r>
      <w:r>
        <w:rPr>
          <w:rFonts w:hint="eastAsia" w:ascii="宋体" w:hAnsi="宋体" w:eastAsia="宋体" w:cs="宋体"/>
          <w:color w:val="0000FF"/>
          <w:kern w:val="0"/>
          <w:sz w:val="24"/>
          <w:szCs w:val="24"/>
          <w:lang w:val="en-US" w:eastAsia="zh-CN" w:bidi="ar"/>
        </w:rPr>
        <w:instrText xml:space="preserve"> HYPERLINK "http://www.jayugroup.com/" </w:instrText>
      </w:r>
      <w:r>
        <w:rPr>
          <w:rFonts w:hint="eastAsia" w:ascii="宋体" w:hAnsi="宋体" w:eastAsia="宋体" w:cs="宋体"/>
          <w:color w:val="0000FF"/>
          <w:kern w:val="0"/>
          <w:sz w:val="24"/>
          <w:szCs w:val="24"/>
          <w:lang w:val="en-US" w:eastAsia="zh-CN" w:bidi="ar"/>
        </w:rPr>
        <w:fldChar w:fldCharType="separate"/>
      </w:r>
      <w:r>
        <w:rPr>
          <w:rStyle w:val="4"/>
          <w:rFonts w:hint="eastAsia" w:ascii="宋体" w:hAnsi="宋体" w:eastAsia="宋体" w:cs="宋体"/>
          <w:color w:val="0000FF"/>
          <w:kern w:val="0"/>
          <w:sz w:val="24"/>
          <w:szCs w:val="24"/>
          <w:lang w:val="en-US" w:eastAsia="zh-CN" w:bidi="ar"/>
        </w:rPr>
        <w:t>http://www.jayugroup.com/</w:t>
      </w:r>
      <w:r>
        <w:rPr>
          <w:rFonts w:hint="eastAsia" w:ascii="宋体" w:hAnsi="宋体" w:eastAsia="宋体" w:cs="宋体"/>
          <w:color w:val="0000FF"/>
          <w:kern w:val="0"/>
          <w:sz w:val="24"/>
          <w:szCs w:val="24"/>
          <w:lang w:val="en-US" w:eastAsia="zh-CN" w:bidi="ar"/>
        </w:rPr>
        <w:fldChar w:fldCharType="end"/>
      </w:r>
    </w:p>
    <w:p>
      <w:pPr>
        <w:keepNext w:val="0"/>
        <w:keepLines w:val="0"/>
        <w:widowControl/>
        <w:numPr>
          <w:ilvl w:val="0"/>
          <w:numId w:val="0"/>
        </w:numPr>
        <w:suppressLineNumbers w:val="0"/>
        <w:jc w:val="both"/>
      </w:pPr>
      <w:r>
        <w:drawing>
          <wp:inline distT="0" distB="0" distL="114300" distR="114300">
            <wp:extent cx="5267960" cy="800735"/>
            <wp:effectExtent l="0" t="0" r="2540" b="1206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9"/>
                    <a:stretch>
                      <a:fillRect/>
                    </a:stretch>
                  </pic:blipFill>
                  <pic:spPr>
                    <a:xfrm>
                      <a:off x="0" y="0"/>
                      <a:ext cx="5267960" cy="80073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公司主营业务分为节能门窗幕墙、太阳能光伏和高端智能装备三大体系。</w:t>
      </w:r>
    </w:p>
    <w:p>
      <w:pPr>
        <w:keepNext w:val="0"/>
        <w:keepLines w:val="0"/>
        <w:widowControl/>
        <w:numPr>
          <w:ilvl w:val="0"/>
          <w:numId w:val="0"/>
        </w:numPr>
        <w:suppressLineNumbers w:val="0"/>
        <w:jc w:val="both"/>
        <w:rPr>
          <w:rFonts w:hint="eastAsia" w:ascii="宋体" w:hAnsi="宋体" w:eastAsia="宋体" w:cs="宋体"/>
          <w:color w:val="0000FF"/>
          <w:kern w:val="0"/>
          <w:sz w:val="24"/>
          <w:szCs w:val="24"/>
          <w:lang w:val="en-US" w:eastAsia="zh-CN" w:bidi="ar"/>
        </w:rPr>
      </w:pPr>
    </w:p>
    <w:p>
      <w:pPr>
        <w:keepNext w:val="0"/>
        <w:keepLines w:val="0"/>
        <w:widowControl/>
        <w:numPr>
          <w:ilvl w:val="0"/>
          <w:numId w:val="5"/>
        </w:numPr>
        <w:suppressLineNumbers w:val="0"/>
        <w:ind w:left="0" w:leftChars="0" w:firstLine="0" w:firstLineChars="0"/>
        <w:jc w:val="left"/>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营业收入分析</w:t>
      </w:r>
    </w:p>
    <w:p>
      <w:pPr>
        <w:keepNext w:val="0"/>
        <w:keepLines w:val="0"/>
        <w:widowControl/>
        <w:numPr>
          <w:ilvl w:val="0"/>
          <w:numId w:val="0"/>
        </w:numPr>
        <w:suppressLineNumbers w:val="0"/>
        <w:ind w:leftChars="0"/>
        <w:jc w:val="left"/>
      </w:pPr>
      <w:r>
        <w:drawing>
          <wp:inline distT="0" distB="0" distL="114300" distR="114300">
            <wp:extent cx="5269230" cy="1521460"/>
            <wp:effectExtent l="0" t="0" r="1270" b="254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0"/>
                    <a:stretch>
                      <a:fillRect/>
                    </a:stretch>
                  </pic:blipFill>
                  <pic:spPr>
                    <a:xfrm>
                      <a:off x="0" y="0"/>
                      <a:ext cx="5269230" cy="152146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sz w:val="24"/>
          <w:szCs w:val="24"/>
          <w:lang w:val="en-US" w:eastAsia="zh-CN"/>
        </w:rPr>
      </w:pPr>
      <w:r>
        <w:rPr>
          <w:rFonts w:hint="eastAsia" w:ascii="宋体" w:hAnsi="宋体" w:eastAsia="宋体" w:cs="宋体"/>
          <w:color w:val="0000FF"/>
          <w:kern w:val="0"/>
          <w:sz w:val="24"/>
          <w:szCs w:val="24"/>
          <w:lang w:val="en-US" w:eastAsia="zh-CN" w:bidi="ar"/>
        </w:rPr>
        <w:t xml:space="preserve">“报告期内，实现营业收入34.37亿元，同比下降19.21%”对嘉寓股份的营业收入有了大概了解之后，我们用营业收入规模和增长率两个维度进行分析。 </w:t>
      </w:r>
    </w:p>
    <w:p>
      <w:pPr>
        <w:keepNext w:val="0"/>
        <w:keepLines w:val="0"/>
        <w:widowControl/>
        <w:numPr>
          <w:ilvl w:val="0"/>
          <w:numId w:val="0"/>
        </w:numPr>
        <w:suppressLineNumbers w:val="0"/>
        <w:jc w:val="left"/>
        <w:rPr>
          <w:rFonts w:hint="eastAsia" w:ascii="黑体" w:hAnsi="宋体" w:eastAsia="黑体" w:cs="黑体"/>
          <w:color w:val="000000"/>
          <w:kern w:val="0"/>
          <w:sz w:val="21"/>
          <w:szCs w:val="21"/>
          <w:lang w:val="en-US" w:eastAsia="zh-CN" w:bidi="ar"/>
        </w:rPr>
      </w:pPr>
      <w:r>
        <w:rPr>
          <w:rFonts w:hint="eastAsia" w:ascii="黑体" w:hAnsi="宋体" w:eastAsia="黑体" w:cs="黑体"/>
          <w:color w:val="000000"/>
          <w:kern w:val="0"/>
          <w:sz w:val="21"/>
          <w:szCs w:val="21"/>
          <w:lang w:val="en-US" w:eastAsia="zh-CN" w:bidi="ar"/>
        </w:rPr>
        <w:t>(1)营业收入规模分析</w:t>
      </w:r>
    </w:p>
    <w:p>
      <w:pPr>
        <w:keepNext w:val="0"/>
        <w:keepLines w:val="0"/>
        <w:widowControl/>
        <w:numPr>
          <w:ilvl w:val="0"/>
          <w:numId w:val="0"/>
        </w:numPr>
        <w:suppressLineNumbers w:val="0"/>
        <w:jc w:val="left"/>
      </w:pPr>
      <w:r>
        <w:drawing>
          <wp:inline distT="0" distB="0" distL="114300" distR="114300">
            <wp:extent cx="5271135" cy="1776095"/>
            <wp:effectExtent l="0" t="0" r="12065" b="190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1"/>
                    <a:stretch>
                      <a:fillRect/>
                    </a:stretch>
                  </pic:blipFill>
                  <pic:spPr>
                    <a:xfrm>
                      <a:off x="0" y="0"/>
                      <a:ext cx="5271135" cy="177609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通过行业对比，我们获知嘉寓股份的营业收入规模在行业第十八位，处在行业的中下游。</w:t>
      </w:r>
    </w:p>
    <w:p>
      <w:pPr>
        <w:keepNext w:val="0"/>
        <w:keepLines w:val="0"/>
        <w:widowControl/>
        <w:numPr>
          <w:ilvl w:val="0"/>
          <w:numId w:val="0"/>
        </w:numPr>
        <w:suppressLineNumbers w:val="0"/>
        <w:jc w:val="left"/>
      </w:pPr>
    </w:p>
    <w:p>
      <w:pPr>
        <w:keepNext w:val="0"/>
        <w:keepLines w:val="0"/>
        <w:widowControl/>
        <w:suppressLineNumbers w:val="0"/>
        <w:jc w:val="left"/>
      </w:pPr>
      <w:r>
        <w:rPr>
          <w:rFonts w:ascii="黑体" w:hAnsi="宋体" w:eastAsia="黑体" w:cs="黑体"/>
          <w:color w:val="000000"/>
          <w:kern w:val="0"/>
          <w:sz w:val="21"/>
          <w:szCs w:val="21"/>
          <w:lang w:val="en-US" w:eastAsia="zh-CN" w:bidi="ar"/>
        </w:rPr>
        <w:t>（</w:t>
      </w:r>
      <w:r>
        <w:rPr>
          <w:rFonts w:ascii="TimesNewRomanPSMT" w:hAnsi="TimesNewRomanPSMT" w:eastAsia="TimesNewRomanPSMT" w:cs="TimesNewRomanPSMT"/>
          <w:color w:val="000000"/>
          <w:kern w:val="0"/>
          <w:sz w:val="21"/>
          <w:szCs w:val="21"/>
          <w:lang w:val="en-US" w:eastAsia="zh-CN" w:bidi="ar"/>
        </w:rPr>
        <w:t>2</w:t>
      </w:r>
      <w:r>
        <w:rPr>
          <w:rFonts w:hint="eastAsia" w:ascii="黑体" w:hAnsi="宋体" w:eastAsia="黑体" w:cs="黑体"/>
          <w:color w:val="000000"/>
          <w:kern w:val="0"/>
          <w:sz w:val="21"/>
          <w:szCs w:val="21"/>
          <w:lang w:val="en-US" w:eastAsia="zh-CN" w:bidi="ar"/>
        </w:rPr>
        <w:t>）营业收入增长率分析</w:t>
      </w:r>
    </w:p>
    <w:p>
      <w:pPr>
        <w:keepNext w:val="0"/>
        <w:keepLines w:val="0"/>
        <w:widowControl/>
        <w:numPr>
          <w:ilvl w:val="0"/>
          <w:numId w:val="0"/>
        </w:numPr>
        <w:suppressLineNumbers w:val="0"/>
        <w:jc w:val="left"/>
      </w:pPr>
      <w:r>
        <w:drawing>
          <wp:inline distT="0" distB="0" distL="114300" distR="114300">
            <wp:extent cx="4167505" cy="3729355"/>
            <wp:effectExtent l="0" t="0" r="10795"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4167505" cy="3729355"/>
                    </a:xfrm>
                    <a:prstGeom prst="rect">
                      <a:avLst/>
                    </a:prstGeom>
                    <a:noFill/>
                    <a:ln>
                      <a:noFill/>
                    </a:ln>
                  </pic:spPr>
                </pic:pic>
              </a:graphicData>
            </a:graphic>
          </wp:inline>
        </w:drawing>
      </w:r>
    </w:p>
    <w:p>
      <w:pPr>
        <w:keepNext w:val="0"/>
        <w:keepLines w:val="0"/>
        <w:widowControl/>
        <w:numPr>
          <w:ilvl w:val="0"/>
          <w:numId w:val="0"/>
        </w:numPr>
        <w:suppressLineNumbers w:val="0"/>
        <w:jc w:val="left"/>
      </w:pPr>
      <w:r>
        <w:rPr>
          <w:rFonts w:hint="eastAsia" w:ascii="宋体" w:hAnsi="宋体" w:eastAsia="宋体" w:cs="宋体"/>
          <w:color w:val="000000"/>
          <w:kern w:val="0"/>
          <w:sz w:val="22"/>
          <w:szCs w:val="22"/>
          <w:lang w:val="en-US" w:eastAsia="zh-CN" w:bidi="ar"/>
        </w:rPr>
        <w:t>从以上图表可看出自2016 年至 2018 年收入</w:t>
      </w:r>
      <w:r>
        <w:rPr>
          <w:rFonts w:hint="eastAsia" w:ascii="宋体" w:hAnsi="宋体" w:eastAsia="宋体" w:cs="宋体"/>
          <w:color w:val="0000FF"/>
          <w:kern w:val="0"/>
          <w:sz w:val="22"/>
          <w:szCs w:val="22"/>
          <w:lang w:val="en-US" w:eastAsia="zh-CN" w:bidi="ar"/>
        </w:rPr>
        <w:t>大幅</w:t>
      </w:r>
      <w:r>
        <w:rPr>
          <w:rFonts w:hint="eastAsia" w:ascii="宋体" w:hAnsi="宋体" w:eastAsia="宋体" w:cs="宋体"/>
          <w:color w:val="000000"/>
          <w:kern w:val="0"/>
          <w:sz w:val="22"/>
          <w:szCs w:val="22"/>
          <w:lang w:val="en-US" w:eastAsia="zh-CN" w:bidi="ar"/>
        </w:rPr>
        <w:t>增长，2019 年大</w:t>
      </w:r>
      <w:r>
        <w:rPr>
          <w:rFonts w:hint="eastAsia" w:ascii="宋体" w:hAnsi="宋体" w:eastAsia="宋体" w:cs="宋体"/>
          <w:color w:val="0000FF"/>
          <w:kern w:val="0"/>
          <w:sz w:val="22"/>
          <w:szCs w:val="22"/>
          <w:lang w:val="en-US" w:eastAsia="zh-CN" w:bidi="ar"/>
        </w:rPr>
        <w:t>幅</w:t>
      </w:r>
      <w:r>
        <w:rPr>
          <w:rFonts w:hint="eastAsia" w:ascii="宋体" w:hAnsi="宋体" w:eastAsia="宋体" w:cs="宋体"/>
          <w:color w:val="000000"/>
          <w:kern w:val="0"/>
          <w:sz w:val="22"/>
          <w:szCs w:val="22"/>
          <w:lang w:val="en-US" w:eastAsia="zh-CN" w:bidi="ar"/>
        </w:rPr>
        <w:t xml:space="preserve">下跌19.22%。需要查找异常原因。 </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 xml:space="preserve">接下来我们需要看收入细分看哪一类收入下降导致总收入增长率下降。 </w:t>
      </w:r>
    </w:p>
    <w:p>
      <w:pPr>
        <w:keepNext w:val="0"/>
        <w:keepLines w:val="0"/>
        <w:widowControl/>
        <w:numPr>
          <w:ilvl w:val="0"/>
          <w:numId w:val="0"/>
        </w:numPr>
        <w:suppressLineNumbers w:val="0"/>
        <w:jc w:val="left"/>
      </w:pPr>
      <w:r>
        <w:drawing>
          <wp:inline distT="0" distB="0" distL="114300" distR="114300">
            <wp:extent cx="5268595" cy="839470"/>
            <wp:effectExtent l="0" t="0" r="1905" b="1143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3"/>
                    <a:stretch>
                      <a:fillRect/>
                    </a:stretch>
                  </pic:blipFill>
                  <pic:spPr>
                    <a:xfrm>
                      <a:off x="0" y="0"/>
                      <a:ext cx="5268595" cy="839470"/>
                    </a:xfrm>
                    <a:prstGeom prst="rect">
                      <a:avLst/>
                    </a:prstGeom>
                    <a:noFill/>
                    <a:ln>
                      <a:noFill/>
                    </a:ln>
                  </pic:spPr>
                </pic:pic>
              </a:graphicData>
            </a:graphic>
          </wp:inline>
        </w:drawing>
      </w:r>
    </w:p>
    <w:p>
      <w:pPr>
        <w:keepNext w:val="0"/>
        <w:keepLines w:val="0"/>
        <w:widowControl/>
        <w:numPr>
          <w:ilvl w:val="0"/>
          <w:numId w:val="0"/>
        </w:numPr>
        <w:suppressLineNumbers w:val="0"/>
        <w:jc w:val="left"/>
      </w:pPr>
      <w:r>
        <w:rPr>
          <w:rFonts w:hint="eastAsia"/>
          <w:lang w:val="en-US" w:eastAsia="zh-CN"/>
        </w:rPr>
        <w:t>分行业，分产品，分地区的数据分析如下：</w:t>
      </w:r>
      <w:r>
        <w:drawing>
          <wp:inline distT="0" distB="0" distL="114300" distR="114300">
            <wp:extent cx="5270500" cy="1099820"/>
            <wp:effectExtent l="0" t="0" r="0" b="508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4"/>
                    <a:stretch>
                      <a:fillRect/>
                    </a:stretch>
                  </pic:blipFill>
                  <pic:spPr>
                    <a:xfrm>
                      <a:off x="0" y="0"/>
                      <a:ext cx="5270500" cy="1099820"/>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153660" cy="1549400"/>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153660" cy="1549400"/>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269230" cy="1263015"/>
            <wp:effectExtent l="0" t="0" r="1270" b="698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5269230" cy="126301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US" w:eastAsia="zh-CN"/>
        </w:rPr>
      </w:pPr>
      <w:r>
        <w:rPr>
          <w:rFonts w:hint="eastAsia"/>
          <w:lang w:val="en-US" w:eastAsia="zh-CN"/>
        </w:rPr>
        <w:t>从以上数据看出，建筑装饰类，门窗类，华北地区的同比下降是销售收入下降的最主要因素。</w:t>
      </w:r>
    </w:p>
    <w:p>
      <w:pPr>
        <w:keepNext w:val="0"/>
        <w:keepLines w:val="0"/>
        <w:widowControl/>
        <w:suppressLineNumbers w:val="0"/>
        <w:jc w:val="left"/>
      </w:pPr>
      <w:r>
        <w:rPr>
          <w:rFonts w:hint="eastAsia" w:ascii="黑体" w:hAnsi="宋体" w:eastAsia="黑体" w:cs="黑体"/>
          <w:color w:val="000000"/>
          <w:kern w:val="0"/>
          <w:sz w:val="25"/>
          <w:szCs w:val="25"/>
          <w:lang w:val="en-US" w:eastAsia="zh-CN" w:bidi="ar"/>
        </w:rPr>
        <w:t>(3)</w:t>
      </w:r>
      <w:r>
        <w:rPr>
          <w:rFonts w:ascii="黑体" w:hAnsi="宋体" w:eastAsia="黑体" w:cs="黑体"/>
          <w:color w:val="000000"/>
          <w:kern w:val="0"/>
          <w:sz w:val="25"/>
          <w:szCs w:val="25"/>
          <w:lang w:val="en-US" w:eastAsia="zh-CN" w:bidi="ar"/>
        </w:rPr>
        <w:t xml:space="preserve">、毛利率 </w:t>
      </w:r>
    </w:p>
    <w:p>
      <w:pPr>
        <w:keepNext w:val="0"/>
        <w:keepLines w:val="0"/>
        <w:widowControl/>
        <w:suppressLineNumbers w:val="0"/>
        <w:jc w:val="left"/>
      </w:pPr>
      <w:r>
        <w:rPr>
          <w:rFonts w:ascii="TimesNewRomanPSMT" w:hAnsi="TimesNewRomanPSMT" w:eastAsia="TimesNewRomanPSMT" w:cs="TimesNewRomanPSMT"/>
          <w:color w:val="000000"/>
          <w:kern w:val="0"/>
          <w:sz w:val="21"/>
          <w:szCs w:val="21"/>
          <w:lang w:val="en-US" w:eastAsia="zh-CN" w:bidi="ar"/>
        </w:rPr>
        <w:t>1</w:t>
      </w:r>
      <w:r>
        <w:rPr>
          <w:rFonts w:hint="eastAsia" w:ascii="黑体" w:hAnsi="宋体" w:eastAsia="黑体" w:cs="黑体"/>
          <w:color w:val="000000"/>
          <w:kern w:val="0"/>
          <w:sz w:val="21"/>
          <w:szCs w:val="21"/>
          <w:lang w:val="en-US" w:eastAsia="zh-CN" w:bidi="ar"/>
        </w:rPr>
        <w:t xml:space="preserve">）毛利率排名 </w:t>
      </w:r>
    </w:p>
    <w:p>
      <w:pPr>
        <w:keepNext w:val="0"/>
        <w:keepLines w:val="0"/>
        <w:widowControl/>
        <w:suppressLineNumbers w:val="0"/>
        <w:jc w:val="left"/>
      </w:pPr>
      <w:r>
        <w:rPr>
          <w:rFonts w:hint="eastAsia" w:ascii="宋体" w:hAnsi="宋体" w:eastAsia="宋体" w:cs="宋体"/>
          <w:color w:val="000000"/>
          <w:kern w:val="0"/>
          <w:sz w:val="22"/>
          <w:szCs w:val="22"/>
          <w:lang w:val="en-US" w:eastAsia="zh-CN" w:bidi="ar"/>
        </w:rPr>
        <w:t xml:space="preserve">我们使用同花顺网站中的-行业分析-行业地位功能： </w:t>
      </w:r>
    </w:p>
    <w:p>
      <w:pPr>
        <w:keepNext w:val="0"/>
        <w:keepLines w:val="0"/>
        <w:widowControl/>
        <w:suppressLineNumbers w:val="0"/>
        <w:jc w:val="left"/>
        <w:rPr>
          <w:rFonts w:hint="default" w:ascii="TimesNewRomanPSMT" w:hAnsi="TimesNewRomanPSMT" w:eastAsia="TimesNewRomanPSMT" w:cs="TimesNewRomanPSMT"/>
          <w:color w:val="0563C1"/>
          <w:kern w:val="0"/>
          <w:sz w:val="21"/>
          <w:szCs w:val="21"/>
          <w:lang w:val="en-US" w:eastAsia="zh-CN" w:bidi="ar"/>
        </w:rPr>
      </w:pPr>
      <w:r>
        <w:rPr>
          <w:rFonts w:hint="default" w:ascii="TimesNewRomanPSMT" w:hAnsi="TimesNewRomanPSMT" w:eastAsia="TimesNewRomanPSMT" w:cs="TimesNewRomanPSMT"/>
          <w:color w:val="0563C1"/>
          <w:kern w:val="0"/>
          <w:sz w:val="21"/>
          <w:szCs w:val="21"/>
          <w:lang w:val="en-US" w:eastAsia="zh-CN" w:bidi="ar"/>
        </w:rPr>
        <w:t xml:space="preserve">http://stockpage.10jqka.com.cn/603288/field/#fieldstatus </w:t>
      </w:r>
    </w:p>
    <w:p>
      <w:pPr>
        <w:keepNext w:val="0"/>
        <w:keepLines w:val="0"/>
        <w:widowControl/>
        <w:numPr>
          <w:ilvl w:val="0"/>
          <w:numId w:val="0"/>
        </w:numPr>
        <w:suppressLineNumbers w:val="0"/>
        <w:jc w:val="left"/>
      </w:pPr>
      <w:r>
        <w:drawing>
          <wp:inline distT="0" distB="0" distL="114300" distR="114300">
            <wp:extent cx="5273040" cy="1780540"/>
            <wp:effectExtent l="0" t="0" r="1016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7"/>
                    <a:stretch>
                      <a:fillRect/>
                    </a:stretch>
                  </pic:blipFill>
                  <pic:spPr>
                    <a:xfrm>
                      <a:off x="0" y="0"/>
                      <a:ext cx="5273040" cy="178054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eastAsiaTheme="minorEastAsia"/>
          <w:lang w:val="en-US" w:eastAsia="zh-CN"/>
        </w:rPr>
      </w:pPr>
      <w:r>
        <w:rPr>
          <w:rFonts w:hint="eastAsia"/>
          <w:lang w:val="en-US" w:eastAsia="zh-CN"/>
        </w:rPr>
        <w:t>从上图可以看出，嘉寓股份排名在第22，处于行业的下游。</w:t>
      </w:r>
    </w:p>
    <w:p>
      <w:pPr>
        <w:keepNext w:val="0"/>
        <w:keepLines w:val="0"/>
        <w:widowControl/>
        <w:numPr>
          <w:ilvl w:val="0"/>
          <w:numId w:val="0"/>
        </w:numPr>
        <w:suppressLineNumbers w:val="0"/>
        <w:jc w:val="left"/>
      </w:pPr>
      <w:r>
        <w:drawing>
          <wp:inline distT="0" distB="0" distL="114300" distR="114300">
            <wp:extent cx="5267960" cy="3331845"/>
            <wp:effectExtent l="0" t="0" r="2540"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8"/>
                    <a:stretch>
                      <a:fillRect/>
                    </a:stretch>
                  </pic:blipFill>
                  <pic:spPr>
                    <a:xfrm>
                      <a:off x="0" y="0"/>
                      <a:ext cx="5267960" cy="333184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FF"/>
          <w:kern w:val="0"/>
          <w:sz w:val="24"/>
          <w:szCs w:val="24"/>
          <w:lang w:val="en-US" w:eastAsia="zh-CN" w:bidi="ar"/>
        </w:rPr>
      </w:pPr>
      <w:r>
        <w:rPr>
          <w:rFonts w:hint="eastAsia"/>
          <w:lang w:val="en-US" w:eastAsia="zh-CN"/>
        </w:rPr>
        <w:t>从上图可以看出，毛利率约在15%以下，离好公司的毛利率标准40%还有一定的差距，公司整体盈利能力弱，而且在同行业毛利率里也属于下游水平，竞争力比较弱。</w:t>
      </w:r>
    </w:p>
    <w:p>
      <w:pPr>
        <w:keepNext w:val="0"/>
        <w:keepLines w:val="0"/>
        <w:widowControl/>
        <w:numPr>
          <w:ilvl w:val="0"/>
          <w:numId w:val="0"/>
        </w:numPr>
        <w:suppressLineNumbers w:val="0"/>
        <w:jc w:val="left"/>
        <w:rPr>
          <w:rFonts w:hint="default"/>
          <w:lang w:val="en-US" w:eastAsia="zh-CN"/>
        </w:rPr>
      </w:pPr>
    </w:p>
    <w:p>
      <w:pPr>
        <w:keepNext w:val="0"/>
        <w:keepLines w:val="0"/>
        <w:widowControl/>
        <w:suppressLineNumbers w:val="0"/>
        <w:jc w:val="left"/>
      </w:pPr>
      <w:r>
        <w:rPr>
          <w:rFonts w:ascii="TimesNewRomanPSMT" w:hAnsi="TimesNewRomanPSMT" w:eastAsia="TimesNewRomanPSMT" w:cs="TimesNewRomanPSMT"/>
          <w:color w:val="000000"/>
          <w:kern w:val="0"/>
          <w:sz w:val="21"/>
          <w:szCs w:val="21"/>
          <w:lang w:val="en-US" w:eastAsia="zh-CN" w:bidi="ar"/>
        </w:rPr>
        <w:t>2</w:t>
      </w:r>
      <w:r>
        <w:rPr>
          <w:rFonts w:hint="eastAsia" w:ascii="黑体" w:hAnsi="宋体" w:eastAsia="黑体" w:cs="黑体"/>
          <w:color w:val="000000"/>
          <w:kern w:val="0"/>
          <w:sz w:val="21"/>
          <w:szCs w:val="21"/>
          <w:lang w:val="en-US" w:eastAsia="zh-CN" w:bidi="ar"/>
        </w:rPr>
        <w:t xml:space="preserve">）毛利率变动 </w:t>
      </w:r>
    </w:p>
    <w:p>
      <w:pPr>
        <w:keepNext w:val="0"/>
        <w:keepLines w:val="0"/>
        <w:widowControl/>
        <w:suppressLineNumbers w:val="0"/>
        <w:jc w:val="left"/>
        <w:rPr>
          <w:rFonts w:hint="default"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t>从上表可以看出，毛利率略有增长是由于收入减少的同时成本减少，且减少幅度稍大导致的。</w:t>
      </w:r>
    </w:p>
    <w:p>
      <w:pPr>
        <w:keepNext w:val="0"/>
        <w:keepLines w:val="0"/>
        <w:widowControl/>
        <w:suppressLineNumbers w:val="0"/>
        <w:jc w:val="left"/>
      </w:pPr>
      <w:r>
        <w:rPr>
          <w:rFonts w:ascii="黑体" w:hAnsi="宋体" w:eastAsia="黑体" w:cs="黑体"/>
          <w:color w:val="000000"/>
          <w:kern w:val="0"/>
          <w:sz w:val="25"/>
          <w:szCs w:val="25"/>
          <w:lang w:val="en-US" w:eastAsia="zh-CN" w:bidi="ar"/>
        </w:rPr>
        <w:t xml:space="preserve">四、经营优势劣势分析：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优势：</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、品牌优势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、技术和产品优势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3、人力资源优势</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4、项目管理优势  </w:t>
      </w:r>
    </w:p>
    <w:p>
      <w:pPr>
        <w:rPr>
          <w:rFonts w:hint="eastAsia"/>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劣势：</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1、是房地产的上游行业，受房地产调控的影响大</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2、有一定的周期性，宏观经济的周期性波动和国家政策的周期性调整间接影响整个行业的市场需求。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3、过于依赖主营的门窗幕墙业务，利润率低，嘉寓股份在行业内处于中下游水平。</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ascii="宋体" w:hAnsi="宋体" w:eastAsia="宋体" w:cs="宋体"/>
          <w:color w:val="000000"/>
          <w:kern w:val="0"/>
          <w:sz w:val="22"/>
          <w:szCs w:val="22"/>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4"/>
          <w:szCs w:val="24"/>
          <w:lang w:val="en-US" w:eastAsia="zh-CN" w:bidi="ar"/>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YaHei-Bold">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imesNewRomanPSMT">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A761D8"/>
    <w:multiLevelType w:val="singleLevel"/>
    <w:tmpl w:val="D7A761D8"/>
    <w:lvl w:ilvl="0" w:tentative="0">
      <w:start w:val="2"/>
      <w:numFmt w:val="decimal"/>
      <w:suff w:val="nothing"/>
      <w:lvlText w:val="%1、"/>
      <w:lvlJc w:val="left"/>
    </w:lvl>
  </w:abstractNum>
  <w:abstractNum w:abstractNumId="1">
    <w:nsid w:val="1138AF72"/>
    <w:multiLevelType w:val="singleLevel"/>
    <w:tmpl w:val="1138AF72"/>
    <w:lvl w:ilvl="0" w:tentative="0">
      <w:start w:val="2"/>
      <w:numFmt w:val="decimal"/>
      <w:suff w:val="nothing"/>
      <w:lvlText w:val="%1、"/>
      <w:lvlJc w:val="left"/>
    </w:lvl>
  </w:abstractNum>
  <w:abstractNum w:abstractNumId="2">
    <w:nsid w:val="34C6E6E6"/>
    <w:multiLevelType w:val="singleLevel"/>
    <w:tmpl w:val="34C6E6E6"/>
    <w:lvl w:ilvl="0" w:tentative="0">
      <w:start w:val="1"/>
      <w:numFmt w:val="chineseCounting"/>
      <w:suff w:val="nothing"/>
      <w:lvlText w:val="%1、"/>
      <w:lvlJc w:val="left"/>
      <w:rPr>
        <w:rFonts w:hint="eastAsia"/>
      </w:rPr>
    </w:lvl>
  </w:abstractNum>
  <w:abstractNum w:abstractNumId="3">
    <w:nsid w:val="45FA3E42"/>
    <w:multiLevelType w:val="singleLevel"/>
    <w:tmpl w:val="45FA3E42"/>
    <w:lvl w:ilvl="0" w:tentative="0">
      <w:start w:val="1"/>
      <w:numFmt w:val="chineseCounting"/>
      <w:suff w:val="nothing"/>
      <w:lvlText w:val="%1、"/>
      <w:lvlJc w:val="left"/>
      <w:rPr>
        <w:rFonts w:hint="eastAsia"/>
      </w:rPr>
    </w:lvl>
  </w:abstractNum>
  <w:abstractNum w:abstractNumId="4">
    <w:nsid w:val="6C3FD153"/>
    <w:multiLevelType w:val="singleLevel"/>
    <w:tmpl w:val="6C3FD153"/>
    <w:lvl w:ilvl="0" w:tentative="0">
      <w:start w:val="1"/>
      <w:numFmt w:val="decimal"/>
      <w:lvlText w:val="%1."/>
      <w:lvlJc w:val="left"/>
      <w:pPr>
        <w:tabs>
          <w:tab w:val="left" w:pos="312"/>
        </w:tabs>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E53094"/>
    <w:rsid w:val="039134AE"/>
    <w:rsid w:val="0AE53094"/>
    <w:rsid w:val="16432D21"/>
    <w:rsid w:val="17520322"/>
    <w:rsid w:val="1AC82956"/>
    <w:rsid w:val="48C8374B"/>
    <w:rsid w:val="55FE2E56"/>
    <w:rsid w:val="674D5604"/>
    <w:rsid w:val="6FA32258"/>
    <w:rsid w:val="74994F63"/>
    <w:rsid w:val="786F4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2020-11-19T14:58:00Z</dcterms:created>
  <dc:creator>海蓝蓝</dc:creator>
  <cp:lastModifiedBy>走向心灵的家园</cp:lastModifiedBy>
  <dcterms:modified xsi:type="dcterms:W3CDTF">2020-11-25T11:06:52Z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