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Style w:val="8"/>
          <w:rFonts w:ascii="黑体" w:hAnsi="黑体" w:eastAsia="黑体"/>
          <w:color w:val="000000" w:themeColor="text1"/>
          <w:sz w:val="44"/>
          <w:szCs w:val="44"/>
          <w14:textFill>
            <w14:solidFill>
              <w14:schemeClr w14:val="tx1"/>
            </w14:solidFill>
          </w14:textFill>
        </w:rPr>
      </w:pPr>
      <w:r>
        <w:rPr>
          <w:rStyle w:val="8"/>
          <w:rFonts w:ascii="黑体" w:hAnsi="黑体" w:eastAsia="黑体"/>
          <w:color w:val="000000" w:themeColor="text1"/>
          <w:sz w:val="44"/>
          <w:szCs w:val="44"/>
          <w14:textFill>
            <w14:solidFill>
              <w14:schemeClr w14:val="tx1"/>
            </w14:solidFill>
          </w14:textFill>
        </w:rPr>
        <w:t>第12周作业</w:t>
      </w:r>
      <w:r>
        <w:rPr>
          <w:rStyle w:val="8"/>
          <w:rFonts w:hint="eastAsia" w:ascii="黑体" w:hAnsi="黑体" w:eastAsia="黑体"/>
          <w:color w:val="000000" w:themeColor="text1"/>
          <w:sz w:val="44"/>
          <w:szCs w:val="44"/>
          <w14:textFill>
            <w14:solidFill>
              <w14:schemeClr w14:val="tx1"/>
            </w14:solidFill>
          </w14:textFill>
        </w:rPr>
        <w:t>文字分析版</w:t>
      </w:r>
    </w:p>
    <w:p>
      <w:pPr>
        <w:spacing w:line="500" w:lineRule="exact"/>
        <w:ind w:firstLine="140"/>
        <w:rPr>
          <w:rFonts w:hint="eastAsia" w:ascii="宋体" w:hAnsi="宋体" w:eastAsia="宋体"/>
          <w:color w:val="000000" w:themeColor="text1"/>
          <w:sz w:val="28"/>
          <w:szCs w:val="28"/>
          <w14:textFill>
            <w14:solidFill>
              <w14:schemeClr w14:val="tx1"/>
            </w14:solidFill>
          </w14:textFill>
        </w:rPr>
      </w:pPr>
    </w:p>
    <w:p>
      <w:pPr>
        <w:spacing w:line="500" w:lineRule="exact"/>
        <w:ind w:firstLine="140"/>
        <w:rPr>
          <w:rStyle w:val="9"/>
          <w:rFonts w:ascii="宋体" w:hAnsi="宋体" w:eastAsia="宋体"/>
          <w:color w:val="000000" w:themeColor="text1"/>
          <w:sz w:val="28"/>
          <w:szCs w:val="28"/>
          <w14:textFill>
            <w14:solidFill>
              <w14:schemeClr w14:val="tx1"/>
            </w14:solidFill>
          </w14:textFill>
        </w:rPr>
      </w:pPr>
      <w:bookmarkStart w:id="0" w:name="_GoBack"/>
      <w:bookmarkEnd w:id="0"/>
      <w:r>
        <w:rPr>
          <w:rFonts w:hint="eastAsia" w:ascii="宋体" w:hAnsi="宋体" w:eastAsia="宋体"/>
          <w:color w:val="000000" w:themeColor="text1"/>
          <w:sz w:val="28"/>
          <w:szCs w:val="28"/>
          <w14:textFill>
            <w14:solidFill>
              <w14:schemeClr w14:val="tx1"/>
            </w14:solidFill>
          </w14:textFill>
        </w:rPr>
        <w:t>1.</w:t>
      </w:r>
      <w:r>
        <w:rPr>
          <w:rStyle w:val="9"/>
          <w:rFonts w:ascii="宋体" w:hAnsi="宋体" w:eastAsia="宋体"/>
          <w:color w:val="000000" w:themeColor="text1"/>
          <w:sz w:val="28"/>
          <w:szCs w:val="28"/>
          <w14:textFill>
            <w14:solidFill>
              <w14:schemeClr w14:val="tx1"/>
            </w14:solidFill>
          </w14:textFill>
        </w:rPr>
        <w:t>根据洋河股份公司最近一年年报中的“经营情况讨论与分析”章节， 分析如下内容： 公司的收入变动是否异常？如异常， 查找其原因？ 分析收入、成本、毛利率、 根据分析结果总结公司经营的优势和劣势。 （100 分）</w:t>
      </w:r>
    </w:p>
    <w:p>
      <w:pPr>
        <w:spacing w:line="500" w:lineRule="exact"/>
        <w:ind w:firstLine="420"/>
        <w:rPr>
          <w:rStyle w:val="9"/>
          <w:rFonts w:ascii="楷体" w:hAnsi="楷体" w:eastAsia="楷体"/>
          <w:color w:val="000000" w:themeColor="text1"/>
          <w:sz w:val="28"/>
          <w:szCs w:val="28"/>
          <w14:textFill>
            <w14:solidFill>
              <w14:schemeClr w14:val="tx1"/>
            </w14:solidFill>
          </w14:textFill>
        </w:rPr>
      </w:pPr>
      <w:r>
        <w:rPr>
          <w:rStyle w:val="9"/>
          <w:rFonts w:hint="eastAsia" w:ascii="楷体" w:hAnsi="楷体" w:eastAsia="楷体"/>
          <w:color w:val="000000" w:themeColor="text1"/>
          <w:sz w:val="28"/>
          <w:szCs w:val="28"/>
          <w14:textFill>
            <w14:solidFill>
              <w14:schemeClr w14:val="tx1"/>
            </w14:solidFill>
          </w14:textFill>
        </w:rPr>
        <w:t>答：根据洋河股份2</w:t>
      </w:r>
      <w:r>
        <w:rPr>
          <w:rStyle w:val="9"/>
          <w:rFonts w:ascii="楷体" w:hAnsi="楷体" w:eastAsia="楷体"/>
          <w:color w:val="000000" w:themeColor="text1"/>
          <w:sz w:val="28"/>
          <w:szCs w:val="28"/>
          <w14:textFill>
            <w14:solidFill>
              <w14:schemeClr w14:val="tx1"/>
            </w14:solidFill>
          </w14:textFill>
        </w:rPr>
        <w:t>019</w:t>
      </w:r>
      <w:r>
        <w:rPr>
          <w:rStyle w:val="9"/>
          <w:rFonts w:hint="eastAsia" w:ascii="楷体" w:hAnsi="楷体" w:eastAsia="楷体"/>
          <w:color w:val="000000" w:themeColor="text1"/>
          <w:sz w:val="28"/>
          <w:szCs w:val="28"/>
          <w14:textFill>
            <w14:solidFill>
              <w14:schemeClr w14:val="tx1"/>
            </w14:solidFill>
          </w14:textFill>
        </w:rPr>
        <w:t>年度报告可知，会计师事务所审计类型为标准无保留意见，</w:t>
      </w:r>
      <w:r>
        <w:rPr>
          <w:rFonts w:ascii="楷体" w:hAnsi="楷体" w:eastAsia="楷体"/>
          <w:color w:val="000000" w:themeColor="text1"/>
          <w:sz w:val="28"/>
          <w:szCs w:val="28"/>
          <w14:textFill>
            <w14:solidFill>
              <w14:schemeClr w14:val="tx1"/>
            </w14:solidFill>
          </w14:textFill>
        </w:rPr>
        <w:t>总体业绩继续保持行业前三</w:t>
      </w:r>
      <w:r>
        <w:rPr>
          <w:rFonts w:hint="eastAsia" w:ascii="楷体" w:hAnsi="楷体" w:eastAsia="楷体"/>
          <w:color w:val="000000" w:themeColor="text1"/>
          <w:sz w:val="28"/>
          <w:szCs w:val="28"/>
          <w14:textFill>
            <w14:solidFill>
              <w14:schemeClr w14:val="tx1"/>
            </w14:solidFill>
          </w14:textFill>
        </w:rPr>
        <w:t>，属于中档酒龙头</w:t>
      </w:r>
      <w:r>
        <w:rPr>
          <w:rStyle w:val="9"/>
          <w:rFonts w:hint="eastAsia" w:ascii="楷体" w:hAnsi="楷体" w:eastAsia="楷体"/>
          <w:color w:val="000000" w:themeColor="text1"/>
          <w:sz w:val="28"/>
          <w:szCs w:val="28"/>
          <w14:textFill>
            <w14:solidFill>
              <w14:schemeClr w14:val="tx1"/>
            </w14:solidFill>
          </w14:textFill>
        </w:rPr>
        <w:t>。</w:t>
      </w:r>
    </w:p>
    <w:p>
      <w:pPr>
        <w:spacing w:line="500" w:lineRule="exact"/>
        <w:ind w:firstLine="420"/>
        <w:rPr>
          <w:rStyle w:val="9"/>
          <w:rFonts w:ascii="楷体" w:hAnsi="楷体" w:eastAsia="楷体"/>
          <w:color w:val="000000" w:themeColor="text1"/>
          <w:sz w:val="28"/>
          <w:szCs w:val="28"/>
          <w14:textFill>
            <w14:solidFill>
              <w14:schemeClr w14:val="tx1"/>
            </w14:solidFill>
          </w14:textFill>
        </w:rPr>
      </w:pPr>
      <w:r>
        <w:rPr>
          <w:rFonts w:ascii="楷体" w:hAnsi="楷体" w:eastAsia="楷体" w:cs="Times New Roman"/>
          <w:color w:val="000000" w:themeColor="text1"/>
          <w:sz w:val="28"/>
          <w:szCs w:val="28"/>
          <w14:textFill>
            <w14:solidFill>
              <w14:schemeClr w14:val="tx1"/>
            </w14:solidFill>
          </w14:textFill>
        </w:rPr>
        <w:t>2019</w:t>
      </w:r>
      <w:r>
        <w:rPr>
          <w:rFonts w:ascii="楷体" w:hAnsi="楷体" w:eastAsia="楷体"/>
          <w:color w:val="000000" w:themeColor="text1"/>
          <w:sz w:val="28"/>
          <w:szCs w:val="28"/>
          <w14:textFill>
            <w14:solidFill>
              <w14:schemeClr w14:val="tx1"/>
            </w14:solidFill>
          </w14:textFill>
        </w:rPr>
        <w:t>年，</w:t>
      </w:r>
      <w:r>
        <w:rPr>
          <w:rFonts w:hint="eastAsia" w:ascii="楷体" w:hAnsi="楷体" w:eastAsia="楷体"/>
          <w:color w:val="000000" w:themeColor="text1"/>
          <w:sz w:val="28"/>
          <w:szCs w:val="28"/>
          <w14:textFill>
            <w14:solidFill>
              <w14:schemeClr w14:val="tx1"/>
            </w14:solidFill>
          </w14:textFill>
        </w:rPr>
        <w:t>该</w:t>
      </w:r>
      <w:r>
        <w:rPr>
          <w:rFonts w:ascii="楷体" w:hAnsi="楷体" w:eastAsia="楷体"/>
          <w:color w:val="000000" w:themeColor="text1"/>
          <w:sz w:val="28"/>
          <w:szCs w:val="28"/>
          <w14:textFill>
            <w14:solidFill>
              <w14:schemeClr w14:val="tx1"/>
            </w14:solidFill>
          </w14:textFill>
        </w:rPr>
        <w:t>公司实现营业收入</w:t>
      </w:r>
      <w:r>
        <w:rPr>
          <w:rFonts w:ascii="楷体" w:hAnsi="楷体" w:eastAsia="楷体" w:cs="Times New Roman"/>
          <w:color w:val="000000" w:themeColor="text1"/>
          <w:sz w:val="28"/>
          <w:szCs w:val="28"/>
          <w14:textFill>
            <w14:solidFill>
              <w14:schemeClr w14:val="tx1"/>
            </w14:solidFill>
          </w14:textFill>
        </w:rPr>
        <w:t>231.26</w:t>
      </w:r>
      <w:r>
        <w:rPr>
          <w:rFonts w:ascii="楷体" w:hAnsi="楷体" w:eastAsia="楷体"/>
          <w:color w:val="000000" w:themeColor="text1"/>
          <w:sz w:val="28"/>
          <w:szCs w:val="28"/>
          <w14:textFill>
            <w14:solidFill>
              <w14:schemeClr w14:val="tx1"/>
            </w14:solidFill>
          </w14:textFill>
        </w:rPr>
        <w:t>亿元</w:t>
      </w:r>
      <w:r>
        <w:rPr>
          <w:rFonts w:hint="eastAsia" w:ascii="楷体" w:hAnsi="楷体" w:eastAsia="楷体"/>
          <w:color w:val="000000" w:themeColor="text1"/>
          <w:sz w:val="28"/>
          <w:szCs w:val="28"/>
          <w14:textFill>
            <w14:solidFill>
              <w14:schemeClr w14:val="tx1"/>
            </w14:solidFill>
          </w14:textFill>
        </w:rPr>
        <w:t>，</w:t>
      </w:r>
      <w:r>
        <w:rPr>
          <w:rFonts w:ascii="楷体" w:hAnsi="楷体" w:eastAsia="楷体"/>
          <w:color w:val="000000" w:themeColor="text1"/>
          <w:sz w:val="28"/>
          <w:szCs w:val="28"/>
          <w14:textFill>
            <w14:solidFill>
              <w14:schemeClr w14:val="tx1"/>
            </w14:solidFill>
          </w14:textFill>
        </w:rPr>
        <w:t>归属于上市公司股东的净利润</w:t>
      </w:r>
      <w:r>
        <w:rPr>
          <w:rFonts w:ascii="楷体" w:hAnsi="楷体" w:eastAsia="楷体" w:cs="Times New Roman"/>
          <w:color w:val="000000" w:themeColor="text1"/>
          <w:sz w:val="28"/>
          <w:szCs w:val="28"/>
          <w14:textFill>
            <w14:solidFill>
              <w14:schemeClr w14:val="tx1"/>
            </w14:solidFill>
          </w14:textFill>
        </w:rPr>
        <w:t>73.83</w:t>
      </w:r>
      <w:r>
        <w:rPr>
          <w:rFonts w:ascii="楷体" w:hAnsi="楷体" w:eastAsia="楷体"/>
          <w:color w:val="000000" w:themeColor="text1"/>
          <w:sz w:val="28"/>
          <w:szCs w:val="28"/>
          <w14:textFill>
            <w14:solidFill>
              <w14:schemeClr w14:val="tx1"/>
            </w14:solidFill>
          </w14:textFill>
        </w:rPr>
        <w:t>亿元，</w:t>
      </w:r>
      <w:r>
        <w:rPr>
          <w:rStyle w:val="9"/>
          <w:rFonts w:hint="eastAsia" w:ascii="楷体" w:hAnsi="楷体" w:eastAsia="楷体"/>
          <w:color w:val="000000" w:themeColor="text1"/>
          <w:sz w:val="28"/>
          <w:szCs w:val="28"/>
          <w14:textFill>
            <w14:solidFill>
              <w14:schemeClr w14:val="tx1"/>
            </w14:solidFill>
          </w14:textFill>
        </w:rPr>
        <w:t>在报告期内总营业收入较上年度营业收入241.60亿元下滑4</w:t>
      </w:r>
      <w:r>
        <w:rPr>
          <w:rStyle w:val="9"/>
          <w:rFonts w:ascii="楷体" w:hAnsi="楷体" w:eastAsia="楷体"/>
          <w:color w:val="000000" w:themeColor="text1"/>
          <w:sz w:val="28"/>
          <w:szCs w:val="28"/>
          <w14:textFill>
            <w14:solidFill>
              <w14:schemeClr w14:val="tx1"/>
            </w14:solidFill>
          </w14:textFill>
        </w:rPr>
        <w:t>.28%</w:t>
      </w:r>
      <w:r>
        <w:rPr>
          <w:rStyle w:val="9"/>
          <w:rFonts w:hint="eastAsia" w:ascii="楷体" w:hAnsi="楷体" w:eastAsia="楷体"/>
          <w:color w:val="000000" w:themeColor="text1"/>
          <w:sz w:val="28"/>
          <w:szCs w:val="28"/>
          <w14:textFill>
            <w14:solidFill>
              <w14:schemeClr w14:val="tx1"/>
            </w14:solidFill>
          </w14:textFill>
        </w:rPr>
        <w:t>，属于异常现象，下滑原因我们可在年报中找到。</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通过查询年报可知：洋河股份的白酒同比上年度下滑4个点，红酒下滑2</w:t>
      </w:r>
      <w:r>
        <w:rPr>
          <w:rFonts w:ascii="楷体" w:hAnsi="楷体" w:eastAsia="楷体"/>
          <w:color w:val="000000" w:themeColor="text1"/>
          <w:sz w:val="28"/>
          <w:szCs w:val="28"/>
          <w14:textFill>
            <w14:solidFill>
              <w14:schemeClr w14:val="tx1"/>
            </w14:solidFill>
          </w14:textFill>
        </w:rPr>
        <w:t>9.1%,</w:t>
      </w:r>
      <w:r>
        <w:rPr>
          <w:rFonts w:hint="eastAsia" w:ascii="楷体" w:hAnsi="楷体" w:eastAsia="楷体"/>
          <w:color w:val="000000" w:themeColor="text1"/>
          <w:sz w:val="28"/>
          <w:szCs w:val="28"/>
          <w14:textFill>
            <w14:solidFill>
              <w14:schemeClr w14:val="tx1"/>
            </w14:solidFill>
          </w14:textFill>
        </w:rPr>
        <w:t>下滑的原因是上个报告期内期末库存量较大，导致本期生产量和销售量下降。</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根据毛利率，可知洋河股份的毛利率是非常高的，是同行业的第九名。洋河股份毛利率减少是由于收入减少的同时成本增加，成本增加的原因是直接人工同比增幅51.33%，属于本期公司员工工资提高，致使直接人工相应增加所致。消费税及附加同比降幅100%，主要系本期公司产品生产没有委托加工方式计提消费税所致。</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通过收入、成本、毛利率三方面分析，可以看出洋河股份的核心优势为：</w:t>
      </w:r>
      <w:r>
        <w:rPr>
          <w:rFonts w:hint="eastAsia" w:ascii="楷体" w:hAnsi="楷体" w:eastAsia="楷体"/>
          <w:b/>
          <w:color w:val="000000" w:themeColor="text1"/>
          <w:sz w:val="28"/>
          <w:szCs w:val="28"/>
          <w14:textFill>
            <w14:solidFill>
              <w14:schemeClr w14:val="tx1"/>
            </w14:solidFill>
          </w14:textFill>
        </w:rPr>
        <w:t>（1）自然资源优势。</w:t>
      </w:r>
      <w:r>
        <w:rPr>
          <w:rFonts w:hint="eastAsia" w:ascii="楷体" w:hAnsi="楷体" w:eastAsia="楷体"/>
          <w:color w:val="000000" w:themeColor="text1"/>
          <w:sz w:val="28"/>
          <w:szCs w:val="28"/>
          <w14:textFill>
            <w14:solidFill>
              <w14:schemeClr w14:val="tx1"/>
            </w14:solidFill>
          </w14:textFill>
        </w:rPr>
        <w:t>坐拥“三河两湖一湿地”，是江苏省唯一一个没有酸雨的天然氧吧，悠久的历史和得天独厚的生态环境，是酿酒的最好风水。</w:t>
      </w:r>
      <w:r>
        <w:rPr>
          <w:rFonts w:hint="eastAsia" w:ascii="楷体" w:hAnsi="楷体" w:eastAsia="楷体"/>
          <w:b/>
          <w:color w:val="000000" w:themeColor="text1"/>
          <w:sz w:val="28"/>
          <w:szCs w:val="28"/>
          <w14:textFill>
            <w14:solidFill>
              <w14:schemeClr w14:val="tx1"/>
            </w14:solidFill>
          </w14:textFill>
        </w:rPr>
        <w:t>（2）品牌发展优势。</w:t>
      </w:r>
      <w:r>
        <w:rPr>
          <w:rFonts w:hint="eastAsia" w:ascii="楷体" w:hAnsi="楷体" w:eastAsia="楷体"/>
          <w:color w:val="000000" w:themeColor="text1"/>
          <w:sz w:val="28"/>
          <w:szCs w:val="28"/>
          <w14:textFill>
            <w14:solidFill>
              <w14:schemeClr w14:val="tx1"/>
            </w14:solidFill>
          </w14:textFill>
        </w:rPr>
        <w:t>洋河酒</w:t>
      </w:r>
      <w:r>
        <w:rPr>
          <w:rFonts w:ascii="楷体" w:hAnsi="楷体" w:eastAsia="楷体"/>
          <w:color w:val="000000" w:themeColor="text1"/>
          <w:sz w:val="28"/>
          <w:szCs w:val="28"/>
          <w14:textFill>
            <w14:solidFill>
              <w14:schemeClr w14:val="tx1"/>
            </w14:solidFill>
          </w14:textFill>
        </w:rPr>
        <w:t>在全国享有较高的品牌知名度和美誉度</w:t>
      </w:r>
      <w:r>
        <w:rPr>
          <w:rFonts w:hint="eastAsia" w:ascii="楷体" w:hAnsi="楷体" w:eastAsia="楷体"/>
          <w:color w:val="000000" w:themeColor="text1"/>
          <w:sz w:val="28"/>
          <w:szCs w:val="28"/>
          <w14:textFill>
            <w14:solidFill>
              <w14:schemeClr w14:val="tx1"/>
            </w14:solidFill>
          </w14:textFill>
        </w:rPr>
        <w:t>，</w:t>
      </w:r>
      <w:r>
        <w:rPr>
          <w:rFonts w:ascii="楷体" w:hAnsi="楷体" w:eastAsia="楷体"/>
          <w:color w:val="000000" w:themeColor="text1"/>
          <w:sz w:val="28"/>
          <w:szCs w:val="28"/>
          <w14:textFill>
            <w14:solidFill>
              <w14:schemeClr w14:val="tx1"/>
            </w14:solidFill>
          </w14:textFill>
        </w:rPr>
        <w:t>是全国大型白酒生产企业，是白酒行业唯一拥有洋河、双沟两大中国名酒，两个中华老字号，六枚中国驰名商标的企业。公司主导产品梦之蓝、洋河蓝色经典、双沟珍宝坊、洋河大曲、双沟大曲等绵柔型系列白酒</w:t>
      </w:r>
      <w:r>
        <w:rPr>
          <w:rFonts w:hint="eastAsia" w:ascii="楷体" w:hAnsi="楷体" w:eastAsia="楷体"/>
          <w:color w:val="000000" w:themeColor="text1"/>
          <w:sz w:val="28"/>
          <w:szCs w:val="28"/>
          <w14:textFill>
            <w14:solidFill>
              <w14:schemeClr w14:val="tx1"/>
            </w14:solidFill>
          </w14:textFill>
        </w:rPr>
        <w:t>，</w:t>
      </w:r>
      <w:r>
        <w:rPr>
          <w:rFonts w:ascii="楷体" w:hAnsi="楷体" w:eastAsia="楷体"/>
          <w:color w:val="000000" w:themeColor="text1"/>
          <w:sz w:val="28"/>
          <w:szCs w:val="28"/>
          <w14:textFill>
            <w14:solidFill>
              <w14:schemeClr w14:val="tx1"/>
            </w14:solidFill>
          </w14:textFill>
        </w:rPr>
        <w:t>在激烈竞争中呈稳健上升态势，次高端品牌发展优势明显</w:t>
      </w:r>
      <w:r>
        <w:rPr>
          <w:rFonts w:hint="eastAsia" w:ascii="楷体" w:hAnsi="楷体" w:eastAsia="楷体"/>
          <w:color w:val="000000" w:themeColor="text1"/>
          <w:sz w:val="28"/>
          <w:szCs w:val="28"/>
          <w14:textFill>
            <w14:solidFill>
              <w14:schemeClr w14:val="tx1"/>
            </w14:solidFill>
          </w14:textFill>
        </w:rPr>
        <w:t>。</w:t>
      </w:r>
      <w:r>
        <w:rPr>
          <w:rFonts w:hint="eastAsia" w:ascii="楷体" w:hAnsi="楷体" w:eastAsia="楷体"/>
          <w:b/>
          <w:color w:val="000000" w:themeColor="text1"/>
          <w:sz w:val="28"/>
          <w:szCs w:val="28"/>
          <w14:textFill>
            <w14:solidFill>
              <w14:schemeClr w14:val="tx1"/>
            </w14:solidFill>
          </w14:textFill>
        </w:rPr>
        <w:t>（3）营销网络优势。</w:t>
      </w:r>
      <w:r>
        <w:rPr>
          <w:rFonts w:hint="eastAsia" w:ascii="楷体" w:hAnsi="楷体" w:eastAsia="楷体"/>
          <w:color w:val="000000" w:themeColor="text1"/>
          <w:sz w:val="28"/>
          <w:szCs w:val="28"/>
          <w14:textFill>
            <w14:solidFill>
              <w14:schemeClr w14:val="tx1"/>
            </w14:solidFill>
          </w14:textFill>
        </w:rPr>
        <w:t>洋河拥有行业内人数最多、理念最新、执行力最强的营销团队（1万多家经销商，3万多名地面推广人员），同时不断加大的深度分销模式，已让营销网络渗透全国各个区县市，渠道的高速公路已经基本搭建完成，为未来的市场拓展和品类延伸奠定了坚实基础。</w:t>
      </w:r>
    </w:p>
    <w:p>
      <w:pPr>
        <w:spacing w:line="500" w:lineRule="exact"/>
        <w:ind w:firstLine="420"/>
        <w:rPr>
          <w:rFonts w:ascii="黑体" w:hAnsi="黑体" w:eastAsia="黑体"/>
          <w:color w:val="000000" w:themeColor="text1"/>
          <w:sz w:val="28"/>
          <w:szCs w:val="28"/>
          <w14:textFill>
            <w14:solidFill>
              <w14:schemeClr w14:val="tx1"/>
            </w14:solidFill>
          </w14:textFill>
        </w:rPr>
      </w:pPr>
      <w:r>
        <w:rPr>
          <w:rFonts w:hint="eastAsia" w:ascii="黑体" w:hAnsi="黑体" w:eastAsia="黑体"/>
          <w:color w:val="000000" w:themeColor="text1"/>
          <w:sz w:val="28"/>
          <w:szCs w:val="28"/>
          <w14:textFill>
            <w14:solidFill>
              <w14:schemeClr w14:val="tx1"/>
            </w14:solidFill>
          </w14:textFill>
        </w:rPr>
        <w:t>洋河股份优劣势具体分析如下：</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2019年洋河股份的总资产首次超过500亿，说明公司实力很强，仍处在不断发展中。资产负债率近五年维持在32%左右，未来发生债务危机的风险较小。洋河股份一直无偿占用上下游公司大量的无息贷款，具备“两头吃”的能力，属于行业地位较高，竞争力较强的企业。</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由年报可知：洋河属于轻资产公司，虽然2019年营收下滑，净资产收益率却维持在20%以上，净利润现金含量基本都在100%以上，公司分红每年都在50%以上，主营利润率也在38%左右，这些都证明洋河属于比较优秀的风险较小的公司。且最近三年费用率和毛利率的比值在30%以内，说明公司的成本管控能力较强。</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目前，白酒行业处于成熟期，未来五年白酒行业销售收入大概率会维持在5300亿元左右，洋河股份的年营收231亿，说明今后还有很大的发展空间。不过，白酒行业已经进入全面挤压式竞争时代，前三名的龙头企业（茅台、五粮液、洋河）利润总额占白酒行业利润总额超60%，未来还会加剧这种竞争比例。洋河主打次高端类，在高端白酒市场并不占优势，未来开拓高端白酒市场是需要洋河继续作出努力的。</w:t>
      </w:r>
    </w:p>
    <w:p>
      <w:pPr>
        <w:spacing w:line="500" w:lineRule="exact"/>
        <w:ind w:firstLine="420"/>
        <w:rPr>
          <w:rFonts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虽然洋河在行业中营业总收入排名前三，但与前两名差距较大，且与后两名差距较小，竞争较为激烈，想要往上增加排位难度很大，未来如果没有高端产品，基本很难跻身前二。往下想蚕食“小弟”市场，无论省内还是省外，目前营收增长都不理想，说明企业自身成长与管理有待提升。加之，洋河股份对地区和产品的依赖性较高，后期应加大高端产品研发推广力度，调整销售策略，通过消化库存，提高品牌影响力来提高营业收入，确保行业地位。</w:t>
      </w:r>
    </w:p>
    <w:p>
      <w:pPr>
        <w:spacing w:line="500" w:lineRule="exact"/>
        <w:ind w:firstLine="420"/>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2.</w:t>
      </w:r>
      <w:r>
        <w:rPr>
          <w:rFonts w:ascii="宋体" w:hAnsi="宋体" w:eastAsia="宋体"/>
          <w:color w:val="000000" w:themeColor="text1"/>
          <w:sz w:val="28"/>
          <w:szCs w:val="28"/>
          <w14:textFill>
            <w14:solidFill>
              <w14:schemeClr w14:val="tx1"/>
            </w14:solidFill>
          </w14:textFill>
        </w:rPr>
        <w:t>根据嘉寓股份公司最近一年年报中的“经营情况讨论与分析”章节，分析如下内容：公司的收入变动是否异常？如异常，查找其原因？分析收入、成本、毛利率、根据分析结果总结公司经营的优势和劣势。（100 分）</w:t>
      </w:r>
    </w:p>
    <w:p>
      <w:pPr>
        <w:spacing w:line="500" w:lineRule="exact"/>
        <w:ind w:firstLine="420"/>
        <w:rPr>
          <w:rFonts w:ascii="楷体" w:hAnsi="楷体" w:eastAsia="楷体"/>
          <w:color w:val="000000" w:themeColor="text1"/>
          <w:sz w:val="28"/>
          <w:szCs w:val="28"/>
          <w14:textFill>
            <w14:solidFill>
              <w14:schemeClr w14:val="tx1"/>
            </w14:solidFill>
          </w14:textFill>
        </w:rPr>
      </w:pPr>
      <w:r>
        <w:rPr>
          <w:rStyle w:val="9"/>
          <w:rFonts w:hint="eastAsia" w:ascii="楷体" w:hAnsi="楷体" w:eastAsia="楷体"/>
          <w:color w:val="000000" w:themeColor="text1"/>
          <w:sz w:val="28"/>
          <w:szCs w:val="28"/>
          <w14:textFill>
            <w14:solidFill>
              <w14:schemeClr w14:val="tx1"/>
            </w14:solidFill>
          </w14:textFill>
        </w:rPr>
        <w:t>答：根据嘉寓股份2</w:t>
      </w:r>
      <w:r>
        <w:rPr>
          <w:rStyle w:val="9"/>
          <w:rFonts w:ascii="楷体" w:hAnsi="楷体" w:eastAsia="楷体"/>
          <w:color w:val="000000" w:themeColor="text1"/>
          <w:sz w:val="28"/>
          <w:szCs w:val="28"/>
          <w14:textFill>
            <w14:solidFill>
              <w14:schemeClr w14:val="tx1"/>
            </w14:solidFill>
          </w14:textFill>
        </w:rPr>
        <w:t>019</w:t>
      </w:r>
      <w:r>
        <w:rPr>
          <w:rStyle w:val="9"/>
          <w:rFonts w:hint="eastAsia" w:ascii="楷体" w:hAnsi="楷体" w:eastAsia="楷体"/>
          <w:color w:val="000000" w:themeColor="text1"/>
          <w:sz w:val="28"/>
          <w:szCs w:val="28"/>
          <w14:textFill>
            <w14:solidFill>
              <w14:schemeClr w14:val="tx1"/>
            </w14:solidFill>
          </w14:textFill>
        </w:rPr>
        <w:t>年度报告可知，会计师事务所审计类型为标准无保留意见，</w:t>
      </w:r>
      <w:r>
        <w:rPr>
          <w:rFonts w:ascii="楷体" w:hAnsi="楷体" w:eastAsia="楷体"/>
          <w:color w:val="000000" w:themeColor="text1"/>
          <w:sz w:val="28"/>
          <w:szCs w:val="28"/>
          <w14:textFill>
            <w14:solidFill>
              <w14:schemeClr w14:val="tx1"/>
            </w14:solidFill>
          </w14:textFill>
        </w:rPr>
        <w:t>公司主营业务分为节能门窗幕墙、太阳能光伏和高端智能装备三大体系。公司是国内唯一</w:t>
      </w:r>
      <w:r>
        <w:rPr>
          <w:rFonts w:ascii="楷体" w:hAnsi="楷体" w:eastAsia="楷体" w:cs="Times New Roman"/>
          <w:color w:val="000000" w:themeColor="text1"/>
          <w:sz w:val="28"/>
          <w:szCs w:val="28"/>
          <w14:textFill>
            <w14:solidFill>
              <w14:schemeClr w14:val="tx1"/>
            </w14:solidFill>
          </w14:textFill>
        </w:rPr>
        <w:t>A</w:t>
      </w:r>
      <w:r>
        <w:rPr>
          <w:rFonts w:ascii="楷体" w:hAnsi="楷体" w:eastAsia="楷体"/>
          <w:color w:val="000000" w:themeColor="text1"/>
          <w:sz w:val="28"/>
          <w:szCs w:val="28"/>
          <w14:textFill>
            <w14:solidFill>
              <w14:schemeClr w14:val="tx1"/>
            </w14:solidFill>
          </w14:textFill>
        </w:rPr>
        <w:t>股上市的节能门窗企业，专业从事节能门窗幕墙行业</w:t>
      </w:r>
      <w:r>
        <w:rPr>
          <w:rFonts w:hint="eastAsia" w:ascii="楷体" w:hAnsi="楷体" w:eastAsia="楷体"/>
          <w:color w:val="000000" w:themeColor="text1"/>
          <w:sz w:val="28"/>
          <w:szCs w:val="28"/>
          <w14:textFill>
            <w14:solidFill>
              <w14:schemeClr w14:val="tx1"/>
            </w14:solidFill>
          </w14:textFill>
        </w:rPr>
        <w:t>30</w:t>
      </w:r>
      <w:r>
        <w:rPr>
          <w:rFonts w:ascii="楷体" w:hAnsi="楷体" w:eastAsia="楷体"/>
          <w:color w:val="000000" w:themeColor="text1"/>
          <w:sz w:val="28"/>
          <w:szCs w:val="28"/>
          <w14:textFill>
            <w14:solidFill>
              <w14:schemeClr w14:val="tx1"/>
            </w14:solidFill>
          </w14:textFill>
        </w:rPr>
        <w:t>余年，为国内外领先的建筑节能门窗幕墙系统提供商，是集研发、设计、生产、施工为一体，产业链完整，技术领先的行业龙头企业，是中国十大门窗首选品牌第一名，中国门窗百强第一名，中国房地产开发企业</w:t>
      </w:r>
      <w:r>
        <w:rPr>
          <w:rFonts w:ascii="楷体" w:hAnsi="楷体" w:eastAsia="楷体" w:cs="Times New Roman"/>
          <w:color w:val="000000" w:themeColor="text1"/>
          <w:sz w:val="28"/>
          <w:szCs w:val="28"/>
          <w14:textFill>
            <w14:solidFill>
              <w14:schemeClr w14:val="tx1"/>
            </w14:solidFill>
          </w14:textFill>
        </w:rPr>
        <w:t>500</w:t>
      </w:r>
      <w:r>
        <w:rPr>
          <w:rFonts w:ascii="楷体" w:hAnsi="楷体" w:eastAsia="楷体"/>
          <w:color w:val="000000" w:themeColor="text1"/>
          <w:sz w:val="28"/>
          <w:szCs w:val="28"/>
          <w14:textFill>
            <w14:solidFill>
              <w14:schemeClr w14:val="tx1"/>
            </w14:solidFill>
          </w14:textFill>
        </w:rPr>
        <w:t>强首选供应商品牌，在同行业中具有较强的综合竞争实力。</w:t>
      </w:r>
    </w:p>
    <w:p>
      <w:pPr>
        <w:spacing w:line="500" w:lineRule="exact"/>
        <w:ind w:firstLine="420"/>
        <w:rPr>
          <w:rStyle w:val="9"/>
          <w:rFonts w:hint="eastAsia" w:ascii="楷体" w:hAnsi="楷体" w:eastAsia="楷体"/>
          <w:color w:val="000000" w:themeColor="text1"/>
          <w:sz w:val="28"/>
          <w:szCs w:val="28"/>
          <w:lang w:eastAsia="zh-CN"/>
          <w14:textFill>
            <w14:solidFill>
              <w14:schemeClr w14:val="tx1"/>
            </w14:solidFill>
          </w14:textFill>
        </w:rPr>
      </w:pPr>
      <w:r>
        <w:rPr>
          <w:rFonts w:hint="eastAsia" w:ascii="楷体" w:hAnsi="楷体" w:eastAsia="楷体"/>
          <w:color w:val="000000" w:themeColor="text1"/>
          <w:sz w:val="28"/>
          <w:szCs w:val="28"/>
          <w:lang w:eastAsia="zh-CN"/>
          <w14:textFill>
            <w14:solidFill>
              <w14:schemeClr w14:val="tx1"/>
            </w14:solidFill>
          </w14:textFill>
        </w:rPr>
        <w:t>嘉寓在</w:t>
      </w:r>
      <w:r>
        <w:rPr>
          <w:rFonts w:ascii="楷体" w:hAnsi="楷体" w:eastAsia="楷体"/>
          <w:color w:val="000000" w:themeColor="text1"/>
          <w:sz w:val="28"/>
          <w:szCs w:val="28"/>
          <w14:textFill>
            <w14:solidFill>
              <w14:schemeClr w14:val="tx1"/>
            </w14:solidFill>
          </w14:textFill>
        </w:rPr>
        <w:t>报告期内，实现营业收入</w:t>
      </w:r>
      <w:r>
        <w:rPr>
          <w:rFonts w:ascii="楷体" w:hAnsi="楷体" w:eastAsia="楷体" w:cs="Times New Roman"/>
          <w:color w:val="000000" w:themeColor="text1"/>
          <w:sz w:val="28"/>
          <w:szCs w:val="28"/>
          <w14:textFill>
            <w14:solidFill>
              <w14:schemeClr w14:val="tx1"/>
            </w14:solidFill>
          </w14:textFill>
        </w:rPr>
        <w:t>34.37</w:t>
      </w:r>
      <w:r>
        <w:rPr>
          <w:rFonts w:ascii="楷体" w:hAnsi="楷体" w:eastAsia="楷体"/>
          <w:color w:val="000000" w:themeColor="text1"/>
          <w:sz w:val="28"/>
          <w:szCs w:val="28"/>
          <w14:textFill>
            <w14:solidFill>
              <w14:schemeClr w14:val="tx1"/>
            </w14:solidFill>
          </w14:textFill>
        </w:rPr>
        <w:t>亿元，同比下降</w:t>
      </w:r>
      <w:r>
        <w:rPr>
          <w:rFonts w:ascii="楷体" w:hAnsi="楷体" w:eastAsia="楷体" w:cs="Times New Roman"/>
          <w:color w:val="000000" w:themeColor="text1"/>
          <w:sz w:val="28"/>
          <w:szCs w:val="28"/>
          <w14:textFill>
            <w14:solidFill>
              <w14:schemeClr w14:val="tx1"/>
            </w14:solidFill>
          </w14:textFill>
        </w:rPr>
        <w:t>19.21%</w:t>
      </w:r>
      <w:r>
        <w:rPr>
          <w:rFonts w:ascii="楷体" w:hAnsi="楷体" w:eastAsia="楷体"/>
          <w:color w:val="000000" w:themeColor="text1"/>
          <w:sz w:val="28"/>
          <w:szCs w:val="28"/>
          <w14:textFill>
            <w14:solidFill>
              <w14:schemeClr w14:val="tx1"/>
            </w14:solidFill>
          </w14:textFill>
        </w:rPr>
        <w:t>；实现回款</w:t>
      </w:r>
      <w:r>
        <w:rPr>
          <w:rFonts w:ascii="楷体" w:hAnsi="楷体" w:eastAsia="楷体" w:cs="Times New Roman"/>
          <w:color w:val="000000" w:themeColor="text1"/>
          <w:sz w:val="28"/>
          <w:szCs w:val="28"/>
          <w14:textFill>
            <w14:solidFill>
              <w14:schemeClr w14:val="tx1"/>
            </w14:solidFill>
          </w14:textFill>
        </w:rPr>
        <w:t>36.53</w:t>
      </w:r>
      <w:r>
        <w:rPr>
          <w:rFonts w:ascii="楷体" w:hAnsi="楷体" w:eastAsia="楷体"/>
          <w:color w:val="000000" w:themeColor="text1"/>
          <w:sz w:val="28"/>
          <w:szCs w:val="28"/>
          <w14:textFill>
            <w14:solidFill>
              <w14:schemeClr w14:val="tx1"/>
            </w14:solidFill>
          </w14:textFill>
        </w:rPr>
        <w:t>亿元，同比下降</w:t>
      </w:r>
      <w:r>
        <w:rPr>
          <w:rFonts w:ascii="楷体" w:hAnsi="楷体" w:eastAsia="楷体" w:cs="Times New Roman"/>
          <w:color w:val="000000" w:themeColor="text1"/>
          <w:sz w:val="28"/>
          <w:szCs w:val="28"/>
          <w14:textFill>
            <w14:solidFill>
              <w14:schemeClr w14:val="tx1"/>
            </w14:solidFill>
          </w14:textFill>
        </w:rPr>
        <w:t>2.14%</w:t>
      </w:r>
      <w:r>
        <w:rPr>
          <w:rFonts w:ascii="楷体" w:hAnsi="楷体" w:eastAsia="楷体"/>
          <w:color w:val="000000" w:themeColor="text1"/>
          <w:sz w:val="28"/>
          <w:szCs w:val="28"/>
          <w14:textFill>
            <w14:solidFill>
              <w14:schemeClr w14:val="tx1"/>
            </w14:solidFill>
          </w14:textFill>
        </w:rPr>
        <w:t>，实现利润</w:t>
      </w:r>
      <w:r>
        <w:rPr>
          <w:rFonts w:ascii="楷体" w:hAnsi="楷体" w:eastAsia="楷体" w:cs="Times New Roman"/>
          <w:color w:val="000000" w:themeColor="text1"/>
          <w:sz w:val="28"/>
          <w:szCs w:val="28"/>
          <w14:textFill>
            <w14:solidFill>
              <w14:schemeClr w14:val="tx1"/>
            </w14:solidFill>
          </w14:textFill>
        </w:rPr>
        <w:t>0.26</w:t>
      </w:r>
      <w:r>
        <w:rPr>
          <w:rFonts w:ascii="楷体" w:hAnsi="楷体" w:eastAsia="楷体"/>
          <w:color w:val="000000" w:themeColor="text1"/>
          <w:sz w:val="28"/>
          <w:szCs w:val="28"/>
          <w14:textFill>
            <w14:solidFill>
              <w14:schemeClr w14:val="tx1"/>
            </w14:solidFill>
          </w14:textFill>
        </w:rPr>
        <w:t>亿元，同比下降</w:t>
      </w:r>
      <w:r>
        <w:rPr>
          <w:rFonts w:ascii="楷体" w:hAnsi="楷体" w:eastAsia="楷体" w:cs="Times New Roman"/>
          <w:color w:val="000000" w:themeColor="text1"/>
          <w:sz w:val="28"/>
          <w:szCs w:val="28"/>
          <w14:textFill>
            <w14:solidFill>
              <w14:schemeClr w14:val="tx1"/>
            </w14:solidFill>
          </w14:textFill>
        </w:rPr>
        <w:t>56.50%</w:t>
      </w:r>
      <w:r>
        <w:rPr>
          <w:rStyle w:val="9"/>
          <w:rFonts w:hint="eastAsia" w:ascii="楷体" w:hAnsi="楷体" w:eastAsia="楷体"/>
          <w:color w:val="000000" w:themeColor="text1"/>
          <w:sz w:val="28"/>
          <w:szCs w:val="28"/>
          <w14:textFill>
            <w14:solidFill>
              <w14:schemeClr w14:val="tx1"/>
            </w14:solidFill>
          </w14:textFill>
        </w:rPr>
        <w:t>，属于异常现象，</w:t>
      </w:r>
      <w:r>
        <w:rPr>
          <w:rStyle w:val="9"/>
          <w:rFonts w:hint="eastAsia" w:ascii="楷体" w:hAnsi="楷体" w:eastAsia="楷体"/>
          <w:color w:val="000000" w:themeColor="text1"/>
          <w:sz w:val="28"/>
          <w:szCs w:val="28"/>
          <w:lang w:eastAsia="zh-CN"/>
          <w14:textFill>
            <w14:solidFill>
              <w14:schemeClr w14:val="tx1"/>
            </w14:solidFill>
          </w14:textFill>
        </w:rPr>
        <w:t>各项指标的</w:t>
      </w:r>
      <w:r>
        <w:rPr>
          <w:rStyle w:val="9"/>
          <w:rFonts w:hint="eastAsia" w:ascii="楷体" w:hAnsi="楷体" w:eastAsia="楷体"/>
          <w:color w:val="000000" w:themeColor="text1"/>
          <w:sz w:val="28"/>
          <w:szCs w:val="28"/>
          <w14:textFill>
            <w14:solidFill>
              <w14:schemeClr w14:val="tx1"/>
            </w14:solidFill>
          </w14:textFill>
        </w:rPr>
        <w:t>下滑原因我们</w:t>
      </w:r>
      <w:r>
        <w:rPr>
          <w:rStyle w:val="9"/>
          <w:rFonts w:hint="eastAsia" w:ascii="楷体" w:hAnsi="楷体" w:eastAsia="楷体"/>
          <w:color w:val="000000" w:themeColor="text1"/>
          <w:sz w:val="28"/>
          <w:szCs w:val="28"/>
          <w:lang w:eastAsia="zh-CN"/>
          <w14:textFill>
            <w14:solidFill>
              <w14:schemeClr w14:val="tx1"/>
            </w14:solidFill>
          </w14:textFill>
        </w:rPr>
        <w:t>可</w:t>
      </w:r>
      <w:r>
        <w:rPr>
          <w:rStyle w:val="9"/>
          <w:rFonts w:hint="eastAsia" w:ascii="楷体" w:hAnsi="楷体" w:eastAsia="楷体"/>
          <w:color w:val="000000" w:themeColor="text1"/>
          <w:sz w:val="28"/>
          <w:szCs w:val="28"/>
          <w14:textFill>
            <w14:solidFill>
              <w14:schemeClr w14:val="tx1"/>
            </w14:solidFill>
          </w14:textFill>
        </w:rPr>
        <w:t>在年报</w:t>
      </w:r>
      <w:r>
        <w:rPr>
          <w:rStyle w:val="9"/>
          <w:rFonts w:hint="eastAsia" w:ascii="楷体" w:hAnsi="楷体" w:eastAsia="楷体"/>
          <w:color w:val="000000" w:themeColor="text1"/>
          <w:sz w:val="28"/>
          <w:szCs w:val="28"/>
          <w:lang w:eastAsia="zh-CN"/>
          <w14:textFill>
            <w14:solidFill>
              <w14:schemeClr w14:val="tx1"/>
            </w14:solidFill>
          </w14:textFill>
        </w:rPr>
        <w:t>中找到。</w:t>
      </w:r>
    </w:p>
    <w:p>
      <w:pPr>
        <w:spacing w:line="480" w:lineRule="exact"/>
        <w:ind w:firstLine="420"/>
        <w:rPr>
          <w:rFonts w:hint="eastAsia"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通过行业对比，嘉寓的营收规模相比龙头企业</w:t>
      </w:r>
      <w:r>
        <w:rPr>
          <w:rFonts w:hint="eastAsia" w:ascii="楷体" w:hAnsi="楷体" w:eastAsia="楷体"/>
          <w:color w:val="000000" w:themeColor="text1"/>
          <w:sz w:val="28"/>
          <w:szCs w:val="28"/>
          <w:lang w:eastAsia="zh-CN"/>
          <w14:textFill>
            <w14:solidFill>
              <w14:schemeClr w14:val="tx1"/>
            </w14:solidFill>
          </w14:textFill>
        </w:rPr>
        <w:t>，差距较大</w:t>
      </w:r>
      <w:r>
        <w:rPr>
          <w:rFonts w:hint="eastAsia" w:ascii="楷体" w:hAnsi="楷体" w:eastAsia="楷体"/>
          <w:color w:val="000000" w:themeColor="text1"/>
          <w:sz w:val="28"/>
          <w:szCs w:val="28"/>
          <w14:textFill>
            <w14:solidFill>
              <w14:schemeClr w14:val="tx1"/>
            </w14:solidFill>
          </w14:textFill>
        </w:rPr>
        <w:t>。</w:t>
      </w:r>
      <w:r>
        <w:rPr>
          <w:rFonts w:hint="eastAsia" w:ascii="楷体" w:hAnsi="楷体" w:eastAsia="楷体"/>
          <w:color w:val="000000" w:themeColor="text1"/>
          <w:sz w:val="28"/>
          <w:szCs w:val="28"/>
          <w:lang w:val="en-US" w:eastAsia="zh-CN"/>
          <w14:textFill>
            <w14:solidFill>
              <w14:schemeClr w14:val="tx1"/>
            </w14:solidFill>
          </w14:textFill>
        </w:rPr>
        <w:t>（1）</w:t>
      </w:r>
      <w:r>
        <w:rPr>
          <w:rFonts w:hint="eastAsia" w:ascii="楷体" w:hAnsi="楷体" w:eastAsia="楷体"/>
          <w:color w:val="000000" w:themeColor="text1"/>
          <w:sz w:val="28"/>
          <w:szCs w:val="28"/>
          <w:lang w:eastAsia="zh-CN"/>
          <w14:textFill>
            <w14:solidFill>
              <w14:schemeClr w14:val="tx1"/>
            </w14:solidFill>
          </w14:textFill>
        </w:rPr>
        <w:t>分析</w:t>
      </w:r>
      <w:r>
        <w:rPr>
          <w:rFonts w:hint="eastAsia" w:ascii="楷体" w:hAnsi="楷体" w:eastAsia="楷体"/>
          <w:color w:val="000000" w:themeColor="text1"/>
          <w:sz w:val="28"/>
          <w:szCs w:val="28"/>
          <w14:textFill>
            <w14:solidFill>
              <w14:schemeClr w14:val="tx1"/>
            </w14:solidFill>
          </w14:textFill>
        </w:rPr>
        <w:t>行业营收构成</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我们</w:t>
      </w:r>
      <w:r>
        <w:rPr>
          <w:rFonts w:hint="eastAsia" w:ascii="楷体" w:hAnsi="楷体" w:eastAsia="楷体"/>
          <w:color w:val="000000" w:themeColor="text1"/>
          <w:sz w:val="28"/>
          <w:szCs w:val="28"/>
          <w:lang w:eastAsia="zh-CN"/>
          <w14:textFill>
            <w14:solidFill>
              <w14:schemeClr w14:val="tx1"/>
            </w14:solidFill>
          </w14:textFill>
        </w:rPr>
        <w:t>可以</w:t>
      </w:r>
      <w:r>
        <w:rPr>
          <w:rFonts w:hint="eastAsia" w:ascii="楷体" w:hAnsi="楷体" w:eastAsia="楷体"/>
          <w:color w:val="000000" w:themeColor="text1"/>
          <w:sz w:val="28"/>
          <w:szCs w:val="28"/>
          <w14:textFill>
            <w14:solidFill>
              <w14:schemeClr w14:val="tx1"/>
            </w14:solidFill>
          </w14:textFill>
        </w:rPr>
        <w:t>得出结论，光伏产业链相关业的减少导致</w:t>
      </w:r>
      <w:r>
        <w:rPr>
          <w:rFonts w:hint="eastAsia" w:ascii="楷体" w:hAnsi="楷体" w:eastAsia="楷体"/>
          <w:color w:val="000000" w:themeColor="text1"/>
          <w:sz w:val="28"/>
          <w:szCs w:val="28"/>
          <w:lang w:eastAsia="zh-CN"/>
          <w14:textFill>
            <w14:solidFill>
              <w14:schemeClr w14:val="tx1"/>
            </w14:solidFill>
          </w14:textFill>
        </w:rPr>
        <w:t>了</w:t>
      </w:r>
      <w:r>
        <w:rPr>
          <w:rFonts w:hint="eastAsia" w:ascii="楷体" w:hAnsi="楷体" w:eastAsia="楷体"/>
          <w:color w:val="000000" w:themeColor="text1"/>
          <w:sz w:val="28"/>
          <w:szCs w:val="28"/>
          <w14:textFill>
            <w14:solidFill>
              <w14:schemeClr w14:val="tx1"/>
            </w14:solidFill>
          </w14:textFill>
        </w:rPr>
        <w:t>营业总收入的减少。</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lang w:val="en-US" w:eastAsia="zh-CN"/>
          <w14:textFill>
            <w14:solidFill>
              <w14:schemeClr w14:val="tx1"/>
            </w14:solidFill>
          </w14:textFill>
        </w:rPr>
        <w:t>2</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按产品</w:t>
      </w:r>
      <w:r>
        <w:rPr>
          <w:rFonts w:hint="eastAsia" w:ascii="楷体" w:hAnsi="楷体" w:eastAsia="楷体"/>
          <w:color w:val="000000" w:themeColor="text1"/>
          <w:sz w:val="28"/>
          <w:szCs w:val="28"/>
          <w:lang w:eastAsia="zh-CN"/>
          <w14:textFill>
            <w14:solidFill>
              <w14:schemeClr w14:val="tx1"/>
            </w14:solidFill>
          </w14:textFill>
        </w:rPr>
        <w:t>分析，我们可以</w:t>
      </w:r>
      <w:r>
        <w:rPr>
          <w:rFonts w:hint="eastAsia" w:ascii="楷体" w:hAnsi="楷体" w:eastAsia="楷体"/>
          <w:color w:val="000000" w:themeColor="text1"/>
          <w:sz w:val="28"/>
          <w:szCs w:val="28"/>
          <w14:textFill>
            <w14:solidFill>
              <w14:schemeClr w14:val="tx1"/>
            </w14:solidFill>
          </w14:textFill>
        </w:rPr>
        <w:t>得出结论，门窗，以及光伏</w:t>
      </w:r>
      <w:r>
        <w:rPr>
          <w:rFonts w:ascii="楷体" w:hAnsi="楷体" w:eastAsia="楷体"/>
          <w:color w:val="000000" w:themeColor="text1"/>
          <w:sz w:val="28"/>
          <w:szCs w:val="28"/>
          <w14:textFill>
            <w14:solidFill>
              <w14:schemeClr w14:val="tx1"/>
            </w14:solidFill>
          </w14:textFill>
        </w:rPr>
        <w:t>EPC</w:t>
      </w:r>
      <w:r>
        <w:rPr>
          <w:rFonts w:hint="eastAsia" w:ascii="楷体" w:hAnsi="楷体" w:eastAsia="楷体"/>
          <w:color w:val="000000" w:themeColor="text1"/>
          <w:sz w:val="28"/>
          <w:szCs w:val="28"/>
          <w14:textFill>
            <w14:solidFill>
              <w14:schemeClr w14:val="tx1"/>
            </w14:solidFill>
          </w14:textFill>
        </w:rPr>
        <w:t>工程同比的减少导致当期营业总收入的减少。3.按地区得出结论，西北地区的销量同比减少7</w:t>
      </w:r>
      <w:r>
        <w:rPr>
          <w:rFonts w:ascii="楷体" w:hAnsi="楷体" w:eastAsia="楷体"/>
          <w:color w:val="000000" w:themeColor="text1"/>
          <w:sz w:val="28"/>
          <w:szCs w:val="28"/>
          <w14:textFill>
            <w14:solidFill>
              <w14:schemeClr w14:val="tx1"/>
            </w14:solidFill>
          </w14:textFill>
        </w:rPr>
        <w:t>.42</w:t>
      </w:r>
      <w:r>
        <w:rPr>
          <w:rFonts w:hint="eastAsia" w:ascii="楷体" w:hAnsi="楷体" w:eastAsia="楷体"/>
          <w:color w:val="000000" w:themeColor="text1"/>
          <w:sz w:val="28"/>
          <w:szCs w:val="28"/>
          <w14:textFill>
            <w14:solidFill>
              <w14:schemeClr w14:val="tx1"/>
            </w14:solidFill>
          </w14:textFill>
        </w:rPr>
        <w:t>，下滑比例比其他地区增幅相加还多，这</w:t>
      </w:r>
      <w:r>
        <w:rPr>
          <w:rFonts w:hint="eastAsia" w:ascii="楷体" w:hAnsi="楷体" w:eastAsia="楷体"/>
          <w:color w:val="000000" w:themeColor="text1"/>
          <w:sz w:val="28"/>
          <w:szCs w:val="28"/>
          <w:lang w:eastAsia="zh-CN"/>
          <w14:textFill>
            <w14:solidFill>
              <w14:schemeClr w14:val="tx1"/>
            </w14:solidFill>
          </w14:textFill>
        </w:rPr>
        <w:t>也是</w:t>
      </w:r>
      <w:r>
        <w:rPr>
          <w:rFonts w:hint="eastAsia" w:ascii="楷体" w:hAnsi="楷体" w:eastAsia="楷体"/>
          <w:color w:val="000000" w:themeColor="text1"/>
          <w:sz w:val="28"/>
          <w:szCs w:val="28"/>
          <w14:textFill>
            <w14:solidFill>
              <w14:schemeClr w14:val="tx1"/>
            </w14:solidFill>
          </w14:textFill>
        </w:rPr>
        <w:t>导致营业总收入减少</w:t>
      </w:r>
      <w:r>
        <w:rPr>
          <w:rFonts w:hint="eastAsia" w:ascii="楷体" w:hAnsi="楷体" w:eastAsia="楷体"/>
          <w:color w:val="000000" w:themeColor="text1"/>
          <w:sz w:val="28"/>
          <w:szCs w:val="28"/>
          <w:lang w:eastAsia="zh-CN"/>
          <w14:textFill>
            <w14:solidFill>
              <w14:schemeClr w14:val="tx1"/>
            </w14:solidFill>
          </w14:textFill>
        </w:rPr>
        <w:t>的原因之一。（</w:t>
      </w:r>
      <w:r>
        <w:rPr>
          <w:rFonts w:hint="eastAsia" w:ascii="楷体" w:hAnsi="楷体" w:eastAsia="楷体"/>
          <w:color w:val="000000" w:themeColor="text1"/>
          <w:sz w:val="28"/>
          <w:szCs w:val="28"/>
          <w:lang w:val="en-US" w:eastAsia="zh-CN"/>
          <w14:textFill>
            <w14:solidFill>
              <w14:schemeClr w14:val="tx1"/>
            </w14:solidFill>
          </w14:textFill>
        </w:rPr>
        <w:t>4</w:t>
      </w:r>
      <w:r>
        <w:rPr>
          <w:rFonts w:hint="eastAsia" w:ascii="楷体" w:hAnsi="楷体" w:eastAsia="楷体"/>
          <w:color w:val="000000" w:themeColor="text1"/>
          <w:sz w:val="28"/>
          <w:szCs w:val="28"/>
          <w:lang w:eastAsia="zh-CN"/>
          <w14:textFill>
            <w14:solidFill>
              <w14:schemeClr w14:val="tx1"/>
            </w14:solidFill>
          </w14:textFill>
        </w:rPr>
        <w:t>）根据</w:t>
      </w:r>
      <w:r>
        <w:rPr>
          <w:rFonts w:hint="eastAsia" w:ascii="楷体" w:hAnsi="楷体" w:eastAsia="楷体"/>
          <w:color w:val="000000" w:themeColor="text1"/>
          <w:sz w:val="28"/>
          <w:szCs w:val="28"/>
          <w14:textFill>
            <w14:solidFill>
              <w14:schemeClr w14:val="tx1"/>
            </w14:solidFill>
          </w14:textFill>
        </w:rPr>
        <w:t>嘉寓的毛利率</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我们可以</w:t>
      </w:r>
      <w:r>
        <w:rPr>
          <w:rFonts w:hint="eastAsia" w:ascii="楷体" w:hAnsi="楷体" w:eastAsia="楷体"/>
          <w:color w:val="000000" w:themeColor="text1"/>
          <w:sz w:val="28"/>
          <w:szCs w:val="28"/>
          <w:lang w:eastAsia="zh-CN"/>
          <w14:textFill>
            <w14:solidFill>
              <w14:schemeClr w14:val="tx1"/>
            </w14:solidFill>
          </w14:textFill>
        </w:rPr>
        <w:t>看出</w:t>
      </w:r>
      <w:r>
        <w:rPr>
          <w:rFonts w:hint="eastAsia" w:ascii="楷体" w:hAnsi="楷体" w:eastAsia="楷体"/>
          <w:color w:val="000000" w:themeColor="text1"/>
          <w:sz w:val="28"/>
          <w:szCs w:val="28"/>
          <w14:textFill>
            <w14:solidFill>
              <w14:schemeClr w14:val="tx1"/>
            </w14:solidFill>
          </w14:textFill>
        </w:rPr>
        <w:t>嘉寓股份盈利能力并不强，在</w:t>
      </w:r>
      <w:r>
        <w:rPr>
          <w:rFonts w:hint="eastAsia" w:ascii="楷体" w:hAnsi="楷体" w:eastAsia="楷体"/>
          <w:color w:val="000000" w:themeColor="text1"/>
          <w:sz w:val="28"/>
          <w:szCs w:val="28"/>
          <w:lang w:eastAsia="zh-CN"/>
          <w14:textFill>
            <w14:solidFill>
              <w14:schemeClr w14:val="tx1"/>
            </w14:solidFill>
          </w14:textFill>
        </w:rPr>
        <w:t>整个</w:t>
      </w:r>
      <w:r>
        <w:rPr>
          <w:rFonts w:hint="eastAsia" w:ascii="楷体" w:hAnsi="楷体" w:eastAsia="楷体"/>
          <w:color w:val="000000" w:themeColor="text1"/>
          <w:sz w:val="28"/>
          <w:szCs w:val="28"/>
          <w14:textFill>
            <w14:solidFill>
              <w14:schemeClr w14:val="tx1"/>
            </w14:solidFill>
          </w14:textFill>
        </w:rPr>
        <w:t>行业</w:t>
      </w:r>
      <w:r>
        <w:rPr>
          <w:rFonts w:hint="eastAsia" w:ascii="楷体" w:hAnsi="楷体" w:eastAsia="楷体"/>
          <w:color w:val="000000" w:themeColor="text1"/>
          <w:sz w:val="28"/>
          <w:szCs w:val="28"/>
          <w:lang w:eastAsia="zh-CN"/>
          <w14:textFill>
            <w14:solidFill>
              <w14:schemeClr w14:val="tx1"/>
            </w14:solidFill>
          </w14:textFill>
        </w:rPr>
        <w:t>排名里属于中等靠后。</w:t>
      </w:r>
      <w:r>
        <w:rPr>
          <w:rFonts w:hint="eastAsia" w:ascii="楷体" w:hAnsi="楷体" w:eastAsia="楷体"/>
          <w:color w:val="000000" w:themeColor="text1"/>
          <w:sz w:val="28"/>
          <w:szCs w:val="28"/>
          <w14:textFill>
            <w14:solidFill>
              <w14:schemeClr w14:val="tx1"/>
            </w14:solidFill>
          </w14:textFill>
        </w:rPr>
        <w:t>从海选公司的标准来看，我们有理由淘汰嘉寓股份，</w:t>
      </w:r>
      <w:r>
        <w:rPr>
          <w:rFonts w:hint="eastAsia" w:ascii="楷体" w:hAnsi="楷体" w:eastAsia="楷体"/>
          <w:color w:val="000000" w:themeColor="text1"/>
          <w:sz w:val="28"/>
          <w:szCs w:val="28"/>
          <w:lang w:eastAsia="zh-CN"/>
          <w14:textFill>
            <w14:solidFill>
              <w14:schemeClr w14:val="tx1"/>
            </w14:solidFill>
          </w14:textFill>
        </w:rPr>
        <w:t>因为它的</w:t>
      </w:r>
      <w:r>
        <w:rPr>
          <w:rFonts w:hint="eastAsia" w:ascii="楷体" w:hAnsi="楷体" w:eastAsia="楷体"/>
          <w:color w:val="000000" w:themeColor="text1"/>
          <w:sz w:val="28"/>
          <w:szCs w:val="28"/>
          <w14:textFill>
            <w14:solidFill>
              <w14:schemeClr w14:val="tx1"/>
            </w14:solidFill>
          </w14:textFill>
        </w:rPr>
        <w:t>毛利率远低于4</w:t>
      </w:r>
      <w:r>
        <w:rPr>
          <w:rFonts w:ascii="楷体" w:hAnsi="楷体" w:eastAsia="楷体"/>
          <w:color w:val="000000" w:themeColor="text1"/>
          <w:sz w:val="28"/>
          <w:szCs w:val="28"/>
          <w14:textFill>
            <w14:solidFill>
              <w14:schemeClr w14:val="tx1"/>
            </w14:solidFill>
          </w14:textFill>
        </w:rPr>
        <w:t>0%</w:t>
      </w:r>
      <w:r>
        <w:rPr>
          <w:rFonts w:hint="eastAsia" w:ascii="楷体" w:hAnsi="楷体" w:eastAsia="楷体"/>
          <w:color w:val="000000" w:themeColor="text1"/>
          <w:sz w:val="28"/>
          <w:szCs w:val="28"/>
          <w14:textFill>
            <w14:solidFill>
              <w14:schemeClr w14:val="tx1"/>
            </w14:solidFill>
          </w14:textFill>
        </w:rPr>
        <w:t>。</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lang w:val="en-US" w:eastAsia="zh-CN"/>
          <w14:textFill>
            <w14:solidFill>
              <w14:schemeClr w14:val="tx1"/>
            </w14:solidFill>
          </w14:textFill>
        </w:rPr>
        <w:t>5</w:t>
      </w:r>
      <w:r>
        <w:rPr>
          <w:rFonts w:hint="eastAsia" w:ascii="楷体" w:hAnsi="楷体" w:eastAsia="楷体"/>
          <w:color w:val="000000" w:themeColor="text1"/>
          <w:sz w:val="28"/>
          <w:szCs w:val="28"/>
          <w:lang w:eastAsia="zh-CN"/>
          <w14:textFill>
            <w14:solidFill>
              <w14:schemeClr w14:val="tx1"/>
            </w14:solidFill>
          </w14:textFill>
        </w:rPr>
        <w:t>）由</w:t>
      </w:r>
      <w:r>
        <w:rPr>
          <w:rFonts w:hint="eastAsia" w:ascii="楷体" w:hAnsi="楷体" w:eastAsia="楷体"/>
          <w:color w:val="000000" w:themeColor="text1"/>
          <w:sz w:val="28"/>
          <w:szCs w:val="28"/>
          <w:lang w:val="en-US" w:eastAsia="zh-CN"/>
          <w14:textFill>
            <w14:solidFill>
              <w14:schemeClr w14:val="tx1"/>
            </w14:solidFill>
          </w14:textFill>
        </w:rPr>
        <w:t>2019年年报可知，</w:t>
      </w:r>
      <w:r>
        <w:rPr>
          <w:rFonts w:hint="eastAsia" w:ascii="楷体" w:hAnsi="楷体" w:eastAsia="楷体"/>
          <w:color w:val="000000" w:themeColor="text1"/>
          <w:sz w:val="28"/>
          <w:szCs w:val="28"/>
          <w14:textFill>
            <w14:solidFill>
              <w14:schemeClr w14:val="tx1"/>
            </w14:solidFill>
          </w14:textFill>
        </w:rPr>
        <w:t>门窗的人工</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制造</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材料</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劳务等费用同比增加不少，</w:t>
      </w:r>
      <w:r>
        <w:rPr>
          <w:rFonts w:hint="eastAsia" w:ascii="楷体" w:hAnsi="楷体" w:eastAsia="楷体"/>
          <w:color w:val="000000" w:themeColor="text1"/>
          <w:sz w:val="28"/>
          <w:szCs w:val="28"/>
          <w:lang w:eastAsia="zh-CN"/>
          <w14:textFill>
            <w14:solidFill>
              <w14:schemeClr w14:val="tx1"/>
            </w14:solidFill>
          </w14:textFill>
        </w:rPr>
        <w:t>这些都</w:t>
      </w:r>
      <w:r>
        <w:rPr>
          <w:rFonts w:hint="eastAsia" w:ascii="楷体" w:hAnsi="楷体" w:eastAsia="楷体"/>
          <w:color w:val="000000" w:themeColor="text1"/>
          <w:sz w:val="28"/>
          <w:szCs w:val="28"/>
          <w14:textFill>
            <w14:solidFill>
              <w14:schemeClr w14:val="tx1"/>
            </w14:solidFill>
          </w14:textFill>
        </w:rPr>
        <w:t>影响</w:t>
      </w:r>
      <w:r>
        <w:rPr>
          <w:rFonts w:hint="eastAsia" w:ascii="楷体" w:hAnsi="楷体" w:eastAsia="楷体"/>
          <w:color w:val="000000" w:themeColor="text1"/>
          <w:sz w:val="28"/>
          <w:szCs w:val="28"/>
          <w:lang w:eastAsia="zh-CN"/>
          <w14:textFill>
            <w14:solidFill>
              <w14:schemeClr w14:val="tx1"/>
            </w14:solidFill>
          </w14:textFill>
        </w:rPr>
        <w:t>了</w:t>
      </w:r>
      <w:r>
        <w:rPr>
          <w:rFonts w:hint="eastAsia" w:ascii="楷体" w:hAnsi="楷体" w:eastAsia="楷体"/>
          <w:color w:val="000000" w:themeColor="text1"/>
          <w:sz w:val="28"/>
          <w:szCs w:val="28"/>
          <w14:textFill>
            <w14:solidFill>
              <w14:schemeClr w14:val="tx1"/>
            </w14:solidFill>
          </w14:textFill>
        </w:rPr>
        <w:t>当期毛利率。</w:t>
      </w:r>
    </w:p>
    <w:p>
      <w:pPr>
        <w:spacing w:line="500" w:lineRule="exact"/>
        <w:ind w:firstLine="560" w:firstLineChars="200"/>
        <w:rPr>
          <w:rFonts w:hint="eastAsia" w:ascii="黑体" w:hAnsi="黑体" w:eastAsia="黑体" w:cs="黑体"/>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lang w:eastAsia="zh-CN"/>
          <w14:textFill>
            <w14:solidFill>
              <w14:schemeClr w14:val="tx1"/>
            </w14:solidFill>
          </w14:textFill>
        </w:rPr>
        <w:t>嘉寓股份的优势：</w:t>
      </w:r>
    </w:p>
    <w:p>
      <w:pPr>
        <w:spacing w:line="500" w:lineRule="exact"/>
        <w:ind w:firstLine="560" w:firstLineChars="200"/>
        <w:rPr>
          <w:rFonts w:hint="eastAsia" w:ascii="楷体" w:hAnsi="楷体" w:eastAsia="楷体"/>
          <w:color w:val="000000" w:themeColor="text1"/>
          <w:sz w:val="28"/>
          <w:szCs w:val="28"/>
          <w:lang w:eastAsia="zh-CN"/>
          <w14:textFill>
            <w14:solidFill>
              <w14:schemeClr w14:val="tx1"/>
            </w14:solidFill>
          </w14:textFill>
        </w:rPr>
      </w:pPr>
      <w:r>
        <w:rPr>
          <w:rFonts w:hint="eastAsia" w:ascii="楷体" w:hAnsi="楷体" w:eastAsia="楷体" w:cs="楷体"/>
          <w:i w:val="0"/>
          <w:caps w:val="0"/>
          <w:color w:val="000000"/>
          <w:spacing w:val="0"/>
          <w:sz w:val="28"/>
          <w:szCs w:val="28"/>
          <w:shd w:val="clear" w:fill="FFFFFF"/>
        </w:rPr>
        <w:t>报告期内，国家房地产调控政策未见明显放松迹象，房地产行业集中度提升趋势愈加明显，</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的战略布局、品牌和基地覆盖优势、经营管理模式、技术研发、产品设计与加工、新产品推广应用、人才储备、品牌经营、内控管理等方面的核心竞争力优势在行业中更加突显：</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b/>
          <w:bCs/>
          <w:i w:val="0"/>
          <w:caps w:val="0"/>
          <w:color w:val="000000"/>
          <w:spacing w:val="0"/>
          <w:sz w:val="28"/>
          <w:szCs w:val="28"/>
          <w:shd w:val="clear" w:fill="FFFFFF"/>
        </w:rPr>
        <w:t>　</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1</w:t>
      </w:r>
      <w:r>
        <w:rPr>
          <w:rFonts w:hint="eastAsia" w:ascii="楷体" w:hAnsi="楷体" w:eastAsia="楷体" w:cs="楷体"/>
          <w:b/>
          <w:bCs/>
          <w:i w:val="0"/>
          <w:caps w:val="0"/>
          <w:color w:val="000000"/>
          <w:spacing w:val="0"/>
          <w:sz w:val="28"/>
          <w:szCs w:val="28"/>
          <w:shd w:val="clear" w:fill="FFFFFF"/>
          <w:lang w:eastAsia="zh-CN"/>
        </w:rPr>
        <w:t>）历史与</w:t>
      </w:r>
      <w:r>
        <w:rPr>
          <w:rFonts w:hint="eastAsia" w:ascii="楷体" w:hAnsi="楷体" w:eastAsia="楷体" w:cs="楷体"/>
          <w:b/>
          <w:bCs/>
          <w:i w:val="0"/>
          <w:caps w:val="0"/>
          <w:color w:val="000000"/>
          <w:spacing w:val="0"/>
          <w:sz w:val="28"/>
          <w:szCs w:val="28"/>
          <w:shd w:val="clear" w:fill="FFFFFF"/>
        </w:rPr>
        <w:t>品牌优势</w:t>
      </w:r>
      <w:r>
        <w:rPr>
          <w:rFonts w:hint="eastAsia" w:ascii="楷体" w:hAnsi="楷体" w:eastAsia="楷体" w:cs="楷体"/>
          <w:b/>
          <w:bCs/>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“嘉寓”在门窗幕墙领域</w:t>
      </w:r>
      <w:r>
        <w:rPr>
          <w:rFonts w:hint="eastAsia" w:ascii="楷体" w:hAnsi="楷体" w:eastAsia="楷体" w:cs="楷体"/>
          <w:i w:val="0"/>
          <w:caps w:val="0"/>
          <w:color w:val="000000"/>
          <w:spacing w:val="0"/>
          <w:sz w:val="28"/>
          <w:szCs w:val="28"/>
          <w:shd w:val="clear" w:fill="FFFFFF"/>
          <w:lang w:val="en-US" w:eastAsia="zh-CN"/>
        </w:rPr>
        <w:t>30</w:t>
      </w:r>
      <w:r>
        <w:rPr>
          <w:rFonts w:hint="eastAsia" w:ascii="楷体" w:hAnsi="楷体" w:eastAsia="楷体" w:cs="楷体"/>
          <w:i w:val="0"/>
          <w:caps w:val="0"/>
          <w:color w:val="000000"/>
          <w:spacing w:val="0"/>
          <w:sz w:val="28"/>
          <w:szCs w:val="28"/>
          <w:shd w:val="clear" w:fill="FFFFFF"/>
        </w:rPr>
        <w:t>多年精细化经营与积累已形成了行业知名品牌，在持续夯实门窗幕墙主业的基础上，大力发展太阳能光伏业务和智能制造业务，基于嘉寓品牌与管理优势，目前已在太阳能光伏和智能制造的行业细分领域形成了品牌知名度和影响力，推进企业三大主业协同发展和品牌综合价值提升。报告期内，</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荣获“北京市民营企业百强”荣誉。节能门窗幕墙领域，</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是国内节能门窗行业龙头企业，荣获中国十大门窗首选品牌第一名，中国门窗百强第一名，中国房地产开发企业500强首选供应商品牌等多项行业荣誉，为公司门窗幕墙业务的稳健发展提供了强而有力的品牌背书。</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i w:val="0"/>
          <w:caps w:val="0"/>
          <w:color w:val="000000"/>
          <w:spacing w:val="0"/>
          <w:sz w:val="28"/>
          <w:szCs w:val="28"/>
          <w:shd w:val="clear" w:fill="FFFFFF"/>
          <w:lang w:val="en-US" w:eastAsia="zh-CN"/>
        </w:rPr>
        <w:t xml:space="preserve"> </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2</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rPr>
        <w:t>技术</w:t>
      </w:r>
      <w:r>
        <w:rPr>
          <w:rFonts w:hint="eastAsia" w:ascii="楷体" w:hAnsi="楷体" w:eastAsia="楷体" w:cs="楷体"/>
          <w:b/>
          <w:bCs/>
          <w:i w:val="0"/>
          <w:caps w:val="0"/>
          <w:color w:val="000000"/>
          <w:spacing w:val="0"/>
          <w:sz w:val="28"/>
          <w:szCs w:val="28"/>
          <w:shd w:val="clear" w:fill="FFFFFF"/>
          <w:lang w:eastAsia="zh-CN"/>
        </w:rPr>
        <w:t>与</w:t>
      </w:r>
      <w:r>
        <w:rPr>
          <w:rFonts w:hint="eastAsia" w:ascii="楷体" w:hAnsi="楷体" w:eastAsia="楷体" w:cs="楷体"/>
          <w:b/>
          <w:bCs/>
          <w:i w:val="0"/>
          <w:caps w:val="0"/>
          <w:color w:val="000000"/>
          <w:spacing w:val="0"/>
          <w:sz w:val="28"/>
          <w:szCs w:val="28"/>
          <w:shd w:val="clear" w:fill="FFFFFF"/>
        </w:rPr>
        <w:t>产品优势</w:t>
      </w:r>
      <w:r>
        <w:rPr>
          <w:rFonts w:hint="eastAsia" w:ascii="楷体" w:hAnsi="楷体" w:eastAsia="楷体" w:cs="楷体"/>
          <w:b/>
          <w:bCs/>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公司结合国际国内领先的门窗幕墙技术和产品优势及多年市场应用经验，研发并推出了能够满足不同气候条件的具有完整自主知识产权的系统产品解决方案。产品涵盖节能、智能和太阳能应用三大领域，拥有结构设计、生产制造、安装施工及技术服务等完整产业链，可充分发挥多种产品的协同效应，可满足建筑要求的各种高技术、高难度的复杂项目，满足不同地区、不同客户的个性化需求。其中，嘉寓系统智能窗获2018年度中国门窗幕墙创新奖和金轩奖。随着自身专有生产技术和工艺流程的不断提高，</w:t>
      </w:r>
      <w:r>
        <w:rPr>
          <w:rFonts w:hint="eastAsia" w:ascii="楷体" w:hAnsi="楷体" w:eastAsia="楷体" w:cs="楷体"/>
          <w:i w:val="0"/>
          <w:caps w:val="0"/>
          <w:color w:val="000000"/>
          <w:spacing w:val="0"/>
          <w:sz w:val="28"/>
          <w:szCs w:val="28"/>
          <w:shd w:val="clear" w:fill="FFFFFF"/>
          <w:lang w:eastAsia="zh-CN"/>
        </w:rPr>
        <w:t>他们的</w:t>
      </w:r>
      <w:r>
        <w:rPr>
          <w:rFonts w:hint="eastAsia" w:ascii="楷体" w:hAnsi="楷体" w:eastAsia="楷体" w:cs="楷体"/>
          <w:i w:val="0"/>
          <w:caps w:val="0"/>
          <w:color w:val="000000"/>
          <w:spacing w:val="0"/>
          <w:sz w:val="28"/>
          <w:szCs w:val="28"/>
          <w:shd w:val="clear" w:fill="FFFFFF"/>
        </w:rPr>
        <w:t>产品不断提高转换效率、降低损耗、提升产线兼容性、降低成本、延长使用寿命以及更加安全环保。报告期内，新申请技术专利84项，累计获得授权的技术专利总数达到515项。</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3</w:t>
      </w:r>
      <w:r>
        <w:rPr>
          <w:rFonts w:hint="eastAsia" w:ascii="楷体" w:hAnsi="楷体" w:eastAsia="楷体" w:cs="楷体"/>
          <w:b/>
          <w:bCs/>
          <w:i w:val="0"/>
          <w:caps w:val="0"/>
          <w:color w:val="000000"/>
          <w:spacing w:val="0"/>
          <w:sz w:val="28"/>
          <w:szCs w:val="28"/>
          <w:shd w:val="clear" w:fill="FFFFFF"/>
          <w:lang w:eastAsia="zh-CN"/>
        </w:rPr>
        <w:t>）人才与管理</w:t>
      </w:r>
      <w:r>
        <w:rPr>
          <w:rFonts w:hint="eastAsia" w:ascii="楷体" w:hAnsi="楷体" w:eastAsia="楷体" w:cs="楷体"/>
          <w:b/>
          <w:bCs/>
          <w:i w:val="0"/>
          <w:caps w:val="0"/>
          <w:color w:val="000000"/>
          <w:spacing w:val="0"/>
          <w:sz w:val="28"/>
          <w:szCs w:val="28"/>
          <w:shd w:val="clear" w:fill="FFFFFF"/>
        </w:rPr>
        <w:t>优势</w:t>
      </w:r>
      <w:r>
        <w:rPr>
          <w:rFonts w:hint="eastAsia" w:ascii="楷体" w:hAnsi="楷体" w:eastAsia="楷体" w:cs="楷体"/>
          <w:b/>
          <w:bCs/>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高度重视人才引进以及管理创新，核心团队稳定性及创新能力突出。</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积累</w:t>
      </w:r>
      <w:r>
        <w:rPr>
          <w:rFonts w:hint="eastAsia" w:ascii="楷体" w:hAnsi="楷体" w:eastAsia="楷体" w:cs="楷体"/>
          <w:i w:val="0"/>
          <w:caps w:val="0"/>
          <w:color w:val="000000"/>
          <w:spacing w:val="0"/>
          <w:sz w:val="28"/>
          <w:szCs w:val="28"/>
          <w:shd w:val="clear" w:fill="FFFFFF"/>
          <w:lang w:eastAsia="zh-CN"/>
        </w:rPr>
        <w:t>了</w:t>
      </w:r>
      <w:r>
        <w:rPr>
          <w:rFonts w:hint="eastAsia" w:ascii="楷体" w:hAnsi="楷体" w:eastAsia="楷体" w:cs="楷体"/>
          <w:i w:val="0"/>
          <w:caps w:val="0"/>
          <w:color w:val="000000"/>
          <w:spacing w:val="0"/>
          <w:sz w:val="28"/>
          <w:szCs w:val="28"/>
          <w:shd w:val="clear" w:fill="FFFFFF"/>
        </w:rPr>
        <w:t>30余年的项目管理经验，拥有建造师、中高级工程师等层次分明且优秀的项目管理专业人才，并有人才梯队建设保障，奠定了坚实的项目管理人才基础</w:t>
      </w:r>
      <w:r>
        <w:rPr>
          <w:rFonts w:hint="eastAsia" w:ascii="楷体" w:hAnsi="楷体" w:eastAsia="楷体" w:cs="楷体"/>
          <w:i w:val="0"/>
          <w:caps w:val="0"/>
          <w:color w:val="000000"/>
          <w:spacing w:val="0"/>
          <w:sz w:val="28"/>
          <w:szCs w:val="28"/>
          <w:shd w:val="clear" w:fill="FFFFFF"/>
          <w:lang w:eastAsia="zh-CN"/>
        </w:rPr>
        <w:t>；运</w:t>
      </w:r>
      <w:r>
        <w:rPr>
          <w:rFonts w:hint="eastAsia" w:ascii="楷体" w:hAnsi="楷体" w:eastAsia="楷体" w:cs="楷体"/>
          <w:i w:val="0"/>
          <w:caps w:val="0"/>
          <w:color w:val="000000"/>
          <w:spacing w:val="0"/>
          <w:sz w:val="28"/>
          <w:szCs w:val="28"/>
          <w:shd w:val="clear" w:fill="FFFFFF"/>
        </w:rPr>
        <w:t>用信息化手段</w:t>
      </w:r>
      <w:r>
        <w:rPr>
          <w:rFonts w:hint="eastAsia" w:ascii="楷体" w:hAnsi="楷体" w:eastAsia="楷体" w:cs="楷体"/>
          <w:i w:val="0"/>
          <w:caps w:val="0"/>
          <w:color w:val="000000"/>
          <w:spacing w:val="0"/>
          <w:sz w:val="28"/>
          <w:szCs w:val="28"/>
          <w:shd w:val="clear" w:fill="FFFFFF"/>
          <w:lang w:eastAsia="zh-CN"/>
        </w:rPr>
        <w:t>对</w:t>
      </w:r>
      <w:r>
        <w:rPr>
          <w:rFonts w:hint="eastAsia" w:ascii="楷体" w:hAnsi="楷体" w:eastAsia="楷体" w:cs="楷体"/>
          <w:i w:val="0"/>
          <w:caps w:val="0"/>
          <w:color w:val="000000"/>
          <w:spacing w:val="0"/>
          <w:sz w:val="28"/>
          <w:szCs w:val="28"/>
          <w:shd w:val="clear" w:fill="FFFFFF"/>
        </w:rPr>
        <w:t>项目</w:t>
      </w:r>
      <w:r>
        <w:rPr>
          <w:rFonts w:hint="eastAsia" w:ascii="楷体" w:hAnsi="楷体" w:eastAsia="楷体" w:cs="楷体"/>
          <w:i w:val="0"/>
          <w:caps w:val="0"/>
          <w:color w:val="000000"/>
          <w:spacing w:val="0"/>
          <w:sz w:val="28"/>
          <w:szCs w:val="28"/>
          <w:shd w:val="clear" w:fill="FFFFFF"/>
          <w:lang w:eastAsia="zh-CN"/>
        </w:rPr>
        <w:t>进行</w:t>
      </w:r>
      <w:r>
        <w:rPr>
          <w:rFonts w:hint="eastAsia" w:ascii="楷体" w:hAnsi="楷体" w:eastAsia="楷体" w:cs="楷体"/>
          <w:i w:val="0"/>
          <w:caps w:val="0"/>
          <w:color w:val="000000"/>
          <w:spacing w:val="0"/>
          <w:sz w:val="28"/>
          <w:szCs w:val="28"/>
          <w:shd w:val="clear" w:fill="FFFFFF"/>
        </w:rPr>
        <w:t>实时管控</w:t>
      </w:r>
      <w:r>
        <w:rPr>
          <w:rFonts w:hint="eastAsia" w:ascii="楷体" w:hAnsi="楷体" w:eastAsia="楷体" w:cs="楷体"/>
          <w:i w:val="0"/>
          <w:caps w:val="0"/>
          <w:color w:val="000000"/>
          <w:spacing w:val="0"/>
          <w:sz w:val="28"/>
          <w:szCs w:val="28"/>
          <w:shd w:val="clear" w:fill="FFFFFF"/>
          <w:lang w:eastAsia="zh-CN"/>
        </w:rPr>
        <w:t>，基本</w:t>
      </w:r>
      <w:r>
        <w:rPr>
          <w:rFonts w:hint="eastAsia" w:ascii="楷体" w:hAnsi="楷体" w:eastAsia="楷体" w:cs="楷体"/>
          <w:i w:val="0"/>
          <w:caps w:val="0"/>
          <w:color w:val="000000"/>
          <w:spacing w:val="0"/>
          <w:sz w:val="28"/>
          <w:szCs w:val="28"/>
          <w:shd w:val="clear" w:fill="FFFFFF"/>
        </w:rPr>
        <w:t>实现了项目管理的内部流程、项目进度、成本控制、数据分析的信息化管理</w:t>
      </w:r>
      <w:r>
        <w:rPr>
          <w:rFonts w:hint="eastAsia" w:ascii="楷体" w:hAnsi="楷体" w:eastAsia="楷体" w:cs="楷体"/>
          <w:i w:val="0"/>
          <w:caps w:val="0"/>
          <w:color w:val="000000"/>
          <w:spacing w:val="0"/>
          <w:sz w:val="28"/>
          <w:szCs w:val="28"/>
          <w:shd w:val="clear" w:fill="FFFFFF"/>
          <w:lang w:eastAsia="zh-CN"/>
        </w:rPr>
        <w:t>，</w:t>
      </w:r>
      <w:r>
        <w:rPr>
          <w:rFonts w:hint="eastAsia" w:ascii="楷体" w:hAnsi="楷体" w:eastAsia="楷体" w:cs="楷体"/>
          <w:i w:val="0"/>
          <w:caps w:val="0"/>
          <w:color w:val="000000"/>
          <w:spacing w:val="0"/>
          <w:sz w:val="28"/>
          <w:szCs w:val="28"/>
          <w:shd w:val="clear" w:fill="FFFFFF"/>
        </w:rPr>
        <w:t>确保了项目实施过程中</w:t>
      </w:r>
      <w:r>
        <w:rPr>
          <w:rFonts w:hint="eastAsia" w:ascii="楷体" w:hAnsi="楷体" w:eastAsia="楷体" w:cs="楷体"/>
          <w:i w:val="0"/>
          <w:caps w:val="0"/>
          <w:color w:val="000000"/>
          <w:spacing w:val="0"/>
          <w:sz w:val="28"/>
          <w:szCs w:val="28"/>
          <w:shd w:val="clear" w:fill="FFFFFF"/>
          <w:lang w:eastAsia="zh-CN"/>
        </w:rPr>
        <w:t>的</w:t>
      </w:r>
      <w:r>
        <w:rPr>
          <w:rFonts w:hint="eastAsia" w:ascii="楷体" w:hAnsi="楷体" w:eastAsia="楷体" w:cs="楷体"/>
          <w:i w:val="0"/>
          <w:caps w:val="0"/>
          <w:color w:val="000000"/>
          <w:spacing w:val="0"/>
          <w:sz w:val="28"/>
          <w:szCs w:val="28"/>
          <w:shd w:val="clear" w:fill="FFFFFF"/>
        </w:rPr>
        <w:t>质量、安全</w:t>
      </w:r>
      <w:r>
        <w:rPr>
          <w:rFonts w:hint="eastAsia" w:ascii="楷体" w:hAnsi="楷体" w:eastAsia="楷体" w:cs="楷体"/>
          <w:i w:val="0"/>
          <w:caps w:val="0"/>
          <w:color w:val="000000"/>
          <w:spacing w:val="0"/>
          <w:sz w:val="28"/>
          <w:szCs w:val="28"/>
          <w:shd w:val="clear" w:fill="FFFFFF"/>
          <w:lang w:eastAsia="zh-CN"/>
        </w:rPr>
        <w:t>与</w:t>
      </w:r>
      <w:r>
        <w:rPr>
          <w:rFonts w:hint="eastAsia" w:ascii="楷体" w:hAnsi="楷体" w:eastAsia="楷体" w:cs="楷体"/>
          <w:i w:val="0"/>
          <w:caps w:val="0"/>
          <w:color w:val="000000"/>
          <w:spacing w:val="0"/>
          <w:sz w:val="28"/>
          <w:szCs w:val="28"/>
          <w:shd w:val="clear" w:fill="FFFFFF"/>
        </w:rPr>
        <w:t>进度</w:t>
      </w:r>
      <w:r>
        <w:rPr>
          <w:rFonts w:hint="eastAsia" w:ascii="楷体" w:hAnsi="楷体" w:eastAsia="楷体" w:cs="楷体"/>
          <w:i w:val="0"/>
          <w:caps w:val="0"/>
          <w:color w:val="000000"/>
          <w:spacing w:val="0"/>
          <w:sz w:val="28"/>
          <w:szCs w:val="28"/>
          <w:shd w:val="clear" w:fill="FFFFFF"/>
          <w:lang w:eastAsia="zh-CN"/>
        </w:rPr>
        <w:t>；</w:t>
      </w:r>
      <w:r>
        <w:rPr>
          <w:rFonts w:hint="eastAsia" w:ascii="楷体" w:hAnsi="楷体" w:eastAsia="楷体" w:cs="楷体"/>
          <w:i w:val="0"/>
          <w:caps w:val="0"/>
          <w:color w:val="000000"/>
          <w:spacing w:val="0"/>
          <w:sz w:val="28"/>
          <w:szCs w:val="28"/>
          <w:shd w:val="clear" w:fill="FFFFFF"/>
        </w:rPr>
        <w:t>通过信息化手段建立完善的监督监察机制，形成了总部-区域总部-子公司三级管理监察体系，对项目管理过程中的问题能够及时发现、及时处理，有效防范经营风险。</w:t>
      </w:r>
    </w:p>
    <w:p>
      <w:pPr>
        <w:spacing w:line="500" w:lineRule="exact"/>
        <w:ind w:firstLine="560" w:firstLineChars="200"/>
        <w:rPr>
          <w:rFonts w:hint="eastAsia" w:ascii="黑体" w:hAnsi="黑体" w:eastAsia="黑体" w:cs="黑体"/>
          <w:color w:val="000000" w:themeColor="text1"/>
          <w:sz w:val="28"/>
          <w:szCs w:val="28"/>
          <w:lang w:eastAsia="zh-CN"/>
          <w14:textFill>
            <w14:solidFill>
              <w14:schemeClr w14:val="tx1"/>
            </w14:solidFill>
          </w14:textFill>
        </w:rPr>
      </w:pPr>
      <w:r>
        <w:rPr>
          <w:rFonts w:hint="eastAsia" w:ascii="黑体" w:hAnsi="黑体" w:eastAsia="黑体" w:cs="黑体"/>
          <w:color w:val="000000" w:themeColor="text1"/>
          <w:sz w:val="28"/>
          <w:szCs w:val="28"/>
          <w:lang w:eastAsia="zh-CN"/>
          <w14:textFill>
            <w14:solidFill>
              <w14:schemeClr w14:val="tx1"/>
            </w14:solidFill>
          </w14:textFill>
        </w:rPr>
        <w:t>嘉寓公司的劣势：</w:t>
      </w:r>
    </w:p>
    <w:p>
      <w:pPr>
        <w:spacing w:line="500" w:lineRule="exact"/>
        <w:ind w:firstLine="562" w:firstLineChars="200"/>
        <w:rPr>
          <w:rFonts w:hint="eastAsia"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1</w:t>
      </w:r>
      <w:r>
        <w:rPr>
          <w:rFonts w:hint="eastAsia" w:ascii="楷体" w:hAnsi="楷体" w:eastAsia="楷体" w:cs="楷体"/>
          <w:b/>
          <w:bCs/>
          <w:i w:val="0"/>
          <w:caps w:val="0"/>
          <w:color w:val="000000"/>
          <w:spacing w:val="0"/>
          <w:sz w:val="28"/>
          <w:szCs w:val="28"/>
          <w:shd w:val="clear" w:fill="FFFFFF"/>
          <w:lang w:eastAsia="zh-CN"/>
        </w:rPr>
        <w:t>）行业变化的</w:t>
      </w:r>
      <w:r>
        <w:rPr>
          <w:rFonts w:hint="eastAsia" w:ascii="楷体" w:hAnsi="楷体" w:eastAsia="楷体" w:cs="楷体"/>
          <w:b/>
          <w:bCs/>
          <w:i w:val="0"/>
          <w:caps w:val="0"/>
          <w:color w:val="000000"/>
          <w:spacing w:val="0"/>
          <w:sz w:val="28"/>
          <w:szCs w:val="28"/>
          <w:shd w:val="clear" w:fill="FFFFFF"/>
        </w:rPr>
        <w:t>风险</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三大业务板块均与宏观经济及行业政策密切相关。房地产业</w:t>
      </w:r>
      <w:r>
        <w:rPr>
          <w:rFonts w:hint="eastAsia" w:ascii="楷体" w:hAnsi="楷体" w:eastAsia="楷体" w:cs="楷体"/>
          <w:i w:val="0"/>
          <w:caps w:val="0"/>
          <w:color w:val="000000"/>
          <w:spacing w:val="0"/>
          <w:sz w:val="28"/>
          <w:szCs w:val="28"/>
          <w:shd w:val="clear" w:fill="FFFFFF"/>
          <w:lang w:eastAsia="zh-CN"/>
        </w:rPr>
        <w:t>目前乃至未来都</w:t>
      </w:r>
      <w:r>
        <w:rPr>
          <w:rFonts w:hint="eastAsia" w:ascii="楷体" w:hAnsi="楷体" w:eastAsia="楷体" w:cs="楷体"/>
          <w:i w:val="0"/>
          <w:caps w:val="0"/>
          <w:color w:val="000000"/>
          <w:spacing w:val="0"/>
          <w:sz w:val="28"/>
          <w:szCs w:val="28"/>
          <w:shd w:val="clear" w:fill="FFFFFF"/>
        </w:rPr>
        <w:t>是国家进行调控的重要行业，每年都有较多的行业政策出台。太阳能光伏业务高度依赖国家的新能源发展政策和光伏补贴政策，并受我国经济发展尤其是工业发展水平的影响。智能装备行业是近几年来我国大力发展的重点行业，各项发展规划、金融资源支持政策、资本市场支持政策层出不穷，正处于政策风口。如果未来经济增速大幅放缓，房地产调控政策持续收紧，光伏上网电价降低或光伏补贴全面取消，智能装备行业支持政策减少，可能对公司的各业务板块有较大不利影响，并影响公司的盈利能力。行业供给总量会因劳动力、技术水平、资金供需等因素的变化呈现不断扩张或收缩的态势；行业业绩也会因价格、需求、收入、市场预期变动，以及宏观经济政策主要包括财政政策、货币政策、产业政策、投资政策等因素的影响，而出现周期性波动。</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2</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rPr>
        <w:t>市场竞争</w:t>
      </w:r>
      <w:r>
        <w:rPr>
          <w:rFonts w:hint="eastAsia" w:ascii="楷体" w:hAnsi="楷体" w:eastAsia="楷体" w:cs="楷体"/>
          <w:b/>
          <w:bCs/>
          <w:i w:val="0"/>
          <w:caps w:val="0"/>
          <w:color w:val="000000"/>
          <w:spacing w:val="0"/>
          <w:sz w:val="28"/>
          <w:szCs w:val="28"/>
          <w:shd w:val="clear" w:fill="FFFFFF"/>
          <w:lang w:eastAsia="zh-CN"/>
        </w:rPr>
        <w:t>的</w:t>
      </w:r>
      <w:r>
        <w:rPr>
          <w:rFonts w:hint="eastAsia" w:ascii="楷体" w:hAnsi="楷体" w:eastAsia="楷体" w:cs="楷体"/>
          <w:b/>
          <w:bCs/>
          <w:i w:val="0"/>
          <w:caps w:val="0"/>
          <w:color w:val="000000"/>
          <w:spacing w:val="0"/>
          <w:sz w:val="28"/>
          <w:szCs w:val="28"/>
          <w:shd w:val="clear" w:fill="FFFFFF"/>
        </w:rPr>
        <w:t>风险</w:t>
      </w:r>
      <w:r>
        <w:rPr>
          <w:rFonts w:hint="eastAsia" w:ascii="楷体" w:hAnsi="楷体" w:eastAsia="楷体" w:cs="楷体"/>
          <w:b/>
          <w:bCs/>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从事的节能门窗幕墙属于市场充分竞争的行业，行业内存在实力强大的龙头企业，对</w:t>
      </w:r>
      <w:r>
        <w:rPr>
          <w:rFonts w:hint="eastAsia" w:ascii="楷体" w:hAnsi="楷体" w:eastAsia="楷体" w:cs="楷体"/>
          <w:i w:val="0"/>
          <w:caps w:val="0"/>
          <w:color w:val="000000"/>
          <w:spacing w:val="0"/>
          <w:sz w:val="28"/>
          <w:szCs w:val="28"/>
          <w:shd w:val="clear" w:fill="FFFFFF"/>
          <w:lang w:eastAsia="zh-CN"/>
        </w:rPr>
        <w:t>其</w:t>
      </w:r>
      <w:r>
        <w:rPr>
          <w:rFonts w:hint="eastAsia" w:ascii="楷体" w:hAnsi="楷体" w:eastAsia="楷体" w:cs="楷体"/>
          <w:i w:val="0"/>
          <w:caps w:val="0"/>
          <w:color w:val="000000"/>
          <w:spacing w:val="0"/>
          <w:sz w:val="28"/>
          <w:szCs w:val="28"/>
          <w:shd w:val="clear" w:fill="FFFFFF"/>
        </w:rPr>
        <w:t>形成较强的竞争压力。</w:t>
      </w:r>
      <w:r>
        <w:rPr>
          <w:rFonts w:hint="eastAsia" w:ascii="楷体" w:hAnsi="楷体" w:eastAsia="楷体" w:cs="楷体"/>
          <w:i w:val="0"/>
          <w:caps w:val="0"/>
          <w:color w:val="000000"/>
          <w:spacing w:val="0"/>
          <w:sz w:val="28"/>
          <w:szCs w:val="28"/>
          <w:shd w:val="clear" w:fill="FFFFFF"/>
          <w:lang w:eastAsia="zh-CN"/>
        </w:rPr>
        <w:t>他们</w:t>
      </w:r>
      <w:r>
        <w:rPr>
          <w:rFonts w:hint="eastAsia" w:ascii="楷体" w:hAnsi="楷体" w:eastAsia="楷体" w:cs="楷体"/>
          <w:i w:val="0"/>
          <w:caps w:val="0"/>
          <w:color w:val="000000"/>
          <w:spacing w:val="0"/>
          <w:sz w:val="28"/>
          <w:szCs w:val="28"/>
          <w:shd w:val="clear" w:fill="FFFFFF"/>
        </w:rPr>
        <w:t>从事的智能装备业务属于快速发展的新兴行业，行业分类较细且创新型企业众多，随着国家政策的大力扶持，将来会形成一批竞争力较强的企业，与</w:t>
      </w:r>
      <w:r>
        <w:rPr>
          <w:rFonts w:hint="eastAsia" w:ascii="楷体" w:hAnsi="楷体" w:eastAsia="楷体" w:cs="楷体"/>
          <w:i w:val="0"/>
          <w:caps w:val="0"/>
          <w:color w:val="000000"/>
          <w:spacing w:val="0"/>
          <w:sz w:val="28"/>
          <w:szCs w:val="28"/>
          <w:shd w:val="clear" w:fill="FFFFFF"/>
          <w:lang w:eastAsia="zh-CN"/>
        </w:rPr>
        <w:t>其</w:t>
      </w:r>
      <w:r>
        <w:rPr>
          <w:rFonts w:hint="eastAsia" w:ascii="楷体" w:hAnsi="楷体" w:eastAsia="楷体" w:cs="楷体"/>
          <w:i w:val="0"/>
          <w:caps w:val="0"/>
          <w:color w:val="000000"/>
          <w:spacing w:val="0"/>
          <w:sz w:val="28"/>
          <w:szCs w:val="28"/>
          <w:shd w:val="clear" w:fill="FFFFFF"/>
        </w:rPr>
        <w:t>展开激烈竞争。如果</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不能很好地应对市场竞争，将对</w:t>
      </w:r>
      <w:r>
        <w:rPr>
          <w:rFonts w:hint="eastAsia" w:ascii="楷体" w:hAnsi="楷体" w:eastAsia="楷体" w:cs="楷体"/>
          <w:i w:val="0"/>
          <w:caps w:val="0"/>
          <w:color w:val="000000"/>
          <w:spacing w:val="0"/>
          <w:sz w:val="28"/>
          <w:szCs w:val="28"/>
          <w:shd w:val="clear" w:fill="FFFFFF"/>
          <w:lang w:eastAsia="zh-CN"/>
        </w:rPr>
        <w:t>其未来</w:t>
      </w:r>
      <w:r>
        <w:rPr>
          <w:rFonts w:hint="eastAsia" w:ascii="楷体" w:hAnsi="楷体" w:eastAsia="楷体" w:cs="楷体"/>
          <w:i w:val="0"/>
          <w:caps w:val="0"/>
          <w:color w:val="000000"/>
          <w:spacing w:val="0"/>
          <w:sz w:val="28"/>
          <w:szCs w:val="28"/>
          <w:shd w:val="clear" w:fill="FFFFFF"/>
        </w:rPr>
        <w:t>业务发展形成不利影响，影响公司的盈利能力。</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lang w:val="en-US" w:eastAsia="zh-CN"/>
        </w:rPr>
        <w:t>3</w:t>
      </w:r>
      <w:r>
        <w:rPr>
          <w:rFonts w:hint="eastAsia" w:ascii="楷体" w:hAnsi="楷体" w:eastAsia="楷体" w:cs="楷体"/>
          <w:b/>
          <w:bCs/>
          <w:i w:val="0"/>
          <w:caps w:val="0"/>
          <w:color w:val="000000"/>
          <w:spacing w:val="0"/>
          <w:sz w:val="28"/>
          <w:szCs w:val="28"/>
          <w:shd w:val="clear" w:fill="FFFFFF"/>
          <w:lang w:eastAsia="zh-CN"/>
        </w:rPr>
        <w:t>）</w:t>
      </w:r>
      <w:r>
        <w:rPr>
          <w:rFonts w:hint="eastAsia" w:ascii="楷体" w:hAnsi="楷体" w:eastAsia="楷体" w:cs="楷体"/>
          <w:b/>
          <w:bCs/>
          <w:i w:val="0"/>
          <w:caps w:val="0"/>
          <w:color w:val="000000"/>
          <w:spacing w:val="0"/>
          <w:sz w:val="28"/>
          <w:szCs w:val="28"/>
          <w:shd w:val="clear" w:fill="FFFFFF"/>
        </w:rPr>
        <w:t>主业拓展的风险</w:t>
      </w:r>
      <w:r>
        <w:rPr>
          <w:rFonts w:hint="eastAsia" w:ascii="楷体" w:hAnsi="楷体" w:eastAsia="楷体" w:cs="楷体"/>
          <w:b/>
          <w:bCs/>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rPr>
        <w:t>　　</w:t>
      </w:r>
      <w:r>
        <w:rPr>
          <w:rFonts w:hint="eastAsia" w:ascii="楷体" w:hAnsi="楷体" w:eastAsia="楷体" w:cs="楷体"/>
          <w:i w:val="0"/>
          <w:caps w:val="0"/>
          <w:color w:val="000000"/>
          <w:spacing w:val="0"/>
          <w:sz w:val="28"/>
          <w:szCs w:val="28"/>
          <w:shd w:val="clear" w:fill="FFFFFF"/>
          <w:lang w:eastAsia="zh-CN"/>
        </w:rPr>
        <w:t>嘉寓</w:t>
      </w:r>
      <w:r>
        <w:rPr>
          <w:rFonts w:hint="eastAsia" w:ascii="楷体" w:hAnsi="楷体" w:eastAsia="楷体" w:cs="楷体"/>
          <w:i w:val="0"/>
          <w:caps w:val="0"/>
          <w:color w:val="000000"/>
          <w:spacing w:val="0"/>
          <w:sz w:val="28"/>
          <w:szCs w:val="28"/>
          <w:shd w:val="clear" w:fill="FFFFFF"/>
        </w:rPr>
        <w:t>在门窗行业从分散型逐步向集中型转变的历史机遇中，通过投资、并购等方式，逐步从全产业链的经营模式向以系统研发、技术服务为重心的模式转型，加大力量拓展互联网+门窗零售市场，进行国内节能门窗、智能家居等领域的行业资源整合，同时进一步拓展绿色建筑、智能装备领域、光伏光热领域业务。</w:t>
      </w:r>
      <w:r>
        <w:rPr>
          <w:rFonts w:hint="eastAsia" w:ascii="楷体" w:hAnsi="楷体" w:eastAsia="楷体" w:cs="楷体"/>
          <w:i w:val="0"/>
          <w:caps w:val="0"/>
          <w:color w:val="000000"/>
          <w:spacing w:val="0"/>
          <w:sz w:val="28"/>
          <w:szCs w:val="28"/>
          <w:shd w:val="clear" w:fill="FFFFFF"/>
          <w:lang w:eastAsia="zh-CN"/>
        </w:rPr>
        <w:t>但</w:t>
      </w:r>
      <w:r>
        <w:rPr>
          <w:rFonts w:hint="eastAsia" w:ascii="楷体" w:hAnsi="楷体" w:eastAsia="楷体" w:cs="楷体"/>
          <w:i w:val="0"/>
          <w:caps w:val="0"/>
          <w:color w:val="000000"/>
          <w:spacing w:val="0"/>
          <w:sz w:val="28"/>
          <w:szCs w:val="28"/>
          <w:shd w:val="clear" w:fill="FFFFFF"/>
        </w:rPr>
        <w:t>在行业资源整合及发展模式转型升级的过程中，企业文化的差异、管理模式的创新、人力资源的储备等方面都存在一定的不确定性因素，</w:t>
      </w:r>
      <w:r>
        <w:rPr>
          <w:rFonts w:hint="eastAsia" w:ascii="楷体" w:hAnsi="楷体" w:eastAsia="楷体" w:cs="楷体"/>
          <w:i w:val="0"/>
          <w:caps w:val="0"/>
          <w:color w:val="000000"/>
          <w:spacing w:val="0"/>
          <w:sz w:val="28"/>
          <w:szCs w:val="28"/>
          <w:shd w:val="clear" w:fill="FFFFFF"/>
          <w:lang w:eastAsia="zh-CN"/>
        </w:rPr>
        <w:t>或将</w:t>
      </w:r>
      <w:r>
        <w:rPr>
          <w:rFonts w:hint="eastAsia" w:ascii="楷体" w:hAnsi="楷体" w:eastAsia="楷体" w:cs="楷体"/>
          <w:i w:val="0"/>
          <w:caps w:val="0"/>
          <w:color w:val="000000"/>
          <w:spacing w:val="0"/>
          <w:sz w:val="28"/>
          <w:szCs w:val="28"/>
          <w:shd w:val="clear" w:fill="FFFFFF"/>
        </w:rPr>
        <w:t>导致多主业无法实现协同发展的预期</w:t>
      </w:r>
      <w:r>
        <w:rPr>
          <w:rFonts w:hint="eastAsia" w:ascii="楷体" w:hAnsi="楷体" w:eastAsia="楷体" w:cs="楷体"/>
          <w:i w:val="0"/>
          <w:caps w:val="0"/>
          <w:color w:val="000000"/>
          <w:spacing w:val="0"/>
          <w:sz w:val="28"/>
          <w:szCs w:val="28"/>
          <w:shd w:val="clear" w:fill="FFFFFF"/>
          <w:lang w:eastAsia="zh-CN"/>
        </w:rPr>
        <w:t>。</w:t>
      </w:r>
    </w:p>
    <w:p>
      <w:pPr>
        <w:spacing w:line="500" w:lineRule="exact"/>
        <w:ind w:firstLine="560" w:firstLineChars="200"/>
        <w:rPr>
          <w:rFonts w:hint="eastAsia" w:ascii="楷体" w:hAnsi="楷体" w:eastAsia="楷体"/>
          <w:color w:val="000000" w:themeColor="text1"/>
          <w:sz w:val="28"/>
          <w:szCs w:val="28"/>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根据以上分析，嘉寓股份在同行业中竞争力较弱</w:t>
      </w:r>
      <w:r>
        <w:rPr>
          <w:rFonts w:hint="eastAsia" w:ascii="楷体" w:hAnsi="楷体" w:eastAsia="楷体"/>
          <w:color w:val="000000" w:themeColor="text1"/>
          <w:sz w:val="28"/>
          <w:szCs w:val="28"/>
          <w:lang w:eastAsia="zh-CN"/>
          <w14:textFill>
            <w14:solidFill>
              <w14:schemeClr w14:val="tx1"/>
            </w14:solidFill>
          </w14:textFill>
        </w:rPr>
        <w:t>（营收排名第</w:t>
      </w:r>
      <w:r>
        <w:rPr>
          <w:rFonts w:hint="eastAsia" w:ascii="楷体" w:hAnsi="楷体" w:eastAsia="楷体"/>
          <w:color w:val="000000" w:themeColor="text1"/>
          <w:sz w:val="28"/>
          <w:szCs w:val="28"/>
          <w:lang w:val="en-US" w:eastAsia="zh-CN"/>
          <w14:textFill>
            <w14:solidFill>
              <w14:schemeClr w14:val="tx1"/>
            </w14:solidFill>
          </w14:textFill>
        </w:rPr>
        <w:t>29名，收益排名第41名</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w:t>
      </w:r>
      <w:r>
        <w:rPr>
          <w:rFonts w:hint="eastAsia" w:ascii="楷体" w:hAnsi="楷体" w:eastAsia="楷体"/>
          <w:color w:val="000000" w:themeColor="text1"/>
          <w:sz w:val="28"/>
          <w:szCs w:val="28"/>
          <w:lang w:eastAsia="zh-CN"/>
          <w14:textFill>
            <w14:solidFill>
              <w14:schemeClr w14:val="tx1"/>
            </w14:solidFill>
          </w14:textFill>
        </w:rPr>
        <w:t>且</w:t>
      </w:r>
      <w:r>
        <w:rPr>
          <w:rFonts w:hint="eastAsia" w:ascii="楷体" w:hAnsi="楷体" w:eastAsia="楷体"/>
          <w:color w:val="000000" w:themeColor="text1"/>
          <w:sz w:val="28"/>
          <w:szCs w:val="28"/>
          <w14:textFill>
            <w14:solidFill>
              <w14:schemeClr w14:val="tx1"/>
            </w14:solidFill>
          </w14:textFill>
        </w:rPr>
        <w:t>行业周期性</w:t>
      </w:r>
      <w:r>
        <w:rPr>
          <w:rFonts w:hint="eastAsia" w:ascii="楷体" w:hAnsi="楷体" w:eastAsia="楷体"/>
          <w:color w:val="000000" w:themeColor="text1"/>
          <w:sz w:val="28"/>
          <w:szCs w:val="28"/>
          <w:lang w:eastAsia="zh-CN"/>
          <w14:textFill>
            <w14:solidFill>
              <w14:schemeClr w14:val="tx1"/>
            </w14:solidFill>
          </w14:textFill>
        </w:rPr>
        <w:t>与国家政策变化</w:t>
      </w:r>
      <w:r>
        <w:rPr>
          <w:rFonts w:hint="eastAsia" w:ascii="楷体" w:hAnsi="楷体" w:eastAsia="楷体"/>
          <w:color w:val="000000" w:themeColor="text1"/>
          <w:sz w:val="28"/>
          <w:szCs w:val="28"/>
          <w14:textFill>
            <w14:solidFill>
              <w14:schemeClr w14:val="tx1"/>
            </w14:solidFill>
          </w14:textFill>
        </w:rPr>
        <w:t>对营业收入影响较大</w:t>
      </w:r>
      <w:r>
        <w:rPr>
          <w:rFonts w:hint="eastAsia" w:ascii="楷体" w:hAnsi="楷体" w:eastAsia="楷体"/>
          <w:color w:val="000000" w:themeColor="text1"/>
          <w:sz w:val="28"/>
          <w:szCs w:val="28"/>
          <w:lang w:eastAsia="zh-CN"/>
          <w14:textFill>
            <w14:solidFill>
              <w14:schemeClr w14:val="tx1"/>
            </w14:solidFill>
          </w14:textFill>
        </w:rPr>
        <w:t>。加之成本增加，</w:t>
      </w:r>
      <w:r>
        <w:rPr>
          <w:rFonts w:hint="eastAsia" w:ascii="楷体" w:hAnsi="楷体" w:eastAsia="楷体"/>
          <w:color w:val="000000" w:themeColor="text1"/>
          <w:sz w:val="28"/>
          <w:szCs w:val="28"/>
          <w14:textFill>
            <w14:solidFill>
              <w14:schemeClr w14:val="tx1"/>
            </w14:solidFill>
          </w14:textFill>
        </w:rPr>
        <w:t>季节性</w:t>
      </w:r>
      <w:r>
        <w:rPr>
          <w:rFonts w:hint="eastAsia" w:ascii="楷体" w:hAnsi="楷体" w:eastAsia="楷体"/>
          <w:color w:val="000000" w:themeColor="text1"/>
          <w:sz w:val="28"/>
          <w:szCs w:val="28"/>
          <w:lang w:eastAsia="zh-CN"/>
          <w14:textFill>
            <w14:solidFill>
              <w14:schemeClr w14:val="tx1"/>
            </w14:solidFill>
          </w14:textFill>
        </w:rPr>
        <w:t>、</w:t>
      </w:r>
      <w:r>
        <w:rPr>
          <w:rFonts w:hint="eastAsia" w:ascii="楷体" w:hAnsi="楷体" w:eastAsia="楷体"/>
          <w:color w:val="000000" w:themeColor="text1"/>
          <w:sz w:val="28"/>
          <w:szCs w:val="28"/>
          <w14:textFill>
            <w14:solidFill>
              <w14:schemeClr w14:val="tx1"/>
            </w14:solidFill>
          </w14:textFill>
        </w:rPr>
        <w:t>地区限制</w:t>
      </w:r>
      <w:r>
        <w:rPr>
          <w:rFonts w:hint="eastAsia" w:ascii="楷体" w:hAnsi="楷体" w:eastAsia="楷体"/>
          <w:color w:val="000000" w:themeColor="text1"/>
          <w:sz w:val="28"/>
          <w:szCs w:val="28"/>
          <w:lang w:eastAsia="zh-CN"/>
          <w14:textFill>
            <w14:solidFill>
              <w14:schemeClr w14:val="tx1"/>
            </w14:solidFill>
          </w14:textFill>
        </w:rPr>
        <w:t>，市场波动等</w:t>
      </w:r>
      <w:r>
        <w:rPr>
          <w:rFonts w:hint="eastAsia" w:ascii="楷体" w:hAnsi="楷体" w:eastAsia="楷体"/>
          <w:color w:val="000000" w:themeColor="text1"/>
          <w:sz w:val="28"/>
          <w:szCs w:val="28"/>
          <w14:textFill>
            <w14:solidFill>
              <w14:schemeClr w14:val="tx1"/>
            </w14:solidFill>
          </w14:textFill>
        </w:rPr>
        <w:t>各方面影响，报告期内业绩下滑</w:t>
      </w:r>
      <w:r>
        <w:rPr>
          <w:rFonts w:hint="eastAsia" w:ascii="楷体" w:hAnsi="楷体" w:eastAsia="楷体"/>
          <w:color w:val="000000" w:themeColor="text1"/>
          <w:sz w:val="28"/>
          <w:szCs w:val="28"/>
          <w:lang w:eastAsia="zh-CN"/>
          <w14:textFill>
            <w14:solidFill>
              <w14:schemeClr w14:val="tx1"/>
            </w14:solidFill>
          </w14:textFill>
        </w:rPr>
        <w:t>属于</w:t>
      </w:r>
      <w:r>
        <w:rPr>
          <w:rFonts w:hint="eastAsia" w:ascii="楷体" w:hAnsi="楷体" w:eastAsia="楷体"/>
          <w:color w:val="000000" w:themeColor="text1"/>
          <w:sz w:val="28"/>
          <w:szCs w:val="28"/>
          <w14:textFill>
            <w14:solidFill>
              <w14:schemeClr w14:val="tx1"/>
            </w14:solidFill>
          </w14:textFill>
        </w:rPr>
        <w:t>情理之中</w:t>
      </w:r>
      <w:r>
        <w:rPr>
          <w:rFonts w:hint="eastAsia" w:ascii="楷体" w:hAnsi="楷体" w:eastAsia="楷体"/>
          <w:color w:val="000000" w:themeColor="text1"/>
          <w:sz w:val="28"/>
          <w:szCs w:val="28"/>
          <w:lang w:eastAsia="zh-CN"/>
          <w14:textFill>
            <w14:solidFill>
              <w14:schemeClr w14:val="tx1"/>
            </w14:solidFill>
          </w14:textFill>
        </w:rPr>
        <w:t>。未来</w:t>
      </w:r>
      <w:r>
        <w:rPr>
          <w:rFonts w:hint="eastAsia" w:ascii="楷体" w:hAnsi="楷体" w:eastAsia="楷体"/>
          <w:color w:val="000000" w:themeColor="text1"/>
          <w:sz w:val="28"/>
          <w:szCs w:val="28"/>
          <w14:textFill>
            <w14:solidFill>
              <w14:schemeClr w14:val="tx1"/>
            </w14:solidFill>
          </w14:textFill>
        </w:rPr>
        <w:t>嘉寓股份应</w:t>
      </w:r>
      <w:r>
        <w:rPr>
          <w:rFonts w:hint="eastAsia" w:ascii="楷体" w:hAnsi="楷体" w:eastAsia="楷体"/>
          <w:color w:val="000000" w:themeColor="text1"/>
          <w:sz w:val="28"/>
          <w:szCs w:val="28"/>
          <w:lang w:eastAsia="zh-CN"/>
          <w14:textFill>
            <w14:solidFill>
              <w14:schemeClr w14:val="tx1"/>
            </w14:solidFill>
          </w14:textFill>
        </w:rPr>
        <w:t>继续</w:t>
      </w:r>
      <w:r>
        <w:rPr>
          <w:rFonts w:hint="eastAsia" w:ascii="楷体" w:hAnsi="楷体" w:eastAsia="楷体"/>
          <w:color w:val="000000" w:themeColor="text1"/>
          <w:sz w:val="28"/>
          <w:szCs w:val="28"/>
          <w14:textFill>
            <w14:solidFill>
              <w14:schemeClr w14:val="tx1"/>
            </w14:solidFill>
          </w14:textFill>
        </w:rPr>
        <w:t>保持它</w:t>
      </w:r>
      <w:r>
        <w:rPr>
          <w:rFonts w:hint="eastAsia" w:ascii="楷体" w:hAnsi="楷体" w:eastAsia="楷体" w:cs="楷体"/>
          <w:color w:val="000000" w:themeColor="text1"/>
          <w:sz w:val="28"/>
          <w:szCs w:val="28"/>
          <w14:textFill>
            <w14:solidFill>
              <w14:schemeClr w14:val="tx1"/>
            </w14:solidFill>
          </w14:textFill>
        </w:rPr>
        <w:t>的</w:t>
      </w:r>
      <w:r>
        <w:rPr>
          <w:rFonts w:hint="eastAsia" w:ascii="楷体" w:hAnsi="楷体" w:eastAsia="楷体" w:cs="楷体"/>
          <w:i w:val="0"/>
          <w:caps w:val="0"/>
          <w:color w:val="000000"/>
          <w:spacing w:val="0"/>
          <w:sz w:val="28"/>
          <w:szCs w:val="28"/>
          <w:shd w:val="clear" w:fill="FFFFFF"/>
        </w:rPr>
        <w:t>品牌、技术、</w:t>
      </w:r>
      <w:r>
        <w:rPr>
          <w:rFonts w:hint="eastAsia" w:ascii="楷体" w:hAnsi="楷体" w:eastAsia="楷体" w:cs="楷体"/>
          <w:i w:val="0"/>
          <w:caps w:val="0"/>
          <w:color w:val="000000"/>
          <w:spacing w:val="0"/>
          <w:sz w:val="28"/>
          <w:szCs w:val="28"/>
          <w:shd w:val="clear" w:fill="FFFFFF"/>
          <w:lang w:eastAsia="zh-CN"/>
        </w:rPr>
        <w:t>产品、人才</w:t>
      </w:r>
      <w:r>
        <w:rPr>
          <w:rFonts w:hint="eastAsia" w:ascii="楷体" w:hAnsi="楷体" w:eastAsia="楷体" w:cs="楷体"/>
          <w:i w:val="0"/>
          <w:caps w:val="0"/>
          <w:color w:val="000000"/>
          <w:spacing w:val="0"/>
          <w:sz w:val="28"/>
          <w:szCs w:val="28"/>
          <w:shd w:val="clear" w:fill="FFFFFF"/>
        </w:rPr>
        <w:t>、服务、</w:t>
      </w:r>
      <w:r>
        <w:rPr>
          <w:rFonts w:hint="eastAsia" w:ascii="楷体" w:hAnsi="楷体" w:eastAsia="楷体" w:cs="楷体"/>
          <w:i w:val="0"/>
          <w:caps w:val="0"/>
          <w:color w:val="000000"/>
          <w:spacing w:val="0"/>
          <w:sz w:val="28"/>
          <w:szCs w:val="28"/>
          <w:shd w:val="clear" w:fill="FFFFFF"/>
          <w:lang w:eastAsia="zh-CN"/>
        </w:rPr>
        <w:t>管理等</w:t>
      </w:r>
      <w:r>
        <w:rPr>
          <w:rFonts w:hint="eastAsia" w:ascii="楷体" w:hAnsi="楷体" w:eastAsia="楷体"/>
          <w:color w:val="000000" w:themeColor="text1"/>
          <w:sz w:val="28"/>
          <w:szCs w:val="28"/>
          <w:lang w:eastAsia="zh-CN"/>
          <w14:textFill>
            <w14:solidFill>
              <w14:schemeClr w14:val="tx1"/>
            </w14:solidFill>
          </w14:textFill>
        </w:rPr>
        <w:t>行业</w:t>
      </w:r>
      <w:r>
        <w:rPr>
          <w:rFonts w:hint="eastAsia" w:ascii="楷体" w:hAnsi="楷体" w:eastAsia="楷体"/>
          <w:color w:val="000000" w:themeColor="text1"/>
          <w:sz w:val="28"/>
          <w:szCs w:val="28"/>
          <w14:textFill>
            <w14:solidFill>
              <w14:schemeClr w14:val="tx1"/>
            </w14:solidFill>
          </w14:textFill>
        </w:rPr>
        <w:t>优势，</w:t>
      </w:r>
      <w:r>
        <w:rPr>
          <w:rFonts w:hint="eastAsia" w:ascii="楷体" w:hAnsi="楷体" w:eastAsia="楷体"/>
          <w:color w:val="000000" w:themeColor="text1"/>
          <w:sz w:val="28"/>
          <w:szCs w:val="28"/>
          <w:lang w:eastAsia="zh-CN"/>
          <w14:textFill>
            <w14:solidFill>
              <w14:schemeClr w14:val="tx1"/>
            </w14:solidFill>
          </w14:textFill>
        </w:rPr>
        <w:t>抓住“绿色节能</w:t>
      </w:r>
      <w:r>
        <w:rPr>
          <w:rFonts w:hint="eastAsia" w:ascii="楷体" w:hAnsi="楷体" w:eastAsia="楷体"/>
          <w:color w:val="000000" w:themeColor="text1"/>
          <w:sz w:val="28"/>
          <w:szCs w:val="28"/>
          <w:lang w:val="en-US" w:eastAsia="zh-CN"/>
          <w14:textFill>
            <w14:solidFill>
              <w14:schemeClr w14:val="tx1"/>
            </w14:solidFill>
          </w14:textFill>
        </w:rPr>
        <w:t>+智能消费</w:t>
      </w:r>
      <w:r>
        <w:rPr>
          <w:rFonts w:hint="eastAsia" w:ascii="楷体" w:hAnsi="楷体" w:eastAsia="楷体"/>
          <w:color w:val="000000" w:themeColor="text1"/>
          <w:sz w:val="28"/>
          <w:szCs w:val="28"/>
          <w:lang w:eastAsia="zh-CN"/>
          <w14:textFill>
            <w14:solidFill>
              <w14:schemeClr w14:val="tx1"/>
            </w14:solidFill>
          </w14:textFill>
        </w:rPr>
        <w:t>”两个关键要素，在科技和政策的双重推动下，提升企业创新活力，加速技术成果产业化。并进一步去库存清应收，淘汰落后产能，</w:t>
      </w:r>
      <w:r>
        <w:rPr>
          <w:rFonts w:hint="eastAsia" w:ascii="楷体" w:hAnsi="楷体" w:eastAsia="楷体"/>
          <w:color w:val="000000" w:themeColor="text1"/>
          <w:sz w:val="28"/>
          <w:szCs w:val="28"/>
          <w14:textFill>
            <w14:solidFill>
              <w14:schemeClr w14:val="tx1"/>
            </w14:solidFill>
          </w14:textFill>
        </w:rPr>
        <w:t>从营业成本出发，降低成本，提高毛利率，</w:t>
      </w:r>
      <w:r>
        <w:rPr>
          <w:rFonts w:hint="eastAsia" w:ascii="楷体" w:hAnsi="楷体" w:eastAsia="楷体"/>
          <w:color w:val="000000" w:themeColor="text1"/>
          <w:sz w:val="28"/>
          <w:szCs w:val="28"/>
          <w:lang w:eastAsia="zh-CN"/>
          <w14:textFill>
            <w14:solidFill>
              <w14:schemeClr w14:val="tx1"/>
            </w14:solidFill>
          </w14:textFill>
        </w:rPr>
        <w:t>扩大市场布局，</w:t>
      </w:r>
      <w:r>
        <w:rPr>
          <w:rFonts w:hint="eastAsia" w:ascii="楷体" w:hAnsi="楷体" w:eastAsia="楷体"/>
          <w:color w:val="000000" w:themeColor="text1"/>
          <w:sz w:val="28"/>
          <w:szCs w:val="28"/>
          <w14:textFill>
            <w14:solidFill>
              <w14:schemeClr w14:val="tx1"/>
            </w14:solidFill>
          </w14:textFill>
        </w:rPr>
        <w:t>增加营业收入，从而</w:t>
      </w:r>
      <w:r>
        <w:rPr>
          <w:rFonts w:hint="eastAsia" w:ascii="楷体" w:hAnsi="楷体" w:eastAsia="楷体"/>
          <w:color w:val="000000" w:themeColor="text1"/>
          <w:sz w:val="28"/>
          <w:szCs w:val="28"/>
          <w:lang w:eastAsia="zh-CN"/>
          <w14:textFill>
            <w14:solidFill>
              <w14:schemeClr w14:val="tx1"/>
            </w14:solidFill>
          </w14:textFill>
        </w:rPr>
        <w:t>提高</w:t>
      </w:r>
      <w:r>
        <w:rPr>
          <w:rFonts w:hint="eastAsia" w:ascii="楷体" w:hAnsi="楷体" w:eastAsia="楷体"/>
          <w:color w:val="000000" w:themeColor="text1"/>
          <w:sz w:val="28"/>
          <w:szCs w:val="28"/>
          <w14:textFill>
            <w14:solidFill>
              <w14:schemeClr w14:val="tx1"/>
            </w14:solidFill>
          </w14:textFill>
        </w:rPr>
        <w:t>行业地位。</w:t>
      </w:r>
    </w:p>
    <w:sectPr>
      <w:footerReference r:id="rId3" w:type="default"/>
      <w:pgSz w:w="11906" w:h="16838"/>
      <w:pgMar w:top="1440" w:right="1800" w:bottom="1440" w:left="1800" w:header="851" w:footer="992" w:gutter="0"/>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34"/>
    <w:family w:val="auto"/>
    <w:pitch w:val="default"/>
    <w:sig w:usb0="A00002BF" w:usb1="38CF7CFA"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MicrosoftYaHei-Bold">
    <w:altName w:val="Cambria"/>
    <w:panose1 w:val="00000000000000000000"/>
    <w:charset w:val="00"/>
    <w:family w:val="roman"/>
    <w:pitch w:val="default"/>
    <w:sig w:usb0="00000000" w:usb1="00000000" w:usb2="00000000" w:usb3="00000000" w:csb0="00000000" w:csb1="00000000"/>
  </w:font>
  <w:font w:name="MicrosoftYaHei">
    <w:altName w:val="Cambria"/>
    <w:panose1 w:val="00000000000000000000"/>
    <w:charset w:val="00"/>
    <w:family w:val="roman"/>
    <w:pitch w:val="default"/>
    <w:sig w:usb0="00000000" w:usb1="00000000" w:usb2="00000000" w:usb3="00000000" w:csb0="00000000" w:csb1="00000000"/>
  </w:font>
  <w:font w:name="楷体">
    <w:panose1 w:val="02010609060101010101"/>
    <w:charset w:val="34"/>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rPr>
        <w:rFonts w:hint="eastAsia"/>
      </w:rPr>
      <w:instrText xml:space="preserve">PAGE  \* MERGEFORMAT</w:instrText>
    </w:r>
    <w:r>
      <w:fldChar w:fldCharType="separate"/>
    </w:r>
    <w:r>
      <w:rPr>
        <w:lang w:val="zh-CN"/>
      </w:rPr>
      <w:t>14</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01482948"/>
    <w:rsid w:val="03921D23"/>
    <w:rsid w:val="0D074EA6"/>
    <w:rsid w:val="10004AC1"/>
    <w:rsid w:val="128B4DA3"/>
    <w:rsid w:val="152D52AA"/>
    <w:rsid w:val="1E857FAA"/>
    <w:rsid w:val="2044502D"/>
    <w:rsid w:val="21872F5A"/>
    <w:rsid w:val="274C113E"/>
    <w:rsid w:val="295E7972"/>
    <w:rsid w:val="2BF77371"/>
    <w:rsid w:val="31832215"/>
    <w:rsid w:val="31EA17DD"/>
    <w:rsid w:val="320669EE"/>
    <w:rsid w:val="33FF0A27"/>
    <w:rsid w:val="34A84976"/>
    <w:rsid w:val="34D555B9"/>
    <w:rsid w:val="35FA1594"/>
    <w:rsid w:val="3DEB0E31"/>
    <w:rsid w:val="3F222A0C"/>
    <w:rsid w:val="42B8653F"/>
    <w:rsid w:val="431A3FB1"/>
    <w:rsid w:val="43E277AD"/>
    <w:rsid w:val="43FF6845"/>
    <w:rsid w:val="48D76C46"/>
    <w:rsid w:val="51477CA7"/>
    <w:rsid w:val="54B93607"/>
    <w:rsid w:val="58A040F0"/>
    <w:rsid w:val="5A262215"/>
    <w:rsid w:val="5AEC1BA8"/>
    <w:rsid w:val="5E0C05E3"/>
    <w:rsid w:val="648B551C"/>
    <w:rsid w:val="65A302DA"/>
    <w:rsid w:val="65BD3ECE"/>
    <w:rsid w:val="68A12C62"/>
    <w:rsid w:val="696A25CA"/>
    <w:rsid w:val="69DC4087"/>
    <w:rsid w:val="6BA75C6F"/>
    <w:rsid w:val="70015BD5"/>
    <w:rsid w:val="757232A2"/>
    <w:rsid w:val="75EB354B"/>
    <w:rsid w:val="7BC51846"/>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153" w:semiHidden="0" w:name="header"/>
    <w:lsdException w:qFormat="1" w:uiPriority="155"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157"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sz w:val="21"/>
      <w:szCs w:val="21"/>
      <w:lang w:val="en-US" w:eastAsia="zh-CN" w:bidi="ar-SA"/>
    </w:rPr>
  </w:style>
  <w:style w:type="character" w:default="1" w:styleId="6">
    <w:name w:val="Default Paragraph Font"/>
    <w:semiHidden/>
    <w:unhideWhenUsed/>
    <w:uiPriority w:val="2"/>
  </w:style>
  <w:style w:type="table" w:default="1" w:styleId="5">
    <w:name w:val="Normal Table"/>
    <w:semiHidden/>
    <w:unhideWhenUsed/>
    <w:qFormat/>
    <w:uiPriority w:val="3"/>
    <w:tblPr>
      <w:tblCellMar>
        <w:top w:w="0" w:type="dxa"/>
        <w:left w:w="108" w:type="dxa"/>
        <w:bottom w:w="0" w:type="dxa"/>
        <w:right w:w="108" w:type="dxa"/>
      </w:tblCellMar>
    </w:tblPr>
  </w:style>
  <w:style w:type="paragraph" w:styleId="2">
    <w:name w:val="Balloon Text"/>
    <w:basedOn w:val="1"/>
    <w:link w:val="12"/>
    <w:semiHidden/>
    <w:unhideWhenUsed/>
    <w:uiPriority w:val="157"/>
    <w:rPr>
      <w:sz w:val="18"/>
      <w:szCs w:val="18"/>
    </w:rPr>
  </w:style>
  <w:style w:type="paragraph" w:styleId="3">
    <w:name w:val="footer"/>
    <w:basedOn w:val="1"/>
    <w:link w:val="11"/>
    <w:unhideWhenUsed/>
    <w:qFormat/>
    <w:uiPriority w:val="155"/>
    <w:pPr>
      <w:tabs>
        <w:tab w:val="center" w:pos="4153"/>
        <w:tab w:val="right" w:pos="8306"/>
      </w:tabs>
      <w:snapToGrid w:val="0"/>
      <w:jc w:val="left"/>
    </w:pPr>
    <w:rPr>
      <w:sz w:val="18"/>
      <w:szCs w:val="18"/>
    </w:rPr>
  </w:style>
  <w:style w:type="paragraph" w:styleId="4">
    <w:name w:val="header"/>
    <w:basedOn w:val="1"/>
    <w:link w:val="10"/>
    <w:unhideWhenUsed/>
    <w:uiPriority w:val="153"/>
    <w:pPr>
      <w:pBdr>
        <w:bottom w:val="single" w:color="000000" w:sz="6" w:space="1"/>
      </w:pBdr>
      <w:tabs>
        <w:tab w:val="center" w:pos="4153"/>
        <w:tab w:val="right" w:pos="8306"/>
      </w:tabs>
      <w:snapToGrid w:val="0"/>
      <w:jc w:val="center"/>
    </w:pPr>
    <w:rPr>
      <w:sz w:val="18"/>
      <w:szCs w:val="18"/>
    </w:rPr>
  </w:style>
  <w:style w:type="paragraph" w:styleId="7">
    <w:name w:val="List Paragraph"/>
    <w:basedOn w:val="1"/>
    <w:qFormat/>
    <w:uiPriority w:val="26"/>
    <w:pPr>
      <w:ind w:firstLine="420"/>
    </w:pPr>
  </w:style>
  <w:style w:type="character" w:customStyle="1" w:styleId="8">
    <w:name w:val="fontstyle01"/>
    <w:basedOn w:val="6"/>
    <w:uiPriority w:val="151"/>
    <w:rPr>
      <w:rFonts w:hint="default" w:ascii="MicrosoftYaHei-Bold" w:hAnsi="MicrosoftYaHei-Bold"/>
      <w:b/>
      <w:color w:val="000000"/>
      <w:sz w:val="32"/>
      <w:szCs w:val="32"/>
    </w:rPr>
  </w:style>
  <w:style w:type="character" w:customStyle="1" w:styleId="9">
    <w:name w:val="fontstyle21"/>
    <w:basedOn w:val="6"/>
    <w:uiPriority w:val="152"/>
    <w:rPr>
      <w:rFonts w:hint="default" w:ascii="MicrosoftYaHei" w:hAnsi="MicrosoftYaHei"/>
      <w:color w:val="000000"/>
      <w:sz w:val="24"/>
      <w:szCs w:val="24"/>
    </w:rPr>
  </w:style>
  <w:style w:type="character" w:customStyle="1" w:styleId="10">
    <w:name w:val="页眉 Char"/>
    <w:basedOn w:val="6"/>
    <w:link w:val="4"/>
    <w:qFormat/>
    <w:uiPriority w:val="154"/>
    <w:rPr>
      <w:sz w:val="18"/>
      <w:szCs w:val="18"/>
    </w:rPr>
  </w:style>
  <w:style w:type="character" w:customStyle="1" w:styleId="11">
    <w:name w:val="页脚 Char"/>
    <w:basedOn w:val="6"/>
    <w:link w:val="3"/>
    <w:qFormat/>
    <w:uiPriority w:val="156"/>
    <w:rPr>
      <w:sz w:val="18"/>
      <w:szCs w:val="18"/>
    </w:rPr>
  </w:style>
  <w:style w:type="character" w:customStyle="1" w:styleId="12">
    <w:name w:val="批注框文本 Char"/>
    <w:basedOn w:val="6"/>
    <w:link w:val="2"/>
    <w:semiHidden/>
    <w:qFormat/>
    <w:uiPriority w:val="158"/>
    <w:rPr>
      <w:sz w:val="18"/>
      <w:szCs w:val="18"/>
    </w:rPr>
  </w:style>
  <w:style w:type="character" w:customStyle="1" w:styleId="13">
    <w:name w:val="fontstyle11"/>
    <w:basedOn w:val="6"/>
    <w:qFormat/>
    <w:uiPriority w:val="159"/>
    <w:rPr>
      <w:rFonts w:hint="eastAsia" w:ascii="宋体" w:hAnsi="宋体" w:eastAsia="宋体"/>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391</Words>
  <Characters>2621</Characters>
  <Lines>18</Lines>
  <Paragraphs>5</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2020-11-17T14:57:00Z</dcterms:created>
  <dc:creator>王 虎</dc:creator>
  <cp:lastModifiedBy>胡佩</cp:lastModifiedBy>
  <dcterms:modified xsi:type="dcterms:W3CDTF">2020-11-17T16:00:48Z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