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第二周作业答案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作业1、本周的关键词汇中，我们学习了复利，即在拿到利息后继续把利息投资，就是俗称的利滚利。大家观察</w:t>
      </w:r>
      <w:r>
        <w:rPr>
          <w:rFonts w:hint="default" w:ascii="微软雅黑" w:hAnsi="微软雅黑" w:eastAsia="微软雅黑" w:cs="宋体"/>
          <w:b/>
          <w:bCs/>
          <w:sz w:val="24"/>
          <w:lang w:eastAsia="zh-CN"/>
        </w:rPr>
        <w:t>复利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的公式：</w:t>
      </w:r>
      <w:bookmarkStart w:id="0" w:name="_Hlk524274623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最终收益=本金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（1+收益率）^时间</w:t>
      </w:r>
      <w:bookmarkEnd w:id="0"/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， 回答以下问题。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sz w:val="24"/>
          <w:lang w:eastAsia="zh-CN"/>
        </w:rPr>
        <w:t>在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本金和时间一定的情况下，</w:t>
      </w:r>
      <w:r>
        <w:rPr>
          <w:rFonts w:hint="default" w:ascii="微软雅黑" w:hAnsi="微软雅黑" w:eastAsia="微软雅黑" w:cs="宋体"/>
          <w:b w:val="0"/>
          <w:bCs w:val="0"/>
          <w:sz w:val="24"/>
          <w:lang w:eastAsia="zh-CN"/>
        </w:rPr>
        <w:t>研究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收益率对最终收益的影响</w:t>
      </w:r>
      <w:r>
        <w:rPr>
          <w:rFonts w:hint="default" w:ascii="微软雅黑" w:hAnsi="微软雅黑" w:eastAsia="微软雅黑" w:cs="宋体"/>
          <w:b w:val="0"/>
          <w:bCs w:val="0"/>
          <w:sz w:val="24"/>
          <w:lang w:eastAsia="zh-CN"/>
        </w:rPr>
        <w:t>，请计算下表中最终收益是多少？</w:t>
      </w:r>
    </w:p>
    <w:tbl>
      <w:tblPr>
        <w:tblStyle w:val="4"/>
        <w:tblW w:w="833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2216"/>
        <w:gridCol w:w="1678"/>
        <w:gridCol w:w="29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83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复利中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收益率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的影响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本金</w:t>
            </w:r>
          </w:p>
        </w:tc>
        <w:tc>
          <w:tcPr>
            <w:tcW w:w="221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收益率</w:t>
            </w:r>
          </w:p>
        </w:tc>
        <w:tc>
          <w:tcPr>
            <w:tcW w:w="167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29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最终收益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221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8%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2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108.6万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221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293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7348.9万</w:t>
            </w:r>
          </w:p>
        </w:tc>
      </w:tr>
    </w:tbl>
    <w:p>
      <w:pPr>
        <w:numPr>
          <w:ilvl w:val="0"/>
          <w:numId w:val="0"/>
        </w:numPr>
        <w:ind w:left="-619" w:leftChars="-295" w:right="-932" w:rightChars="-444" w:firstLine="0" w:firstLineChars="0"/>
        <w:jc w:val="center"/>
      </w:pPr>
      <w:r>
        <w:drawing>
          <wp:inline distT="0" distB="0" distL="114300" distR="114300">
            <wp:extent cx="2831465" cy="165608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2895" cy="1656080"/>
            <wp:effectExtent l="0" t="0" r="698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619" w:leftChars="-295" w:right="-932" w:rightChars="-444" w:firstLine="0" w:firstLineChars="0"/>
        <w:jc w:val="center"/>
        <w:rPr>
          <w:rFonts w:hint="eastAsia" w:ascii="微软雅黑" w:hAnsi="微软雅黑" w:eastAsia="微软雅黑" w:cs="微软雅黑"/>
          <w:color w:val="0000FF"/>
          <w:lang w:eastAsia="zh-CN"/>
        </w:rPr>
      </w:pPr>
      <w:r>
        <w:rPr>
          <w:rFonts w:hint="eastAsia" w:ascii="微软雅黑" w:hAnsi="微软雅黑" w:eastAsia="微软雅黑" w:cs="微软雅黑"/>
          <w:color w:val="0000FF"/>
        </w:rPr>
        <w:t>注：为了计算的方便，把</w:t>
      </w:r>
      <w:r>
        <w:rPr>
          <w:rFonts w:hint="default" w:ascii="微软雅黑" w:hAnsi="微软雅黑" w:eastAsia="微软雅黑" w:cs="微软雅黑"/>
          <w:color w:val="0000FF"/>
        </w:rPr>
        <w:t>5</w:t>
      </w:r>
      <w:r>
        <w:rPr>
          <w:rFonts w:hint="eastAsia" w:ascii="微软雅黑" w:hAnsi="微软雅黑" w:eastAsia="微软雅黑" w:cs="微软雅黑"/>
          <w:color w:val="0000FF"/>
        </w:rPr>
        <w:t>万元输入为</w:t>
      </w:r>
      <w:r>
        <w:rPr>
          <w:rFonts w:hint="default" w:ascii="微软雅黑" w:hAnsi="微软雅黑" w:eastAsia="微软雅黑" w:cs="微软雅黑"/>
          <w:color w:val="0000FF"/>
        </w:rPr>
        <w:t>5</w:t>
      </w:r>
      <w:r>
        <w:rPr>
          <w:rFonts w:hint="eastAsia" w:ascii="微软雅黑" w:hAnsi="微软雅黑" w:eastAsia="微软雅黑" w:cs="微软雅黑"/>
          <w:color w:val="0000FF"/>
        </w:rPr>
        <w:t>元，最终计算结果加上万元的单位即可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本金和收益率一定的情况下，时间对最终收益的影响</w:t>
      </w:r>
      <w:r>
        <w:rPr>
          <w:rFonts w:hint="default" w:ascii="微软雅黑" w:hAnsi="微软雅黑" w:eastAsia="微软雅黑" w:cs="宋体"/>
          <w:b w:val="0"/>
          <w:bCs w:val="0"/>
          <w:sz w:val="24"/>
          <w:lang w:eastAsia="zh-CN"/>
        </w:rPr>
        <w:t>，请计算下表中最终收益是多少？</w:t>
      </w:r>
    </w:p>
    <w:tbl>
      <w:tblPr>
        <w:tblStyle w:val="4"/>
        <w:tblW w:w="833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2216"/>
        <w:gridCol w:w="1678"/>
        <w:gridCol w:w="293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3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复利中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的影响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本金</w:t>
            </w:r>
          </w:p>
        </w:tc>
        <w:tc>
          <w:tcPr>
            <w:tcW w:w="221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收益率</w:t>
            </w:r>
          </w:p>
        </w:tc>
        <w:tc>
          <w:tcPr>
            <w:tcW w:w="167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293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最终收益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221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20年</w:t>
            </w:r>
          </w:p>
        </w:tc>
        <w:tc>
          <w:tcPr>
            <w:tcW w:w="29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191.688万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221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293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7348.9万</w:t>
            </w:r>
          </w:p>
        </w:tc>
      </w:tr>
    </w:tbl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="-619" w:leftChars="-295" w:right="-932" w:rightChars="-444" w:firstLine="0" w:firstLineChars="0"/>
        <w:jc w:val="center"/>
      </w:pPr>
      <w:r>
        <w:drawing>
          <wp:inline distT="0" distB="0" distL="114300" distR="114300">
            <wp:extent cx="2745740" cy="1619885"/>
            <wp:effectExtent l="0" t="0" r="1270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0665" cy="1619885"/>
            <wp:effectExtent l="0" t="0" r="825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619" w:leftChars="-295" w:right="-932" w:rightChars="-444" w:firstLine="0" w:firstLineChars="0"/>
        <w:jc w:val="center"/>
        <w:rPr>
          <w:rFonts w:hint="eastAsia"/>
        </w:rPr>
      </w:pPr>
      <w:r>
        <w:rPr>
          <w:rFonts w:hint="eastAsia" w:ascii="微软雅黑" w:hAnsi="微软雅黑" w:eastAsia="微软雅黑" w:cs="微软雅黑"/>
          <w:color w:val="0000FF"/>
        </w:rPr>
        <w:t>注：为了计算的方便，把</w:t>
      </w:r>
      <w:r>
        <w:rPr>
          <w:rFonts w:hint="default" w:ascii="微软雅黑" w:hAnsi="微软雅黑" w:eastAsia="微软雅黑" w:cs="微软雅黑"/>
          <w:color w:val="0000FF"/>
        </w:rPr>
        <w:t>5</w:t>
      </w:r>
      <w:r>
        <w:rPr>
          <w:rFonts w:hint="eastAsia" w:ascii="微软雅黑" w:hAnsi="微软雅黑" w:eastAsia="微软雅黑" w:cs="微软雅黑"/>
          <w:color w:val="0000FF"/>
        </w:rPr>
        <w:t>万元输入为</w:t>
      </w:r>
      <w:r>
        <w:rPr>
          <w:rFonts w:hint="default" w:ascii="微软雅黑" w:hAnsi="微软雅黑" w:eastAsia="微软雅黑" w:cs="微软雅黑"/>
          <w:color w:val="0000FF"/>
        </w:rPr>
        <w:t>5</w:t>
      </w:r>
      <w:r>
        <w:rPr>
          <w:rFonts w:hint="eastAsia" w:ascii="微软雅黑" w:hAnsi="微软雅黑" w:eastAsia="微软雅黑" w:cs="微软雅黑"/>
          <w:color w:val="0000FF"/>
        </w:rPr>
        <w:t>元，最终计算结果加上万元的单位即可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宋体"/>
          <w:b/>
          <w:bCs/>
          <w:sz w:val="24"/>
        </w:rPr>
      </w:pPr>
      <w:r>
        <w:rPr>
          <w:rFonts w:hint="default" w:ascii="微软雅黑" w:hAnsi="微软雅黑" w:eastAsia="微软雅黑" w:cs="宋体"/>
          <w:b/>
          <w:bCs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sz w:val="24"/>
        </w:rPr>
        <w:t>复利、时间、技能与财务自由的关系</w:t>
      </w:r>
      <w:r>
        <w:rPr>
          <w:rFonts w:hint="default" w:ascii="微软雅黑" w:hAnsi="微软雅黑" w:eastAsia="微软雅黑" w:cs="宋体"/>
          <w:b/>
          <w:bCs/>
          <w:sz w:val="24"/>
        </w:rPr>
        <w:t>，分析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自己</w:t>
      </w:r>
      <w:r>
        <w:rPr>
          <w:rFonts w:hint="eastAsia" w:ascii="微软雅黑" w:hAnsi="微软雅黑" w:eastAsia="微软雅黑" w:cs="宋体"/>
          <w:b/>
          <w:bCs/>
          <w:sz w:val="24"/>
        </w:rPr>
        <w:t>该怎么做才能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实现</w:t>
      </w:r>
      <w:r>
        <w:rPr>
          <w:rFonts w:hint="eastAsia" w:ascii="微软雅黑" w:hAnsi="微软雅黑" w:eastAsia="微软雅黑" w:cs="宋体"/>
          <w:b/>
          <w:bCs/>
          <w:sz w:val="24"/>
        </w:rPr>
        <w:t>财务自由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呢</w:t>
      </w:r>
      <w:r>
        <w:rPr>
          <w:rFonts w:hint="eastAsia" w:ascii="微软雅黑" w:hAnsi="微软雅黑" w:eastAsia="微软雅黑" w:cs="宋体"/>
          <w:b/>
          <w:bCs/>
          <w:sz w:val="24"/>
        </w:rPr>
        <w:t>？</w:t>
      </w:r>
    </w:p>
    <w:p>
      <w:pPr>
        <w:numPr>
          <w:ilvl w:val="0"/>
          <w:numId w:val="0"/>
        </w:numPr>
        <w:ind w:left="960" w:leftChars="0" w:hanging="960" w:hangingChars="400"/>
        <w:jc w:val="left"/>
        <w:rPr>
          <w:rFonts w:hint="eastAsia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t>【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本金</w:t>
      </w:r>
      <w:r>
        <w:rPr>
          <w:rFonts w:hint="eastAsia" w:ascii="微软雅黑" w:hAnsi="微软雅黑" w:eastAsia="微软雅黑" w:cs="宋体"/>
          <w:sz w:val="24"/>
          <w:lang w:eastAsia="zh-CN"/>
        </w:rPr>
        <w:t>】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减少坏支出，</w:t>
      </w:r>
      <w:r>
        <w:rPr>
          <w:rFonts w:hint="eastAsia" w:ascii="微软雅黑" w:hAnsi="微软雅黑" w:eastAsia="微软雅黑" w:cs="宋体"/>
          <w:sz w:val="24"/>
        </w:rPr>
        <w:t>不乱消费</w:t>
      </w:r>
      <w:r>
        <w:rPr>
          <w:rFonts w:hint="eastAsia" w:ascii="微软雅黑" w:hAnsi="微软雅黑" w:eastAsia="微软雅黑" w:cs="宋体"/>
          <w:sz w:val="24"/>
          <w:lang w:eastAsia="zh-CN"/>
        </w:rPr>
        <w:t>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钱不多更应该多</w:t>
      </w:r>
      <w:r>
        <w:rPr>
          <w:rFonts w:hint="eastAsia" w:ascii="微软雅黑" w:hAnsi="微软雅黑" w:eastAsia="微软雅黑" w:cs="宋体"/>
          <w:sz w:val="24"/>
        </w:rPr>
        <w:t>存点本金，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先从</w:t>
      </w:r>
      <w:r>
        <w:rPr>
          <w:rFonts w:hint="eastAsia" w:ascii="微软雅黑" w:hAnsi="微软雅黑" w:eastAsia="微软雅黑" w:cs="宋体"/>
          <w:sz w:val="24"/>
        </w:rPr>
        <w:t>3-5万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开始</w:t>
      </w:r>
      <w:r>
        <w:rPr>
          <w:rFonts w:hint="eastAsia" w:ascii="微软雅黑" w:hAnsi="微软雅黑" w:eastAsia="微软雅黑" w:cs="宋体"/>
          <w:sz w:val="24"/>
        </w:rPr>
        <w:t>，一点点的积累，养成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投资</w:t>
      </w:r>
      <w:r>
        <w:rPr>
          <w:rFonts w:hint="eastAsia" w:ascii="微软雅黑" w:hAnsi="微软雅黑" w:eastAsia="微软雅黑" w:cs="宋体"/>
          <w:sz w:val="24"/>
        </w:rPr>
        <w:t>储蓄的好习惯</w:t>
      </w:r>
      <w:r>
        <w:rPr>
          <w:rFonts w:hint="eastAsia" w:ascii="微软雅黑" w:hAnsi="微软雅黑" w:eastAsia="微软雅黑" w:cs="宋体"/>
          <w:sz w:val="24"/>
          <w:lang w:eastAsia="zh-CN"/>
        </w:rPr>
        <w:t>。</w:t>
      </w:r>
    </w:p>
    <w:p>
      <w:pPr>
        <w:numPr>
          <w:ilvl w:val="0"/>
          <w:numId w:val="0"/>
        </w:numPr>
        <w:ind w:left="1200" w:leftChars="0" w:hanging="1200" w:hangingChars="500"/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t>【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收益率</w:t>
      </w:r>
      <w:r>
        <w:rPr>
          <w:rFonts w:hint="eastAsia" w:ascii="微软雅黑" w:hAnsi="微软雅黑" w:eastAsia="微软雅黑" w:cs="宋体"/>
          <w:sz w:val="24"/>
          <w:lang w:eastAsia="zh-CN"/>
        </w:rPr>
        <w:t>】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可以后天学习和锻炼，</w:t>
      </w:r>
      <w:r>
        <w:rPr>
          <w:rFonts w:hint="eastAsia" w:ascii="微软雅黑" w:hAnsi="微软雅黑" w:eastAsia="微软雅黑" w:cs="宋体"/>
          <w:sz w:val="24"/>
        </w:rPr>
        <w:t>好好学习财务自由技能，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扩大自己的认知，提高自己的收益率。争取</w:t>
      </w:r>
      <w:r>
        <w:rPr>
          <w:rFonts w:hint="eastAsia" w:ascii="微软雅黑" w:hAnsi="微软雅黑" w:eastAsia="微软雅黑" w:cs="宋体"/>
          <w:sz w:val="24"/>
        </w:rPr>
        <w:t>让自己的投资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收益</w:t>
      </w:r>
      <w:r>
        <w:rPr>
          <w:rFonts w:hint="eastAsia" w:ascii="微软雅黑" w:hAnsi="微软雅黑" w:eastAsia="微软雅黑" w:cs="宋体"/>
          <w:sz w:val="24"/>
        </w:rPr>
        <w:t>率达到一个较高的水平，比如20%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以上。</w:t>
      </w:r>
    </w:p>
    <w:p>
      <w:pPr>
        <w:numPr>
          <w:ilvl w:val="0"/>
          <w:numId w:val="0"/>
        </w:numPr>
        <w:ind w:left="960" w:leftChars="0" w:hanging="960" w:hangingChars="400"/>
        <w:jc w:val="left"/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t>【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时间</w:t>
      </w:r>
      <w:r>
        <w:rPr>
          <w:rFonts w:hint="default" w:ascii="微软雅黑" w:hAnsi="微软雅黑" w:eastAsia="微软雅黑" w:cs="宋体"/>
          <w:sz w:val="24"/>
          <w:lang w:eastAsia="zh-CN"/>
        </w:rPr>
        <w:t>】</w:t>
      </w:r>
      <w:r>
        <w:rPr>
          <w:rFonts w:hint="eastAsia" w:ascii="微软雅黑" w:hAnsi="微软雅黑" w:eastAsia="微软雅黑" w:cs="宋体"/>
          <w:sz w:val="24"/>
          <w:lang w:eastAsia="zh-CN"/>
        </w:rPr>
        <w:t>这个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  <w:t>因素对于最终收益的影响非常大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  <w:lang w:val="en-US" w:eastAsia="zh-CN"/>
        </w:rPr>
        <w:t>投资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  <w:t>开始的越早</w:t>
      </w:r>
      <w:r>
        <w:rPr>
          <w:rFonts w:hint="default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  <w:t>，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  <w:t>最终收益就越高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  <w:t>所以在投资方面我们自己不但要尽可能早的开始，还要教自己的孩子尽可能早的开始。</w:t>
      </w:r>
    </w:p>
    <w:p>
      <w:pPr>
        <w:numPr>
          <w:ilvl w:val="0"/>
          <w:numId w:val="0"/>
        </w:numPr>
        <w:ind w:left="960" w:leftChars="0" w:hanging="960" w:hangingChars="400"/>
        <w:jc w:val="left"/>
        <w:rPr>
          <w:rFonts w:hint="eastAsia" w:ascii="微软雅黑" w:hAnsi="微软雅黑" w:eastAsia="微软雅黑" w:cs="Arial"/>
          <w:bCs/>
          <w:color w:val="333333"/>
          <w:sz w:val="24"/>
          <w:szCs w:val="24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作业2、</w:t>
      </w:r>
      <w:r>
        <w:rPr>
          <w:rFonts w:hint="default" w:ascii="微软雅黑" w:hAnsi="微软雅黑" w:eastAsia="微软雅黑" w:cs="宋体"/>
          <w:b/>
          <w:bCs/>
          <w:sz w:val="24"/>
        </w:rPr>
        <w:t>通过对比</w:t>
      </w:r>
      <w:r>
        <w:rPr>
          <w:rFonts w:hint="eastAsia" w:ascii="微软雅黑" w:hAnsi="微软雅黑" w:eastAsia="微软雅黑" w:cs="宋体"/>
          <w:b/>
          <w:bCs/>
          <w:color w:val="FF0000"/>
          <w:sz w:val="24"/>
          <w:lang w:eastAsia="zh-CN"/>
        </w:rPr>
        <w:t>重庆钢铁</w:t>
      </w:r>
      <w:r>
        <w:rPr>
          <w:rFonts w:hint="default" w:ascii="微软雅黑" w:hAnsi="微软雅黑" w:eastAsia="微软雅黑" w:cs="宋体"/>
          <w:b/>
          <w:bCs/>
          <w:sz w:val="24"/>
        </w:rPr>
        <w:t>和</w:t>
      </w:r>
      <w:r>
        <w:rPr>
          <w:rFonts w:hint="default" w:ascii="微软雅黑" w:hAnsi="微软雅黑" w:eastAsia="微软雅黑" w:cs="宋体"/>
          <w:b/>
          <w:bCs/>
          <w:color w:val="FF0000"/>
          <w:sz w:val="24"/>
        </w:rPr>
        <w:t>贵州茅台</w:t>
      </w:r>
      <w:r>
        <w:rPr>
          <w:rFonts w:hint="default" w:ascii="微软雅黑" w:hAnsi="微软雅黑" w:eastAsia="微软雅黑" w:cs="宋体"/>
          <w:b/>
          <w:bCs/>
          <w:sz w:val="24"/>
        </w:rPr>
        <w:t>这两只股票，回答以下问题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使用雪球</w:t>
      </w:r>
      <w:r>
        <w:rPr>
          <w:rFonts w:hint="default" w:ascii="微软雅黑" w:hAnsi="微软雅黑" w:eastAsia="微软雅黑" w:cs="宋体"/>
          <w:b/>
          <w:bCs/>
          <w:sz w:val="24"/>
          <w:lang w:eastAsia="zh-CN"/>
        </w:rPr>
        <w:t>APP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查</w:t>
      </w:r>
      <w:r>
        <w:rPr>
          <w:rFonts w:hint="default" w:ascii="微软雅黑" w:hAnsi="微软雅黑" w:eastAsia="微软雅黑" w:cs="宋体"/>
          <w:b/>
          <w:bCs/>
          <w:sz w:val="24"/>
        </w:rPr>
        <w:t>询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重庆钢铁</w:t>
      </w:r>
      <w:r>
        <w:rPr>
          <w:rFonts w:hint="default" w:ascii="微软雅黑" w:hAnsi="微软雅黑" w:eastAsia="微软雅黑" w:cs="宋体"/>
          <w:b/>
          <w:bCs/>
          <w:sz w:val="24"/>
        </w:rPr>
        <w:t>历史分红情况</w:t>
      </w:r>
      <w:r>
        <w:rPr>
          <w:rFonts w:hint="default" w:ascii="微软雅黑" w:hAnsi="微软雅黑" w:eastAsia="微软雅黑" w:cs="宋体"/>
          <w:b/>
          <w:bCs/>
          <w:sz w:val="24"/>
          <w:lang w:eastAsia="zh-CN"/>
        </w:rPr>
        <w:t>和</w:t>
      </w:r>
      <w:r>
        <w:rPr>
          <w:rFonts w:hint="default" w:ascii="微软雅黑" w:hAnsi="微软雅黑" w:eastAsia="微软雅黑" w:cs="宋体"/>
          <w:b/>
          <w:bCs/>
          <w:sz w:val="24"/>
        </w:rPr>
        <w:t>贵州茅台的历史分红情况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并截图发到小组群里。</w:t>
      </w:r>
    </w:p>
    <w:p>
      <w:pPr>
        <w:numPr>
          <w:ilvl w:val="0"/>
          <w:numId w:val="0"/>
        </w:numPr>
        <w:ind w:left="-1260" w:leftChars="-600" w:right="-1573" w:rightChars="-749" w:firstLine="0" w:firstLine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92450" cy="2270760"/>
            <wp:effectExtent l="0" t="0" r="127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r>
        <w:drawing>
          <wp:inline distT="0" distB="0" distL="114300" distR="114300">
            <wp:extent cx="3771900" cy="2235835"/>
            <wp:effectExtent l="0" t="0" r="0" b="1206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重庆钢铁（股票代码：601005）2007</w:t>
      </w:r>
      <w:r>
        <w:rPr>
          <w:rFonts w:hint="default" w:ascii="微软雅黑" w:hAnsi="微软雅黑" w:eastAsia="微软雅黑" w:cs="宋体"/>
          <w:b/>
          <w:bCs/>
          <w:sz w:val="24"/>
        </w:rPr>
        <w:t>年上市，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通过i问财查询该公司的开盘价和后复权价格</w:t>
      </w:r>
      <w:r>
        <w:rPr>
          <w:rFonts w:hint="default" w:ascii="微软雅黑" w:hAnsi="微软雅黑" w:eastAsia="微软雅黑" w:cs="宋体"/>
          <w:b/>
          <w:bCs/>
          <w:sz w:val="24"/>
        </w:rPr>
        <w:t>，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使用微淼计算器</w:t>
      </w:r>
      <w:r>
        <w:rPr>
          <w:rFonts w:hint="default" w:ascii="微软雅黑" w:hAnsi="微软雅黑" w:eastAsia="微软雅黑" w:cs="宋体"/>
          <w:b/>
          <w:bCs/>
          <w:sz w:val="24"/>
        </w:rPr>
        <w:t>计算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b/>
          <w:bCs/>
          <w:sz w:val="24"/>
        </w:rPr>
        <w:t>的年化收益率是多少？</w:t>
      </w:r>
    </w:p>
    <w:p>
      <w:pPr>
        <w:numPr>
          <w:ilvl w:val="0"/>
          <w:numId w:val="0"/>
        </w:numPr>
        <w:ind w:left="0" w:leftChars="0" w:right="-92" w:rightChars="-44" w:firstLine="0" w:firstLineChars="0"/>
        <w:jc w:val="center"/>
      </w:pPr>
      <w:r>
        <w:drawing>
          <wp:inline distT="0" distB="0" distL="114300" distR="114300">
            <wp:extent cx="5273675" cy="2412365"/>
            <wp:effectExtent l="0" t="0" r="14605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重庆钢铁通过i问财查询，上市开盘价为5.5元，查询显示最近后复权价格为1.81元，2007年到2020年一共13年，通过微淼计算器计算得出年化收益率</w:t>
      </w:r>
      <w:r>
        <w:rPr>
          <w:rFonts w:hint="default" w:ascii="微软雅黑" w:hAnsi="微软雅黑" w:eastAsia="微软雅黑" w:cs="宋体"/>
          <w:sz w:val="24"/>
          <w:lang w:eastAsia="zh-CN"/>
        </w:rPr>
        <w:t>约为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-8.194%</w:t>
      </w:r>
      <w:r>
        <w:rPr>
          <w:rFonts w:hint="default" w:ascii="微软雅黑" w:hAnsi="微软雅黑" w:eastAsia="微软雅黑" w:cs="宋体"/>
          <w:sz w:val="24"/>
          <w:lang w:eastAsia="zh-CN"/>
        </w:rPr>
        <w:t>，如下图所示。</w:t>
      </w:r>
    </w:p>
    <w:p>
      <w:pPr>
        <w:numPr>
          <w:ilvl w:val="0"/>
          <w:numId w:val="0"/>
        </w:numPr>
        <w:ind w:left="0" w:leftChars="0" w:right="-92" w:rightChars="-44" w:firstLine="0" w:firstLineChars="0"/>
        <w:jc w:val="center"/>
      </w:pPr>
      <w:r>
        <w:drawing>
          <wp:inline distT="0" distB="0" distL="114300" distR="114300">
            <wp:extent cx="5272405" cy="3032760"/>
            <wp:effectExtent l="0" t="0" r="63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sz w:val="24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b/>
          <w:bCs/>
          <w:sz w:val="24"/>
        </w:rPr>
      </w:pPr>
      <w:r>
        <w:rPr>
          <w:rFonts w:hint="default" w:ascii="微软雅黑" w:hAnsi="微软雅黑" w:eastAsia="微软雅黑" w:cs="宋体"/>
          <w:b/>
          <w:bCs/>
          <w:sz w:val="24"/>
        </w:rPr>
        <w:t>贵州茅台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股票代码：600519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）</w:t>
      </w:r>
      <w:r>
        <w:rPr>
          <w:rFonts w:hint="default" w:ascii="微软雅黑" w:hAnsi="微软雅黑" w:eastAsia="微软雅黑" w:cs="宋体"/>
          <w:b/>
          <w:bCs/>
          <w:sz w:val="24"/>
        </w:rPr>
        <w:t>2001年上市，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通过i问财查询该公司的开盘价和后复权价格</w:t>
      </w:r>
      <w:r>
        <w:rPr>
          <w:rFonts w:hint="default" w:ascii="微软雅黑" w:hAnsi="微软雅黑" w:eastAsia="微软雅黑" w:cs="宋体"/>
          <w:b/>
          <w:bCs/>
          <w:sz w:val="24"/>
        </w:rPr>
        <w:t>，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使用微淼计算器计算贵州茅台</w:t>
      </w:r>
      <w:r>
        <w:rPr>
          <w:rFonts w:hint="default" w:ascii="微软雅黑" w:hAnsi="微软雅黑" w:eastAsia="微软雅黑" w:cs="宋体"/>
          <w:b/>
          <w:bCs/>
          <w:sz w:val="24"/>
        </w:rPr>
        <w:t>的年化收益率是多少？</w:t>
      </w:r>
    </w:p>
    <w:p>
      <w:pPr>
        <w:numPr>
          <w:ilvl w:val="0"/>
          <w:numId w:val="0"/>
        </w:numPr>
        <w:ind w:left="0" w:leftChars="0" w:right="-92" w:rightChars="-44" w:firstLine="0" w:firstLineChars="0"/>
        <w:jc w:val="center"/>
      </w:pPr>
      <w:r>
        <w:drawing>
          <wp:inline distT="0" distB="0" distL="114300" distR="114300">
            <wp:extent cx="5272405" cy="2435225"/>
            <wp:effectExtent l="0" t="0" r="635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贵州茅台通过i问财查询，上市开盘价为34.51元，查询显示最近后复权价格为9618.97元，2001年到2020年一共19年，通过微淼计算器计算得出年化收益率</w:t>
      </w:r>
      <w:r>
        <w:rPr>
          <w:rFonts w:hint="default" w:ascii="微软雅黑" w:hAnsi="微软雅黑" w:eastAsia="微软雅黑" w:cs="宋体"/>
          <w:sz w:val="24"/>
          <w:lang w:eastAsia="zh-CN"/>
        </w:rPr>
        <w:t>约为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34.491%</w:t>
      </w:r>
      <w:r>
        <w:rPr>
          <w:rFonts w:hint="default" w:ascii="微软雅黑" w:hAnsi="微软雅黑" w:eastAsia="微软雅黑" w:cs="宋体"/>
          <w:sz w:val="24"/>
          <w:lang w:eastAsia="zh-CN"/>
        </w:rPr>
        <w:t>，如下图所示。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3025775"/>
            <wp:effectExtent l="0" t="0" r="13970" b="698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sz w:val="24"/>
          <w:lang w:eastAsia="zh-CN"/>
        </w:rPr>
      </w:pP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宋体"/>
          <w:b/>
          <w:bCs/>
          <w:sz w:val="24"/>
          <w:lang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根据(1)(2)(3）问中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重庆钢铁</w:t>
      </w:r>
      <w:r>
        <w:rPr>
          <w:rFonts w:hint="default" w:ascii="微软雅黑" w:hAnsi="微软雅黑" w:eastAsia="微软雅黑" w:cs="宋体"/>
          <w:b/>
          <w:bCs/>
          <w:sz w:val="24"/>
        </w:rPr>
        <w:t>和贵州茅台在分红和价差收益(年化收益率)两方面的差距，</w:t>
      </w:r>
      <w:r>
        <w:rPr>
          <w:rFonts w:hint="eastAsia" w:ascii="微软雅黑" w:hAnsi="微软雅黑" w:eastAsia="微软雅黑" w:cs="宋体"/>
          <w:b/>
          <w:bCs/>
          <w:sz w:val="24"/>
        </w:rPr>
        <w:t>谈谈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你</w:t>
      </w:r>
      <w:r>
        <w:rPr>
          <w:rFonts w:hint="eastAsia" w:ascii="微软雅黑" w:hAnsi="微软雅黑" w:eastAsia="微软雅黑" w:cs="宋体"/>
          <w:b/>
          <w:bCs/>
          <w:sz w:val="24"/>
        </w:rPr>
        <w:t>对生钱资产的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理解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从投资的角度看，收益主要来自于两部分，一部分是资产价格上涨的收益，一部分是分红带来的收益。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钱资产是能持续给你带来净现金流入的东西。重庆钢铁仅在上市的前几年分红，最近10年都没有过现金分红，分红不持续，无法给我们持续带来净现金流，所以不属于生钱资产，属于其他资产。贵州茅台每年都有持续稳定的现金分红，而且分红整体呈上涨趋势，因此它符合生钱资产的定义，属于生钱资产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重庆钢铁，如果以上市开盘价5.5元购买，现在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后复权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价格1.81元，哪怕持有13年依然亏损。买了贵州茅台则不同，不仅有高额的分红收益，而且价差收益也很高。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理解如下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① 分红是收益的保障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根据（1）问的查询结果，我们可以知道贵州茅台每年都有大量分红，但购买贵州茅台这支股票，也可能会出现一段时期的账面亏损，这时候分红的作用就体现了。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比如2001年上市当天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shd w:val="clear" w:color="auto" w:fill="auto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开盘价为34.51元，2003年12月31日的股价为25.4元，如果上市当天购买，持有2年，账面依然亏损。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但是不同的是，即使账面浮亏，贵州茅台的持有者每年也能收到大量的现金分红。这样持续下去，通过现金分红就可以把本金收回来了，长期来看没有亏损的可能。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② 高分红更加有助于价差收益上涨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根据公式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default" w:ascii="微软雅黑" w:hAnsi="微软雅黑" w:eastAsia="微软雅黑" w:cs="微软雅黑"/>
          <w:b/>
          <w:bCs w:val="0"/>
          <w:color w:val="auto"/>
          <w:sz w:val="24"/>
          <w:szCs w:val="21"/>
          <w:lang w:eastAsia="zh-CN"/>
        </w:rPr>
        <w:t>股息率  = （股息 ÷ 股价） × 100%</w:t>
      </w: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1"/>
          <w:lang w:val="en-US" w:eastAsia="zh-CN"/>
        </w:rPr>
        <w:t>这里股息就是分红，分红持续增加，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如果贵州茅台股价下</w:t>
      </w:r>
      <w:r>
        <w:rPr>
          <w:rFonts w:hint="eastAsia" w:ascii="微软雅黑" w:hAnsi="微软雅黑" w:eastAsia="微软雅黑" w:cs="微软雅黑"/>
          <w:sz w:val="24"/>
          <w:szCs w:val="24"/>
        </w:rPr>
        <w:t>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买进后的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股息率会更</w:t>
      </w:r>
      <w:r>
        <w:rPr>
          <w:rFonts w:hint="eastAsia" w:ascii="微软雅黑" w:hAnsi="微软雅黑" w:eastAsia="微软雅黑" w:cs="微软雅黑"/>
          <w:sz w:val="24"/>
          <w:szCs w:val="24"/>
        </w:rPr>
        <w:t>高，这样就会吸引更多的投资者买进</w:t>
      </w:r>
      <w:r>
        <w:rPr>
          <w:rFonts w:hint="default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买的人越多，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股价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升的就越高，</w:t>
      </w:r>
      <w:r>
        <w:rPr>
          <w:rFonts w:hint="default" w:ascii="微软雅黑" w:hAnsi="微软雅黑" w:eastAsia="微软雅黑" w:cs="微软雅黑"/>
          <w:sz w:val="24"/>
          <w:szCs w:val="24"/>
        </w:rPr>
        <w:t>这样在低价时买入，未来的价差收益也会更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大</w:t>
      </w:r>
      <w:r>
        <w:rPr>
          <w:rFonts w:hint="default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重庆钢铁和贵州茅台的对比，我们可以发现，只要你购买的资产能够给你带来持续稳定的净现金流入，那么赚钱是早晚的事！要想实现财务自由，一定要去拥有优质的生钱资产，无论这个生钱资产是本周学习的股票，还是上周学习的房产，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或是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其他的生钱资产。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港">
    <w:altName w:val="MingLiU-ExtB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AFA4"/>
    <w:multiLevelType w:val="singleLevel"/>
    <w:tmpl w:val="1D9DAFA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147F29"/>
    <w:multiLevelType w:val="singleLevel"/>
    <w:tmpl w:val="5F147F29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7AEA2C41"/>
    <w:multiLevelType w:val="singleLevel"/>
    <w:tmpl w:val="7AEA2C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E9C4473"/>
    <w:rsid w:val="10827B37"/>
    <w:rsid w:val="14430A00"/>
    <w:rsid w:val="151563A8"/>
    <w:rsid w:val="1CD938E5"/>
    <w:rsid w:val="236907C0"/>
    <w:rsid w:val="27597CE3"/>
    <w:rsid w:val="2AF64831"/>
    <w:rsid w:val="2BA4342C"/>
    <w:rsid w:val="2E383B52"/>
    <w:rsid w:val="32B93164"/>
    <w:rsid w:val="3BFF0C78"/>
    <w:rsid w:val="3F63634C"/>
    <w:rsid w:val="44B3466B"/>
    <w:rsid w:val="4FF829C3"/>
    <w:rsid w:val="5C2E6FAB"/>
    <w:rsid w:val="5D9B1F5F"/>
    <w:rsid w:val="5DF722D6"/>
    <w:rsid w:val="605DED8A"/>
    <w:rsid w:val="612504B0"/>
    <w:rsid w:val="624F441D"/>
    <w:rsid w:val="62800DEE"/>
    <w:rsid w:val="6D6211FF"/>
    <w:rsid w:val="6DBDCA70"/>
    <w:rsid w:val="6FE07617"/>
    <w:rsid w:val="74E03A79"/>
    <w:rsid w:val="7BBC5F40"/>
    <w:rsid w:val="7FBF68EB"/>
    <w:rsid w:val="DFFDA70F"/>
    <w:rsid w:val="FBED7108"/>
    <w:rsid w:val="FFB7D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6">
    <w:name w:val="List Paragraph"/>
    <w:basedOn w:val="1"/>
    <w:qFormat/>
    <w:uiPriority w:val="26"/>
    <w:pPr>
      <w:ind w:firstLine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2020-07-17T15:10:00Z</dcterms:created>
  <dc:creator>sheji</dc:creator>
  <cp:lastModifiedBy>c帝c</cp:lastModifiedBy>
  <dcterms:modified xsi:type="dcterms:W3CDTF">2020-08-13T15:24:53Z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