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第三周作业答案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作业1、</w:t>
      </w: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第三周指数基金的学习</w:t>
      </w: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使用雪球APP查询上证红利指数目前的市盈率，判断是否符合课程中的好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价格标准，并且通过证券账户添加自选红利ETF(代码：510880)指数基金，并截图。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使用雪球APP查询红利指数目前的市盈率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操作步骤：打开雪球APP--点击行情--点击市场--点击指数估值--查询“上证红利”市盈率。</w:t>
      </w:r>
    </w:p>
    <w:p>
      <w:pPr>
        <w:widowControl/>
        <w:numPr>
          <w:ilvl w:val="0"/>
          <w:numId w:val="0"/>
        </w:numPr>
        <w:jc w:val="left"/>
      </w:pPr>
      <w:r>
        <w:drawing>
          <wp:inline distT="0" distB="0" distL="114300" distR="114300">
            <wp:extent cx="2564765" cy="491363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050" cy="4914265"/>
            <wp:effectExtent l="0" t="0" r="127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</w:pPr>
    </w:p>
    <w:p>
      <w:pPr>
        <w:widowControl/>
        <w:numPr>
          <w:ilvl w:val="0"/>
          <w:numId w:val="0"/>
        </w:numPr>
        <w:jc w:val="left"/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判断是否符合课程中的好价格标准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根据课程中的知识，上证红利指数的合理市盈率波动区间为7-30。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当市盈率小于7的时候，上证红利指数低估，是非常好的买入时机；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当市盈率大于30的时候，上证红利指数高估，是非常好的卖出时机；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根据上图中显示，上证红利指数市盈率为7.10，处于低估区域，马上到非常好的买入时机。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24"/>
          <w:szCs w:val="24"/>
          <w:lang w:val="en-US" w:eastAsia="zh-CN" w:bidi="ar-SA"/>
        </w:rPr>
        <w:t>上证红利指数的市盈率小于7的时候对应的价格是好价格，市盈率越小，价格就越好。注意：好价格其实是一个价格区间，而不是某一个具体的价格。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4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使用涨乐财富通APP添加自选和购买红利ETF(510880)，详情如下：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添加自选：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输入搜索的基金代码“510880”--点击“＋”添加自选</w:t>
      </w:r>
    </w:p>
    <w:p>
      <w:pPr>
        <w:widowControl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6400" cy="2051685"/>
            <wp:effectExtent l="0" t="0" r="1016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购买过程：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打开涨乐财富通--点击买入--输入红利ETF的基金代码：510880---输入买入数量：100--点击买入---委托买入点确定--查看是否成交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2937510" cy="1800225"/>
            <wp:effectExtent l="0" t="0" r="381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39315" cy="1800225"/>
            <wp:effectExtent l="0" t="0" r="9525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查看是否购买成功的操作步骤：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点击交易--查询委托或查询成交--查看成交与否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2392680" cy="1583690"/>
            <wp:effectExtent l="0" t="0" r="0" b="127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27885" cy="1583690"/>
            <wp:effectExtent l="0" t="0" r="5715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根据指数基金的4大核心功能，结合自身实际情况制定目标，为自己或家庭设计一套指数基金投资方案。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我们以老白为例进行分析，老白是工薪阶层，年龄50岁，工作比较稳定，月收入为5000元，暂无外债，劳累大半生，给孩子买房结婚，花光了所有积蓄，无多余存款，其他的生活总支出为2000元。根据指数基金的4大核心功能，老白的目标很明确，投资指数基金为了养老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制定目标：老白60岁退休，希望在退休后有40万的养老金。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老白目前50岁，正常退休年龄60岁，那么老白可以用来投资指数基金的时间共10年。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投资方案：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由于老白暂无存款，工作稳定，根据现阶段的资金情况，即使指数基金出现好价格，也无法大资金一次性投入。因此，老白可以采用每月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定投的方式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买入指数基金，这种方式可以摊薄买入成本。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420" w:leftChars="0" w:right="0" w:rightChars="0" w:hanging="420" w:firstLineChars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由于指数基金的平均年化收益率在10%左右，那每月定投多少，可以在10年后获得40万的总收益呢？使用微淼计算器定投的功能，经过尝试计算，老白每月定投1900元就可以达成以上目标。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center"/>
      </w:pPr>
      <w:r>
        <w:drawing>
          <wp:inline distT="0" distB="0" distL="114300" distR="114300">
            <wp:extent cx="4187825" cy="1979930"/>
            <wp:effectExtent l="0" t="0" r="3175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60岁退休计算，假如老白活到100岁，期间还有40年的时间。这40年每年都能收到持续稳定的分红才是最重要的，买了指数基金后，一般情况下是不用卖出的，除非指数的市盈率出现几十年一遇的极度高估，比如红利指数的市盈率大于40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  <w:t>为什么这样投资呢？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79" w:leftChars="228" w:right="0" w:righ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太极图原理，大涨之后必有大跌，在极度高估情况下，未来一定会出现大跌，所以只有在这种极度高估的情况下卖掉指数基金，未来才可以在较短时间内买进。如果只是在高估的情况下就卖掉指数基金，未来可能要等好多年才能有机会再次买进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79" w:leftChars="228" w:right="0" w:righ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对于养老金来说，确定性远比收益性重要，所以能不卖就不卖。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其他购买指数基金的目的可参考以下卖出标准：</w:t>
      </w:r>
    </w:p>
    <w:p>
      <w:r>
        <w:drawing>
          <wp:inline distT="0" distB="0" distL="114300" distR="114300">
            <wp:extent cx="6025515" cy="2232025"/>
            <wp:effectExtent l="0" t="0" r="952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E5DE1"/>
    <w:multiLevelType w:val="singleLevel"/>
    <w:tmpl w:val="8B0E5D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128E1E4"/>
    <w:multiLevelType w:val="singleLevel"/>
    <w:tmpl w:val="B128E1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19AD931"/>
    <w:multiLevelType w:val="singleLevel"/>
    <w:tmpl w:val="319AD9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D1E6F95"/>
    <w:rsid w:val="161661D3"/>
    <w:rsid w:val="19123BCB"/>
    <w:rsid w:val="1CD938E5"/>
    <w:rsid w:val="208C3BD0"/>
    <w:rsid w:val="20CF2171"/>
    <w:rsid w:val="27B14994"/>
    <w:rsid w:val="28D32760"/>
    <w:rsid w:val="2A442F01"/>
    <w:rsid w:val="2A6126DE"/>
    <w:rsid w:val="3DB901B3"/>
    <w:rsid w:val="42CA5ACD"/>
    <w:rsid w:val="472E525F"/>
    <w:rsid w:val="487A4DFF"/>
    <w:rsid w:val="4A4C42CF"/>
    <w:rsid w:val="4D3011B0"/>
    <w:rsid w:val="50C70A7F"/>
    <w:rsid w:val="513E4F95"/>
    <w:rsid w:val="58D674BC"/>
    <w:rsid w:val="5B9116A7"/>
    <w:rsid w:val="5C9D1A51"/>
    <w:rsid w:val="605DED8A"/>
    <w:rsid w:val="619E165C"/>
    <w:rsid w:val="62853CE8"/>
    <w:rsid w:val="666411A4"/>
    <w:rsid w:val="66B67AB1"/>
    <w:rsid w:val="6FE07617"/>
    <w:rsid w:val="73FA0E9E"/>
    <w:rsid w:val="7800011A"/>
    <w:rsid w:val="79826462"/>
    <w:rsid w:val="7BBC5F40"/>
    <w:rsid w:val="7D7E30D8"/>
    <w:rsid w:val="7DA43B25"/>
    <w:rsid w:val="DFFDA70F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26"/>
    <w:pPr>
      <w:ind w:firstLine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2020-07-16T23:10:00Z</dcterms:created>
  <dc:creator>sheji</dc:creator>
  <cp:lastModifiedBy>c帝c</cp:lastModifiedBy>
  <dcterms:modified xsi:type="dcterms:W3CDTF">2020-08-14T17:14:32Z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