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3780"/>
        </w:tabs>
        <w:jc w:val="center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 w:eastAsia="宋体"/>
          <w:b/>
          <w:bCs/>
          <w:sz w:val="32"/>
          <w:szCs w:val="32"/>
          <w:lang w:val="en-US" w:eastAsia="zh-CN"/>
        </w:rPr>
        <w:t>第四周作业解析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color w:val="0000FF"/>
          <w:kern w:val="0"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案例分析完整视频讲解：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i问财APP筛选A股操作演示：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instrText xml:space="preserve"> HYPERLINK "https://4m.cn/og7zH" </w:instrTex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t>https://4m.cn/og7zH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手机打开</w:t>
      </w:r>
      <w:r>
        <w:rPr>
          <w:rFonts w:hint="default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eastAsia="zh-CN"/>
        </w:rPr>
        <w:t>i</w:t>
      </w: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问财网址筛选A股操作演示：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instrText xml:space="preserve"> HYPERLINK "https://4m.cn/GC4JA" </w:instrTex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t>https://4m.cn/GC4JA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雪球APP查询TTM市盈率和股息 ：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instrText xml:space="preserve"> HYPERLINK "https://4m.cn/tVvN9" </w:instrTex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t>https://4m.cn/tVvN9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富途牛牛APP查询TTM市盈率和股息 ：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instrText xml:space="preserve"> HYPERLINK "https://4m.cn/crzoj" </w:instrTex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t>https:</w:t>
      </w:r>
      <w:bookmarkStart w:id="0" w:name="_GoBack"/>
      <w:bookmarkEnd w:id="0"/>
      <w:r>
        <w:rPr>
          <w:rStyle w:val="7"/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t>//4m.cn/crzoj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end"/>
      </w:r>
    </w:p>
    <w:p>
      <w:pPr>
        <w:widowControl/>
        <w:numPr>
          <w:ilvl w:val="0"/>
          <w:numId w:val="1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/>
        </w:rPr>
        <w:t>手机查询十年期国债收益率 ：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instrText xml:space="preserve"> HYPERLINK "https://4m.cn/VdTIL" </w:instrTex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t>https://4m.cn/VdTIL</w:t>
      </w: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4"/>
          <w:szCs w:val="24"/>
          <w:lang w:val="en-US" w:eastAsia="zh-CN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本周手机操作工具和网址统计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t>i问财APP：选股使用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微软雅黑"/>
          <w:i w:val="0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olor w:val="000000" w:themeColor="text1"/>
          <w:sz w:val="24"/>
          <w:szCs w:val="24"/>
          <w:u w:val="none"/>
          <w:lang w:val="en-US" w:eastAsia="zh-CN"/>
          <w14:textFill>
            <w14:solidFill>
              <w14:schemeClr w14:val="tx1"/>
            </w14:solidFill>
          </w14:textFill>
        </w:rPr>
        <w:t>英为财情APP：查询十年期国债收益率</w:t>
      </w:r>
    </w:p>
    <w:p>
      <w:pPr>
        <w:numPr>
          <w:ilvl w:val="0"/>
          <w:numId w:val="2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color w:val="000000" w:themeColor="text1"/>
          <w:kern w:val="0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 w:cs="微软雅黑"/>
          <w:i w:val="0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instrText xml:space="preserve"> HYPERLINK "https://www.legulegu.com/stockdata/shenzhenPE" \o "https://www.legulegu.com/stockdata/shenzhenPE" </w:instrText>
      </w:r>
      <w:r>
        <w:rPr>
          <w:rFonts w:hint="eastAsia" w:ascii="微软雅黑" w:hAnsi="微软雅黑" w:eastAsia="微软雅黑" w:cs="微软雅黑"/>
          <w:i w:val="0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i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A股深圳市盈率网址</w:t>
      </w:r>
      <w:r>
        <w:rPr>
          <w:rStyle w:val="8"/>
          <w:rFonts w:hint="default" w:ascii="微软雅黑" w:hAnsi="微软雅黑" w:eastAsia="微软雅黑" w:cs="微软雅黑"/>
          <w:i w:val="0"/>
          <w:color w:val="000000" w:themeColor="text1"/>
          <w:sz w:val="24"/>
          <w:szCs w:val="24"/>
          <w:u w:val="none"/>
          <w14:textFill>
            <w14:solidFill>
              <w14:schemeClr w14:val="tx1"/>
            </w14:solidFill>
          </w14:textFill>
        </w:rPr>
        <w:t>：</w:t>
      </w:r>
      <w:r>
        <w:rPr>
          <w:rStyle w:val="8"/>
          <w:rFonts w:hint="eastAsia" w:ascii="微软雅黑" w:hAnsi="微软雅黑" w:eastAsia="微软雅黑" w:cs="微软雅黑"/>
          <w:i w:val="0"/>
          <w:color w:val="0000FF"/>
          <w:sz w:val="24"/>
          <w:szCs w:val="24"/>
          <w:u w:val="single"/>
        </w:rPr>
        <w:t>https://www.legulegu.com/stockdata/shenzhenPE</w:t>
      </w:r>
      <w:r>
        <w:rPr>
          <w:rFonts w:hint="eastAsia" w:ascii="微软雅黑" w:hAnsi="微软雅黑" w:eastAsia="微软雅黑" w:cs="微软雅黑"/>
          <w:i w:val="0"/>
          <w:color w:val="000000" w:themeColor="text1"/>
          <w:kern w:val="0"/>
          <w:sz w:val="24"/>
          <w:szCs w:val="24"/>
          <w:u w:val="none"/>
          <w:lang w:val="en-US" w:eastAsia="zh-CN" w:bidi="ar"/>
          <w14:textFill>
            <w14:solidFill>
              <w14:schemeClr w14:val="tx1"/>
            </w14:solidFill>
          </w14:textFill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3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股息率法好价格 = TTM股息÷中国十年期国债收益率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TTM是最近4个季度的意思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宋体" w:eastAsia="宋体"/>
          <w:color w:val="auto"/>
          <w:positio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宋体" w:eastAsia="宋体"/>
          <w:color w:val="auto"/>
          <w:positio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宋体" w:eastAsia="宋体"/>
          <w:color w:val="auto"/>
          <w:positio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宋体" w:eastAsia="宋体"/>
          <w:color w:val="auto"/>
          <w:positio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宋体" w:eastAsia="宋体"/>
          <w:color w:val="auto"/>
          <w:positio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宋体" w:eastAsia="宋体"/>
          <w:color w:val="auto"/>
          <w:position w:val="0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作业题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根据财务自由A股投资方法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，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精挑细选出A股中最优秀的上市公司，并任选2家上市公司计算出其股票的好价格。</w:t>
      </w:r>
    </w:p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28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28"/>
          <w:lang w:val="en-US" w:eastAsia="zh-CN"/>
        </w:rPr>
        <w:t>手机</w:t>
      </w:r>
      <w:r>
        <w:rPr>
          <w:rFonts w:hint="eastAsia" w:ascii="微软雅黑" w:hAnsi="微软雅黑" w:eastAsia="微软雅黑" w:cs="微软雅黑"/>
          <w:b/>
          <w:bCs/>
          <w:sz w:val="36"/>
          <w:szCs w:val="28"/>
        </w:rPr>
        <w:t>端操作方法</w:t>
      </w:r>
    </w:p>
    <w:p>
      <w:pPr>
        <w:numPr>
          <w:ilvl w:val="0"/>
          <w:numId w:val="5"/>
        </w:numPr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选出好公司</w:t>
      </w:r>
    </w:p>
    <w:p>
      <w:pPr>
        <w:rPr>
          <w:rFonts w:hint="default" w:ascii="微软雅黑" w:hAnsi="微软雅黑" w:eastAsia="微软雅黑" w:cs="微软雅黑"/>
          <w:b/>
          <w:lang w:val="en-US"/>
        </w:rPr>
      </w:pPr>
      <w:r>
        <w:rPr>
          <w:rFonts w:hint="eastAsia" w:ascii="微软雅黑" w:hAnsi="微软雅黑" w:eastAsia="微软雅黑" w:cs="微软雅黑"/>
          <w:b/>
        </w:rPr>
        <w:t>第一步：</w:t>
      </w:r>
      <w:r>
        <w:rPr>
          <w:rFonts w:hint="eastAsia" w:ascii="微软雅黑" w:hAnsi="微软雅黑" w:eastAsia="微软雅黑" w:cs="微软雅黑"/>
          <w:b/>
          <w:lang w:val="en-US" w:eastAsia="zh-CN"/>
        </w:rPr>
        <w:t>手机下载i问财APP与英为财情APP</w:t>
      </w:r>
    </w:p>
    <w:p>
      <w:pPr>
        <w:widowControl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2595245" cy="1692275"/>
            <wp:effectExtent l="0" t="0" r="10795" b="1460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90140" cy="1692275"/>
            <wp:effectExtent l="0" t="0" r="2540" b="14605"/>
            <wp:docPr id="30" name="图片 30" descr="bf31f2611bb1db000073ae73aa475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bf31f2611bb1db000073ae73aa4752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u w:val="none"/>
          <w:lang w:val="en-US" w:eastAsia="zh-CN"/>
        </w:rPr>
        <w:t>英为财情APP复制链接下载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u w:val="none"/>
          <w:lang w:val="en-US" w:eastAsia="zh-CN"/>
        </w:rPr>
        <w:t>华为手机下载连接：</w:t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instrText xml:space="preserve"> HYPERLINK "https://appgallery1.huawei.com/#/app/C100329373" </w:instrText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b w:val="0"/>
          <w:bCs/>
          <w:lang w:val="en-US" w:eastAsia="zh-CN"/>
        </w:rPr>
        <w:t>https://appgallery1.huawei.com/#/app/C100329373</w:t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 w:val="0"/>
          <w:bCs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u w:val="none"/>
          <w:lang w:val="en-US" w:eastAsia="zh-CN"/>
        </w:rPr>
        <w:t>备用下载连接：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fldChar w:fldCharType="begin"/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instrText xml:space="preserve"> HYPERLINK "https://m-appstore.smartisan.com/#/app-home/?package=com.fusionmedia.investingCN&amp;source=share" </w:instrText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fldChar w:fldCharType="separate"/>
      </w:r>
      <w:r>
        <w:rPr>
          <w:rStyle w:val="7"/>
          <w:rFonts w:hint="default" w:ascii="微软雅黑" w:hAnsi="微软雅黑" w:eastAsia="微软雅黑" w:cs="微软雅黑"/>
          <w:b w:val="0"/>
          <w:bCs/>
          <w:lang w:val="en-US" w:eastAsia="zh-CN"/>
        </w:rPr>
        <w:t>https://m-appstore.smartisan.com/#/app-home/?package=com.fusionmedia.investingCN&amp;source=share</w:t>
      </w:r>
      <w:r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 w:ascii="微软雅黑" w:hAnsi="微软雅黑" w:eastAsia="微软雅黑" w:cs="微软雅黑"/>
          <w:b w:val="0"/>
          <w:bCs/>
          <w:u w:val="single"/>
          <w:lang w:val="en-US" w:eastAsia="zh-CN"/>
        </w:rPr>
      </w:pPr>
      <w:r>
        <w:drawing>
          <wp:inline distT="0" distB="0" distL="114300" distR="114300">
            <wp:extent cx="4702810" cy="2155190"/>
            <wp:effectExtent l="0" t="0" r="6350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32"/>
          <w:lang w:val="en-US" w:eastAsia="zh-CN"/>
        </w:rPr>
        <w:t>用途：查看中国和美国的10年期国债收益率，点击“安装”即可。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确定</w:t>
      </w:r>
      <w:r>
        <w:rPr>
          <w:rFonts w:hint="eastAsia" w:ascii="微软雅黑" w:hAnsi="微软雅黑" w:eastAsia="微软雅黑" w:cs="微软雅黑"/>
          <w:b/>
          <w:sz w:val="28"/>
          <w:szCs w:val="36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条件为：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连续5年的ROE大于20%；连续5年的净利润现金含量大于80%；连续5年的毛利率大于40%；上市大于3年，平均连续5年净利润现金含量，连续5年的资产负债率小于60%，连续5年的分红比例大于25%</w:t>
      </w:r>
    </w:p>
    <w:p>
      <w:pPr>
        <w:spacing w:line="220" w:lineRule="atLeast"/>
        <w:rPr>
          <w:rFonts w:hint="eastAsia" w:ascii="微软雅黑" w:hAnsi="微软雅黑" w:eastAsia="微软雅黑" w:cs="微软雅黑"/>
          <w:i/>
          <w:iCs/>
          <w:sz w:val="18"/>
          <w:szCs w:val="18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i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问财还不够智能，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空格和标点符号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不同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</w:rPr>
        <w:t>会影响筛选结果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请严格复制</w:t>
      </w:r>
      <w:r>
        <w:rPr>
          <w:rFonts w:hint="eastAsia" w:ascii="微软雅黑" w:hAnsi="微软雅黑" w:eastAsia="微软雅黑" w:cs="微软雅黑"/>
          <w:i w:val="0"/>
          <w:iCs w:val="0"/>
          <w:color w:val="FF0000"/>
          <w:sz w:val="18"/>
          <w:szCs w:val="18"/>
          <w:lang w:val="en-US" w:eastAsia="zh-CN"/>
        </w:rPr>
        <w:t>上</w:t>
      </w:r>
      <w:r>
        <w:rPr>
          <w:rFonts w:hint="default" w:ascii="微软雅黑" w:hAnsi="微软雅黑" w:eastAsia="微软雅黑" w:cs="微软雅黑"/>
          <w:i w:val="0"/>
          <w:iCs w:val="0"/>
          <w:color w:val="FF0000"/>
          <w:sz w:val="18"/>
          <w:szCs w:val="18"/>
        </w:rPr>
        <w:t>面的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i w:val="0"/>
          <w:iCs w:val="0"/>
          <w:color w:val="FF0000"/>
          <w:sz w:val="18"/>
          <w:szCs w:val="18"/>
        </w:rPr>
        <w:t>条件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</w:rPr>
        <w:t>，不要更改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条件的解析-------------------------------------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A股的海选条件：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11"/>
          <w:szCs w:val="11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连续5年的ROE大于20%；连续5年的净利润现金含量大于80%；连续5年的毛利率大于40%；上市大于3年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精挑细选A股公司的条件和标准是：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1、连续5年的平均净利润现金含量低于100%的，淘汰掉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2、连续5年的资产负债率中，有1年或1年以上大于60%的，淘汰掉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"/>
          <w:szCs w:val="2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3、连续5年的分红比例中，有1年或1年以上小于25%的，淘汰掉。   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lang w:eastAsia="zh-CN"/>
        </w:rPr>
        <w:t>精挑细选的条件可以简化为</w:t>
      </w:r>
      <w:r>
        <w:rPr>
          <w:rFonts w:hint="eastAsia" w:ascii="微软雅黑" w:hAnsi="微软雅黑" w:eastAsia="微软雅黑" w:cs="微软雅黑"/>
          <w:lang w:val="en-US" w:eastAsia="zh-CN"/>
        </w:rPr>
        <w:t>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平均连续5年净利润现金含量，连续5年的资产负债率小于60%，连续5年的分红比例大于25%。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lang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备注：与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视频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笔记相比，增加了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平均连续5年净利润现金含量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这一条件，是为了简化同学们的计算量，i问财可以直接计算出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连续5年净利润现金含量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的平均值。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eastAsia="zh-CN"/>
        </w:rPr>
      </w:pPr>
      <w:r>
        <w:rPr>
          <w:rFonts w:hint="default" w:ascii="微软雅黑" w:hAnsi="微软雅黑" w:eastAsia="微软雅黑" w:cs="微软雅黑"/>
          <w:lang w:eastAsia="zh-CN"/>
        </w:rPr>
        <w:t>将海选条件和精挑细选的条件合并之后，就得到了</w:t>
      </w:r>
      <w:r>
        <w:rPr>
          <w:rFonts w:hint="eastAsia" w:ascii="微软雅黑" w:hAnsi="微软雅黑" w:eastAsia="微软雅黑" w:cs="微软雅黑"/>
          <w:lang w:val="en-US" w:eastAsia="zh-CN"/>
        </w:rPr>
        <w:t>第二步中的</w:t>
      </w:r>
      <w:r>
        <w:rPr>
          <w:rFonts w:hint="eastAsia" w:ascii="微软雅黑" w:hAnsi="微软雅黑" w:eastAsia="微软雅黑" w:cs="微软雅黑"/>
          <w:lang w:eastAsia="zh-CN"/>
        </w:rPr>
        <w:t>选股</w:t>
      </w:r>
      <w:r>
        <w:rPr>
          <w:rFonts w:hint="default" w:ascii="微软雅黑" w:hAnsi="微软雅黑" w:eastAsia="微软雅黑" w:cs="微软雅黑"/>
          <w:lang w:eastAsia="zh-CN"/>
        </w:rPr>
        <w:t>条件。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选股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条件的解析-------------------------------------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三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default" w:ascii="微软雅黑" w:hAnsi="微软雅黑" w:eastAsia="微软雅黑" w:cs="微软雅黑"/>
          <w:b/>
          <w:sz w:val="28"/>
          <w:szCs w:val="36"/>
        </w:rPr>
        <w:t>精挑细选好公司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1、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输入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第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二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步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中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的</w:t>
      </w:r>
      <w:r>
        <w:rPr>
          <w:rFonts w:hint="eastAsia" w:ascii="微软雅黑" w:hAnsi="微软雅黑" w:eastAsia="微软雅黑" w:cs="微软雅黑"/>
          <w:b/>
          <w:bCs/>
          <w:lang w:eastAsia="zh-CN"/>
        </w:rPr>
        <w:t>选股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条件会</w:t>
      </w:r>
      <w:r>
        <w:rPr>
          <w:rFonts w:hint="default" w:ascii="微软雅黑" w:hAnsi="微软雅黑" w:eastAsia="微软雅黑" w:cs="微软雅黑"/>
          <w:b/>
          <w:bCs/>
          <w:lang w:eastAsia="zh-CN"/>
        </w:rPr>
        <w:t>看到以下页面</w:t>
      </w:r>
    </w:p>
    <w:p>
      <w:pPr>
        <w:widowControl/>
        <w:numPr>
          <w:ilvl w:val="0"/>
          <w:numId w:val="0"/>
        </w:numPr>
        <w:ind w:left="-420" w:leftChars="-200" w:right="-932" w:rightChars="-444" w:firstLine="0" w:firstLineChars="0"/>
        <w:jc w:val="left"/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2867025" cy="4392295"/>
            <wp:effectExtent l="0" t="0" r="1333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889250" cy="4824095"/>
            <wp:effectExtent l="0" t="0" r="6350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2、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精挑细选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>①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连续5年的平均净利润现金含量低于100%的，淘汰掉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② </w:t>
      </w:r>
      <w:r>
        <w:rPr>
          <w:rFonts w:hint="eastAsia" w:ascii="微软雅黑" w:hAnsi="微软雅黑" w:eastAsia="微软雅黑" w:cs="微软雅黑"/>
          <w:lang w:val="en-US" w:eastAsia="zh-CN"/>
        </w:rPr>
        <w:t>连续5年的资产负债率中，有1年或1年以上大于60%的，淘汰掉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32"/>
          <w:lang w:val="en-US" w:eastAsia="zh-CN"/>
        </w:rPr>
        <w:t xml:space="preserve">③ </w:t>
      </w:r>
      <w:r>
        <w:rPr>
          <w:rFonts w:hint="eastAsia" w:ascii="微软雅黑" w:hAnsi="微软雅黑" w:eastAsia="微软雅黑" w:cs="微软雅黑"/>
          <w:lang w:val="en-US" w:eastAsia="zh-CN"/>
        </w:rPr>
        <w:t>连续5年的分红比例中，有1年或1年以上小于25%的，淘汰掉。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备注：精选条件1中需计算连续5年的平均净利润现金含量的平均值，i问财网址已经计算出来，我们直接观察即可！其他的条件大家可以滑动后进行精选和查看</w:t>
      </w:r>
    </w:p>
    <w:p>
      <w:pPr>
        <w:widowControl/>
        <w:numPr>
          <w:ilvl w:val="0"/>
          <w:numId w:val="0"/>
        </w:numPr>
        <w:ind w:left="-1039" w:leftChars="-495" w:firstLine="0" w:firstLineChars="0"/>
        <w:jc w:val="left"/>
        <w:rPr>
          <w:rFonts w:hint="eastAsia" w:ascii="微软雅黑" w:hAnsi="微软雅黑" w:eastAsia="微软雅黑" w:cs="微软雅黑"/>
        </w:rPr>
      </w:pPr>
    </w:p>
    <w:p>
      <w:pPr>
        <w:widowControl/>
        <w:numPr>
          <w:ilvl w:val="0"/>
          <w:numId w:val="0"/>
        </w:numPr>
        <w:tabs>
          <w:tab w:val="left" w:pos="7980"/>
        </w:tabs>
        <w:ind w:left="-1039" w:leftChars="-495" w:right="-1352" w:rightChars="-644" w:firstLine="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2051685" cy="3740785"/>
            <wp:effectExtent l="0" t="0" r="5715" b="825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3737610"/>
            <wp:effectExtent l="0" t="0" r="3810" b="1143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0270" cy="3726815"/>
            <wp:effectExtent l="0" t="0" r="3810" b="698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027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第四步：记录好公司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把②中精挑细选后的A股好公司记录下来。</w:t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微软雅黑" w:hAnsi="微软雅黑" w:eastAsia="微软雅黑" w:cs="微软雅黑"/>
          <w:b/>
          <w:bCs/>
          <w:sz w:val="32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24"/>
          <w:lang w:val="en-US" w:eastAsia="zh-CN"/>
        </w:rPr>
        <w:t>计算好价格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进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股票的条件：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1、深证A股的市盈率小于20且好公司的TTM市盈率小于15；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 xml:space="preserve"> 2、动态股息率大于10年期国债收益率。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当同时满足这两个条件时，我们就可以买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入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股票了。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ascii="微软雅黑" w:hAnsi="微软雅黑" w:eastAsia="微软雅黑" w:cs="微软雅黑"/>
          <w:b/>
          <w:bCs/>
          <w:sz w:val="24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1"/>
          <w:lang w:val="en-US" w:eastAsia="zh-CN"/>
        </w:rPr>
        <w:t>① 深证A股的市盈率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【乐股网】A股深证市盈率网址：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"https://www.legulegu.com/stockdata/shenzhenPE"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lang w:val="en-US" w:eastAsia="zh-CN"/>
        </w:rPr>
        <w:t>https://www.legulegu.com/stockdata/shenzhenPE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备注：</w:t>
      </w: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此网址虽然与视频中不一致，但是数据刷新的速度更加流畅和快捷，本周作业使用此网址数据</w:t>
      </w:r>
      <w:r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</w:rPr>
      </w:pPr>
      <w:r>
        <w:drawing>
          <wp:inline distT="0" distB="0" distL="114300" distR="114300">
            <wp:extent cx="3708400" cy="3886835"/>
            <wp:effectExtent l="0" t="0" r="10160" b="1460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上图中深证成指的平均市盈率为30.66倍，大于20倍，因此不符合买入标准。当深证成指市盈率暂不符合买入标准，但仍处于合理区间时，我们可以通过计算个股的好价格，判断其是否具有投资价值。</w:t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微软雅黑"/>
          <w:b/>
          <w:bCs/>
          <w:sz w:val="24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1"/>
          <w:lang w:val="en-US" w:eastAsia="zh-CN"/>
        </w:rPr>
        <w:t>② 股票好价格计算</w:t>
      </w:r>
    </w:p>
    <w:p>
      <w:pPr>
        <w:widowControl/>
        <w:numPr>
          <w:ilvl w:val="0"/>
          <w:numId w:val="6"/>
        </w:numPr>
        <w:ind w:left="420" w:leftChars="0" w:hanging="420" w:firstLine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 = 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</w:t>
      </w:r>
    </w:p>
    <w:p>
      <w:pPr>
        <w:widowControl/>
        <w:numPr>
          <w:ilvl w:val="0"/>
          <w:numId w:val="6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股息率法好价格 = TTM股息÷中国十年期国债收益率</w:t>
      </w:r>
    </w:p>
    <w:p>
      <w:pPr>
        <w:widowControl/>
        <w:numPr>
          <w:ilvl w:val="0"/>
          <w:numId w:val="6"/>
        </w:numPr>
        <w:ind w:left="420" w:leftChars="0" w:hanging="420" w:firstLine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我们以贵州茅台为例，计算它的好价格。</w:t>
      </w: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第一步：查询贵州茅台的股价、TTM市盈率、TTM股息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个股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查询网址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APP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：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雪球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ind w:leftChars="0"/>
        <w:jc w:val="both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5273040" cy="3144520"/>
            <wp:effectExtent l="0" t="0" r="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="-1260" w:leftChars="-600" w:right="-1352" w:rightChars="-644" w:firstLine="0" w:firstLineChars="0"/>
        <w:jc w:val="left"/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</w:pPr>
      <w:r>
        <w:drawing>
          <wp:inline distT="0" distB="0" distL="114300" distR="114300">
            <wp:extent cx="3155315" cy="4140200"/>
            <wp:effectExtent l="0" t="0" r="14605" b="508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25215" cy="4130040"/>
            <wp:effectExtent l="0" t="0" r="1905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21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第二步：查询十年期国债收益率</w:t>
      </w:r>
    </w:p>
    <w:p>
      <w:pPr>
        <w:numPr>
          <w:ilvl w:val="0"/>
          <w:numId w:val="7"/>
        </w:numPr>
        <w:ind w:left="420" w:leftChars="0" w:hanging="420" w:firstLineChars="0"/>
        <w:jc w:val="both"/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instrText xml:space="preserve"> HYPERLINK "https://xueqiu.com/" \o "https://xueqiu.com/" </w:instrTex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separate"/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t>十年期国债收益率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查询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APP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</w:rPr>
        <w:t>：</w:t>
      </w:r>
      <w:r>
        <w:rPr>
          <w:rStyle w:val="8"/>
          <w:rFonts w:hint="eastAsia" w:ascii="微软雅黑" w:hAnsi="微软雅黑" w:eastAsia="微软雅黑" w:cs="微软雅黑"/>
          <w:i w:val="0"/>
          <w:color w:val="auto"/>
          <w:sz w:val="21"/>
          <w:szCs w:val="21"/>
          <w:u w:val="none"/>
          <w:lang w:val="en-US" w:eastAsia="zh-CN"/>
        </w:rPr>
        <w:t>英为财情</w:t>
      </w:r>
      <w:r>
        <w:rPr>
          <w:rFonts w:hint="eastAsia" w:ascii="微软雅黑" w:hAnsi="微软雅黑" w:eastAsia="微软雅黑" w:cs="微软雅黑"/>
          <w:i w:val="0"/>
          <w:color w:val="auto"/>
          <w:kern w:val="0"/>
          <w:sz w:val="21"/>
          <w:szCs w:val="21"/>
          <w:u w:val="none"/>
          <w:lang w:val="en-US" w:eastAsia="zh-CN" w:bidi="ar"/>
        </w:rPr>
        <w:fldChar w:fldCharType="end"/>
      </w:r>
    </w:p>
    <w:p>
      <w:pPr>
        <w:widowControl/>
        <w:numPr>
          <w:ilvl w:val="0"/>
          <w:numId w:val="0"/>
        </w:numPr>
        <w:jc w:val="left"/>
      </w:pPr>
      <w:r>
        <w:drawing>
          <wp:inline distT="0" distB="0" distL="114300" distR="114300">
            <wp:extent cx="4455160" cy="2806065"/>
            <wp:effectExtent l="0" t="0" r="10160" b="1333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  <w:t>备注：3.032%=0.03032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color w:val="0000FF"/>
          <w:kern w:val="0"/>
          <w:sz w:val="20"/>
          <w:szCs w:val="16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第三步：计算贵州茅台的好价格</w:t>
      </w:r>
    </w:p>
    <w:p>
      <w:pPr>
        <w:widowControl/>
        <w:numPr>
          <w:ilvl w:val="0"/>
          <w:numId w:val="0"/>
        </w:numPr>
        <w:jc w:val="left"/>
        <w:rPr>
          <w:rFonts w:hint="default"/>
          <w:lang w:val="en-US"/>
        </w:rPr>
      </w:pP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好价格=15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）=15×（1600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÷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46.66）=514.36     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股息率法好价格=TTM股息÷中国十年期国债收益率= 17.02÷3.032%=561.35  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最终的好价格为两者的最小值514.36元。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说明：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上图中茅台股价为1600元，远高于好价格，不能马上买入。还需要研究财务报表和企业分析，做进一步的判断。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好价格的解析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position w:val="0"/>
          <w:sz w:val="28"/>
          <w:szCs w:val="28"/>
          <w:lang w:val="en-US" w:eastAsia="zh-CN"/>
        </w:rPr>
        <w:t>好价格的公式推导过程</w:t>
      </w:r>
    </w:p>
    <w:p>
      <w:pPr>
        <w:widowControl/>
        <w:numPr>
          <w:ilvl w:val="0"/>
          <w:numId w:val="8"/>
        </w:numPr>
        <w:jc w:val="left"/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</w:pPr>
      <w:r>
        <w:rPr>
          <w:rFonts w:hint="default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市盈率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szCs w:val="24"/>
          <w:lang w:val="en-US" w:eastAsia="zh-CN"/>
        </w:rPr>
        <w:t>推导过程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根据买入条件1，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深证A股的市盈率小于20且好公司的TTM市盈率小于15</w:t>
      </w:r>
      <w:r>
        <w:rPr>
          <w:rFonts w:hint="eastAsia" w:ascii="微软雅黑" w:hAnsi="微软雅黑" w:eastAsia="微软雅黑" w:cs="微软雅黑"/>
          <w:b/>
          <w:bCs/>
          <w:color w:val="auto"/>
          <w:lang w:eastAsia="zh-CN"/>
        </w:rPr>
        <w:t>；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因此，当目标公司股票的TTM市盈率＝15时，目标公司的价格达到好价格的临界值。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  <w:lang w:val="en-US" w:eastAsia="zh-CN"/>
        </w:rPr>
        <w:t>市盈率法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24"/>
          <w:highlight w:val="none"/>
        </w:rPr>
        <w:t>好价格 =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）怎么推导出来的呢？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备注：这里15其实代表的是好价格对应的市盈率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4857750" cy="1367790"/>
            <wp:effectExtent l="0" t="0" r="381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将15和每股收益公式代入股价的公式，可以得到：</w:t>
      </w:r>
    </w:p>
    <w:p>
      <w:pP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市盈率法好价格 =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15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 xml:space="preserve"> 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（</w:t>
      </w:r>
      <w:r>
        <w:rPr>
          <w:rFonts w:hint="default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当前股价÷TTM市盈率</w:t>
      </w:r>
      <w:r>
        <w:rPr>
          <w:rFonts w:hint="eastAsia" w:ascii="微软雅黑" w:hAnsi="微软雅黑" w:eastAsia="微软雅黑" w:cs="宋体"/>
          <w:b/>
          <w:bCs/>
          <w:color w:val="0000FF"/>
          <w:kern w:val="0"/>
          <w:sz w:val="24"/>
          <w:lang w:val="en-US" w:eastAsia="zh-CN"/>
        </w:rPr>
        <w:t>）</w:t>
      </w:r>
    </w:p>
    <w:p>
      <w:pP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2、股息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率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法</w:t>
      </w:r>
      <w:r>
        <w:rPr>
          <w:rFonts w:hint="default" w:ascii="微软雅黑" w:hAnsi="微软雅黑" w:eastAsia="微软雅黑" w:cs="宋体"/>
          <w:b/>
          <w:bCs/>
          <w:kern w:val="0"/>
          <w:sz w:val="24"/>
          <w:lang w:val="en-US" w:eastAsia="zh-CN"/>
        </w:rPr>
        <w:t>好价格</w:t>
      </w:r>
      <w:r>
        <w:rPr>
          <w:rFonts w:hint="eastAsia" w:ascii="微软雅黑" w:hAnsi="微软雅黑" w:eastAsia="微软雅黑" w:cs="宋体"/>
          <w:b/>
          <w:bCs/>
          <w:kern w:val="0"/>
          <w:sz w:val="24"/>
          <w:lang w:val="en-US" w:eastAsia="zh-CN"/>
        </w:rPr>
        <w:t>推导过程</w:t>
      </w:r>
    </w:p>
    <w:p>
      <w:pP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根据买入条件2，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动态股息率大于10年期国债收益率。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当目标公司股票的TTM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股息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/>
          <w:bCs/>
          <w:sz w:val="24"/>
          <w:szCs w:val="24"/>
          <w:highlight w:val="none"/>
          <w:lang w:val="en-US" w:eastAsia="zh-CN"/>
        </w:rPr>
        <w:t xml:space="preserve">＝ 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十年期国债收益率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</w:rPr>
        <w:t>时，目标公司的价格达到好价格</w:t>
      </w:r>
      <w: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  <w:t>的临界值。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0000FF"/>
          <w:sz w:val="18"/>
          <w:szCs w:val="18"/>
          <w:lang w:val="en-US" w:eastAsia="zh-CN"/>
        </w:rPr>
        <w:t>备注：这里TTM股息率是动态股息率的一种。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4"/>
          <w:szCs w:val="24"/>
          <w:highlight w:val="none"/>
          <w:lang w:val="en-US" w:eastAsia="zh-CN"/>
        </w:rPr>
      </w:pPr>
      <w:r>
        <w:drawing>
          <wp:inline distT="0" distB="0" distL="114300" distR="114300">
            <wp:extent cx="5269230" cy="1635125"/>
            <wp:effectExtent l="0" t="0" r="3810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好了，本次案例分析提示就到此结束啦，剩下的就交给你们啦！希望每位同学都能履行自己的入学宣言，说道做到。我们一定要相信复利的力量，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val="en-US" w:eastAsia="zh-CN"/>
        </w:rPr>
        <w:t>掌握好三大核心工具之一的股票投资技能，能加速实现财务自由！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  <w:t>最后送给大家一段话：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i w:val="0"/>
          <w:iCs w:val="0"/>
          <w:sz w:val="24"/>
          <w:szCs w:val="24"/>
          <w:lang w:eastAsia="zh-CN"/>
        </w:rPr>
      </w:pPr>
      <w:r>
        <w:rPr>
          <w:rFonts w:ascii="微软雅黑" w:hAnsi="微软雅黑"/>
        </w:rPr>
        <w:drawing>
          <wp:inline distT="0" distB="0" distL="0" distR="0">
            <wp:extent cx="5483225" cy="1704340"/>
            <wp:effectExtent l="0" t="0" r="317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第四周作业你学到的重点知识</w:t>
      </w:r>
    </w:p>
    <w:p>
      <w:pPr>
        <w:pStyle w:val="4"/>
        <w:keepNext w:val="0"/>
        <w:keepLines w:val="0"/>
        <w:widowControl/>
        <w:numPr>
          <w:ilvl w:val="0"/>
          <w:numId w:val="9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海选和精挑细选A股好公司</w:t>
      </w:r>
    </w:p>
    <w:p>
      <w:pPr>
        <w:pStyle w:val="4"/>
        <w:keepNext w:val="0"/>
        <w:keepLines w:val="0"/>
        <w:widowControl/>
        <w:numPr>
          <w:ilvl w:val="0"/>
          <w:numId w:val="9"/>
        </w:numPr>
        <w:suppressLineNumbers w:val="0"/>
        <w:spacing w:before="144" w:beforeAutospacing="0" w:after="144" w:afterAutospacing="0" w:line="240" w:lineRule="auto"/>
        <w:ind w:left="0" w:right="0" w:firstLine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计算好价格</w:t>
      </w:r>
    </w:p>
    <w:p>
      <w:pPr>
        <w:pStyle w:val="4"/>
        <w:keepNext w:val="0"/>
        <w:keepLines w:val="0"/>
        <w:widowControl/>
        <w:numPr>
          <w:ilvl w:val="0"/>
          <w:numId w:val="9"/>
        </w:numPr>
        <w:suppressLineNumbers w:val="0"/>
        <w:spacing w:before="144" w:beforeAutospacing="0" w:after="144" w:afterAutospacing="0" w:line="240" w:lineRule="auto"/>
        <w:ind w:left="0" w:right="0" w:firstLine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掌握股息率、市盈率的概念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苹方-港">
    <w:altName w:val="MingLiU-ExtB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88ECDF"/>
    <w:multiLevelType w:val="singleLevel"/>
    <w:tmpl w:val="9288ECD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9901BD42"/>
    <w:multiLevelType w:val="singleLevel"/>
    <w:tmpl w:val="9901BD4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CBE2E6D5"/>
    <w:multiLevelType w:val="singleLevel"/>
    <w:tmpl w:val="CBE2E6D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E2ECDA5B"/>
    <w:multiLevelType w:val="singleLevel"/>
    <w:tmpl w:val="E2ECDA5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E934CF0"/>
    <w:multiLevelType w:val="singleLevel"/>
    <w:tmpl w:val="FE934CF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6C8CC11"/>
    <w:multiLevelType w:val="singleLevel"/>
    <w:tmpl w:val="36C8CC11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47BF9B0B"/>
    <w:multiLevelType w:val="singleLevel"/>
    <w:tmpl w:val="47BF9B0B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7C2920B"/>
    <w:multiLevelType w:val="singleLevel"/>
    <w:tmpl w:val="57C2920B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6761775C"/>
    <w:multiLevelType w:val="singleLevel"/>
    <w:tmpl w:val="6761775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12A6F56"/>
    <w:rsid w:val="025C7591"/>
    <w:rsid w:val="02B02ADE"/>
    <w:rsid w:val="06611ABC"/>
    <w:rsid w:val="12053BAC"/>
    <w:rsid w:val="1CD938E5"/>
    <w:rsid w:val="22937F53"/>
    <w:rsid w:val="2AFDFB84"/>
    <w:rsid w:val="302F493B"/>
    <w:rsid w:val="3AEB8580"/>
    <w:rsid w:val="4247269E"/>
    <w:rsid w:val="43F12224"/>
    <w:rsid w:val="496D1FEC"/>
    <w:rsid w:val="4D2D21A6"/>
    <w:rsid w:val="4DBE6D46"/>
    <w:rsid w:val="4F6327A4"/>
    <w:rsid w:val="509D28CE"/>
    <w:rsid w:val="540B14EA"/>
    <w:rsid w:val="56071789"/>
    <w:rsid w:val="5833777E"/>
    <w:rsid w:val="59204A4C"/>
    <w:rsid w:val="605DED8A"/>
    <w:rsid w:val="625B2FE8"/>
    <w:rsid w:val="65233532"/>
    <w:rsid w:val="6FE07617"/>
    <w:rsid w:val="758D24E7"/>
    <w:rsid w:val="787E3964"/>
    <w:rsid w:val="7941470E"/>
    <w:rsid w:val="7A54647B"/>
    <w:rsid w:val="7B8D26B5"/>
    <w:rsid w:val="7BBC5F40"/>
    <w:rsid w:val="7DD560A4"/>
    <w:rsid w:val="DFFDA70F"/>
    <w:rsid w:val="FBED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FollowedHyperlink"/>
    <w:basedOn w:val="6"/>
    <w:semiHidden/>
    <w:unhideWhenUsed/>
    <w:qFormat/>
    <w:uiPriority w:val="99"/>
    <w:rPr>
      <w:color w:val="800080"/>
      <w:u w:val="single"/>
    </w:rPr>
  </w:style>
  <w:style w:type="character" w:styleId="8">
    <w:name w:val="Hyperlink"/>
    <w:basedOn w:val="6"/>
    <w:semiHidden/>
    <w:unhideWhenUsed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2020-09-01T18:12:43Z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