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第四周作业解析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color w:val="1C1A0E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第四周作业解析视频：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0"/>
          <w:szCs w:val="30"/>
          <w:lang w:val="en-US" w:eastAsia="zh-CN"/>
        </w:rPr>
        <w:t>详见微淼课程学习资料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本周电脑操作工具和网址统计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i问财选股网址：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instrText xml:space="preserve"> HYPERLINK "http://www.iwencai.com/?allow_redirect=false" </w:instrTex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00FF"/>
          <w:sz w:val="21"/>
          <w:szCs w:val="21"/>
        </w:rPr>
        <w:t>http://www.iwencai.com/?allow_redirect=false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"https://xueqiu.com/" \o "https://xueqiu.com/"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auto"/>
          <w:sz w:val="21"/>
          <w:szCs w:val="21"/>
          <w:u w:val="none"/>
        </w:rPr>
        <w:t>个股查询网址【雪球】：</w:t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https://xueqiu.com/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"https://www.legulegu.com/stockdata/shenzhenPE" \o "https://www.legulegu.com/stockdata/shenzhenPE"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auto"/>
          <w:sz w:val="21"/>
          <w:szCs w:val="21"/>
          <w:u w:val="none"/>
        </w:rPr>
        <w:t>A股深圳市盈率网址：</w:t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https://www.legulegu.com/stockdata/shenzhenPE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中国十年期国债收益率【英为财情】：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instrText xml:space="preserve"> HYPERLINK "https://cn.investing.com/rates-bonds/china-10-year-bond-yield" \o "https://cn.investing.com/rates-bonds/china-10-year-bond-yield" </w:instrTex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https://cn.investing.com/rates-bonds/china-10-year-bond-yield</w: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本周计算公式总结：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好价格 = 15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股息率法好价格 = TTM股息÷中国十年期国债收益率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备注：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TTM是最近4个季度的意思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作业题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根据财务自由A股投资方法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，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精挑细选出A股中最优秀的上市公司，并任选2家上市公司计算出其股票的好价格。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28"/>
        </w:rPr>
        <w:t>电脑端操作方法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4"/>
          <w:lang w:val="en-US" w:eastAsia="zh-CN"/>
        </w:rPr>
        <w:t>一、选出好公司</w:t>
      </w:r>
    </w:p>
    <w:p>
      <w:pPr>
        <w:rPr>
          <w:rFonts w:hint="default" w:ascii="微软雅黑" w:hAnsi="微软雅黑" w:eastAsia="微软雅黑" w:cs="微软雅黑"/>
          <w:b/>
          <w:sz w:val="28"/>
          <w:szCs w:val="36"/>
          <w:lang w:val="en-US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</w:rPr>
        <w:t>第一步：</w:t>
      </w: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打开i问财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打开i问财选股：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 HYPERLINK "http://www.iwencai.com/?allow_redirect=false"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http://www.iwencai.com/?allow_redirect=false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220" w:lineRule="atLeast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41520" cy="1958340"/>
            <wp:effectExtent l="0" t="0" r="0" b="762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  <w:r>
        <w:rPr>
          <w:rFonts w:hint="default" w:ascii="微软雅黑" w:hAnsi="微软雅黑" w:eastAsia="微软雅黑" w:cs="微软雅黑"/>
          <w:b/>
          <w:bCs/>
        </w:rPr>
        <w:t>操作方法：</w:t>
      </w:r>
      <w:r>
        <w:rPr>
          <w:rFonts w:hint="eastAsia" w:ascii="微软雅黑" w:hAnsi="微软雅黑" w:eastAsia="微软雅黑" w:cs="微软雅黑"/>
        </w:rPr>
        <w:t>点击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</w:rPr>
        <w:t>股票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default" w:ascii="微软雅黑" w:hAnsi="微软雅黑" w:eastAsia="微软雅黑" w:cs="微软雅黑"/>
        </w:rPr>
        <w:t>—</w:t>
      </w:r>
      <w:r>
        <w:rPr>
          <w:rFonts w:hint="eastAsia" w:ascii="微软雅黑" w:hAnsi="微软雅黑" w:eastAsia="微软雅黑" w:cs="微软雅黑"/>
          <w:lang w:val="en-US" w:eastAsia="zh-CN"/>
        </w:rPr>
        <w:t>复制粘贴第二步中的“选股</w:t>
      </w:r>
      <w:r>
        <w:rPr>
          <w:rFonts w:hint="eastAsia" w:ascii="微软雅黑" w:hAnsi="微软雅黑" w:eastAsia="微软雅黑" w:cs="微软雅黑"/>
        </w:rPr>
        <w:t>条件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  <w:r>
        <w:rPr>
          <w:rFonts w:hint="default" w:ascii="微软雅黑" w:hAnsi="微软雅黑" w:eastAsia="微软雅黑" w:cs="微软雅黑"/>
        </w:rPr>
        <w:t>—点击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default" w:ascii="微软雅黑" w:hAnsi="微软雅黑" w:eastAsia="微软雅黑" w:cs="微软雅黑"/>
        </w:rPr>
        <w:t>问一下财</w:t>
      </w:r>
      <w:r>
        <w:rPr>
          <w:rFonts w:hint="eastAsia" w:ascii="微软雅黑" w:hAnsi="微软雅黑" w:eastAsia="微软雅黑" w:cs="微软雅黑"/>
          <w:lang w:eastAsia="zh-CN"/>
        </w:rPr>
        <w:t>”</w:t>
      </w:r>
    </w:p>
    <w:p>
      <w:pP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</w:rPr>
        <w:t>第</w:t>
      </w: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sz w:val="28"/>
          <w:szCs w:val="36"/>
        </w:rPr>
        <w:t>步：</w:t>
      </w: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输入选股条件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选股条件为：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连续5年的ROE大于20%；连续5年的净利润现金含量大于80%；连续5年的毛利率大于40%；上市大于3年，平均连续5年净利润现金含量，连续5年的资产负债率小于60%，连续5年的分红比例大于25%</w:t>
      </w:r>
    </w:p>
    <w:p>
      <w:pPr>
        <w:spacing w:line="220" w:lineRule="atLeast"/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备注：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问财还不够智能，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</w:rPr>
        <w:t>空格和标点符号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不同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</w:rPr>
        <w:t>会影响筛选结果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</w:rPr>
        <w:t>请严格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18"/>
          <w:szCs w:val="18"/>
        </w:rPr>
        <w:t>复制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18"/>
          <w:szCs w:val="18"/>
          <w:lang w:val="en-US" w:eastAsia="zh-CN"/>
        </w:rPr>
        <w:t>上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18"/>
          <w:szCs w:val="18"/>
        </w:rPr>
        <w:t>面的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选股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</w:rPr>
        <w:t>条件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，不要更改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-------------------------------------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选股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条件的解析-------------------------------------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A股的海选条件：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连续5年的ROE大于20%；连续5年的净利润现金含量大于80%；连续5年的毛利率大于40%；上市大于3年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精挑细选A股公司的条件和标准是：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1、连续5年的平均净利润现金含量低于100%的，淘汰掉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2、连续5年的资产负债率中，有1年或1年以上大于60%的，淘汰掉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"/>
          <w:szCs w:val="2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3、连续5年的分红比例中，有1年或1年以上小于25%的，淘汰掉。    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eastAsia="zh-CN"/>
        </w:rPr>
        <w:t>精挑细选的条件可以简化为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平均连续5年净利润现金含量，连续5年的资产负债率小于60%，连续5年的分红比例大于25%。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lang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备注：与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视频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笔记相比，增加了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平均连续5年净利润现金含量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这一条件，是为了简化同学们的计算量，i问财可以直接计算出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连续5年净利润现金含量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的平均值。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将海选条件和精挑细选的条件合并之后，就得到了</w:t>
      </w:r>
      <w:r>
        <w:rPr>
          <w:rFonts w:hint="eastAsia" w:ascii="微软雅黑" w:hAnsi="微软雅黑" w:eastAsia="微软雅黑" w:cs="微软雅黑"/>
          <w:lang w:val="en-US" w:eastAsia="zh-CN"/>
        </w:rPr>
        <w:t>第二步中的选股</w:t>
      </w:r>
      <w:r>
        <w:rPr>
          <w:rFonts w:hint="default" w:ascii="微软雅黑" w:hAnsi="微软雅黑" w:eastAsia="微软雅黑" w:cs="微软雅黑"/>
          <w:lang w:eastAsia="zh-CN"/>
        </w:rPr>
        <w:t>条件。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-------------------------------------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选股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条件的解析-------------------------------------</w:t>
      </w:r>
    </w:p>
    <w:p>
      <w:pPr>
        <w:rPr>
          <w:rFonts w:hint="eastAsia" w:ascii="微软雅黑" w:hAnsi="微软雅黑" w:eastAsia="微软雅黑" w:cs="微软雅黑"/>
          <w:b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</w:rPr>
        <w:t>第</w:t>
      </w:r>
      <w:r>
        <w:rPr>
          <w:rFonts w:hint="default" w:ascii="微软雅黑" w:hAnsi="微软雅黑" w:eastAsia="微软雅黑" w:cs="微软雅黑"/>
          <w:b/>
          <w:sz w:val="28"/>
          <w:szCs w:val="36"/>
        </w:rPr>
        <w:t>三</w:t>
      </w:r>
      <w:r>
        <w:rPr>
          <w:rFonts w:hint="eastAsia" w:ascii="微软雅黑" w:hAnsi="微软雅黑" w:eastAsia="微软雅黑" w:cs="微软雅黑"/>
          <w:b/>
          <w:sz w:val="28"/>
          <w:szCs w:val="36"/>
        </w:rPr>
        <w:t>步：</w:t>
      </w:r>
      <w:r>
        <w:rPr>
          <w:rFonts w:hint="default" w:ascii="微软雅黑" w:hAnsi="微软雅黑" w:eastAsia="微软雅黑" w:cs="微软雅黑"/>
          <w:b/>
          <w:sz w:val="28"/>
          <w:szCs w:val="36"/>
        </w:rPr>
        <w:t>精挑细选好公司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输入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选股条件会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看到以下页面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02835" cy="3959860"/>
            <wp:effectExtent l="0" t="0" r="444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精挑细选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连续5年的平均净利润现金含量低于100%的，淘汰掉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lang w:val="en-US" w:eastAsia="zh-CN"/>
        </w:rPr>
        <w:t>连续5年的资产负债率中，有1年或1年以上大于60%的，淘汰掉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lang w:val="en-US" w:eastAsia="zh-CN"/>
        </w:rPr>
        <w:t>连续5年的分红比例中，有1年或1年以上小于25%的，淘汰掉。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备注：精选条件1中需计算连续5年的平均净利润现金含量的平均值，i问财网址已经计算出来，我们直接观察即可！其他的条件大家可以滑动后进行精选和查看</w:t>
      </w:r>
    </w:p>
    <w:p>
      <w:pPr>
        <w:widowControl/>
        <w:numPr>
          <w:ilvl w:val="0"/>
          <w:numId w:val="0"/>
        </w:numPr>
        <w:ind w:left="-1039" w:leftChars="-495" w:firstLine="0" w:firstLineChars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604635" cy="2978785"/>
            <wp:effectExtent l="0" t="0" r="952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-1039" w:leftChars="-495" w:right="-1352" w:rightChars="-644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19805" cy="1895475"/>
            <wp:effectExtent l="0" t="0" r="63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39770" cy="1978025"/>
            <wp:effectExtent l="0" t="0" r="6350" b="317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第四步：记录好公司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把②中精挑细选后的A股好公司记录下来。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4"/>
          <w:lang w:val="en-US" w:eastAsia="zh-CN"/>
        </w:rPr>
        <w:t>计算好价格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判断是否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买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进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股票的条件：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 xml:space="preserve"> 1、深证A股的市盈率小于20且好公司的TTM市盈率小于15；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 xml:space="preserve"> 2、动态股息率大于10年期国债收益率。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当同时满足这两个条件时，我们就可以买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入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股票了。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①深证A股的市盈率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【乐股网】A股深证市盈率网址：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"https://www.legulegu.com/stockdata/shenzhenPE"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https://www.legulegu.com/stockdata/shenzhenPE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备注：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此网址虽然与视频中不一致，但是数据刷新的速度更加流畅和快捷，本周作业使用此网址数据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2787015"/>
            <wp:effectExtent l="0" t="0" r="63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上图中深证成指的平均市盈率为30.66倍，大于20倍，因此不符合买入标准。当深证成指市盈率暂不符合买入标准，但仍处于合理区间时，我们可以通过计算个股的好价格，判断其是否具有投资价值。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②股票好价格计算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好价格 = 15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股息率法好价格 = TTM股息÷中国十年期国债收益率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最终的好价格为两者的最小值。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我们以贵州茅台为例，计算它的好价格。</w:t>
      </w:r>
    </w:p>
    <w:p>
      <w:pPr>
        <w:rPr>
          <w:rFonts w:hint="default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第一步：查询贵州茅台的股价、TTM市盈率、TTM股息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"https://xueqiu.com/" \o "https://xueqiu.com/"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个股</w:t>
      </w:r>
      <w:r>
        <w:rPr>
          <w:rStyle w:val="8"/>
          <w:rFonts w:hint="eastAsia" w:ascii="微软雅黑" w:hAnsi="微软雅黑" w:eastAsia="微软雅黑" w:cs="微软雅黑"/>
          <w:i w:val="0"/>
          <w:color w:val="auto"/>
          <w:sz w:val="21"/>
          <w:szCs w:val="21"/>
          <w:u w:val="none"/>
        </w:rPr>
        <w:t>查询网址【雪球】：</w:t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https://xueqiu.com/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drawing>
          <wp:inline distT="0" distB="0" distL="114300" distR="114300">
            <wp:extent cx="5273675" cy="1304925"/>
            <wp:effectExtent l="0" t="0" r="1460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4991100" cy="172212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第二步：查询十年期国债收益率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中国十年期国债收益率查询网址：</w:t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instrText xml:space="preserve"> HYPERLINK "https://cn.investing.com/rates-bonds/china-10-year-bond-yield" \o "https://cn.investing.com/rates-bonds/china-10-year-bond-yield" </w:instrTex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https://cn.investing.com/rates-bonds/china-10-year-bond-yield</w: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4671060" cy="1338580"/>
            <wp:effectExtent l="0" t="0" r="762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</w:pPr>
      <w:r>
        <w:rPr>
          <w:rFonts w:hint="eastAsia" w:ascii="微软雅黑" w:hAnsi="微软雅黑" w:eastAsia="微软雅黑" w:cs="宋体"/>
          <w:b w:val="0"/>
          <w:bCs w:val="0"/>
          <w:color w:val="0000FF"/>
          <w:kern w:val="0"/>
          <w:sz w:val="20"/>
          <w:szCs w:val="16"/>
          <w:lang w:val="en-US" w:eastAsia="zh-CN"/>
        </w:rPr>
        <w:t>备注：3.032%=0.03032</w:t>
      </w:r>
    </w:p>
    <w:p>
      <w:pPr>
        <w:rPr>
          <w:rFonts w:hint="default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第三步：计算贵州茅台的好价格</w:t>
      </w:r>
    </w:p>
    <w:p>
      <w:pPr>
        <w:widowControl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好价格=15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）=15×（1600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÷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46.66）=514.36     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股息率法好价格=TTM股息÷中国十年期国债收益率= 17.02÷3.032%=561.35 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最终的好价格为两者的最小值514.36元。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说明：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上图中茅台股价为1600元，远高于好价格，不能马上买入。还需要研究财务报表和企业分析，做进一步的判断。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-------------------------------------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好价格的解析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color w:val="auto"/>
          <w:positio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position w:val="0"/>
          <w:sz w:val="28"/>
          <w:szCs w:val="28"/>
          <w:lang w:val="en-US" w:eastAsia="zh-CN"/>
        </w:rPr>
        <w:t>好价格的公式推导过程</w:t>
      </w:r>
    </w:p>
    <w:p>
      <w:pPr>
        <w:widowControl/>
        <w:numPr>
          <w:ilvl w:val="0"/>
          <w:numId w:val="5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好价格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推导过程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根据买入条件1，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深证A股的市盈率小于20且好公司的TTM市盈率小于15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；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因此，当目标公司股票的TTM市盈率＝15时，目标公司的价格达到好价格的临界值。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市盈率法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好价格 =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15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）怎么推导出来的呢？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备注：这里15其实代表的是好价格对应的市盈率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857750" cy="1367790"/>
            <wp:effectExtent l="0" t="0" r="381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将15和每股收益公式代入股价的公式，可以得到：</w:t>
      </w:r>
    </w:p>
    <w:p>
      <w:pP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 xml:space="preserve">市盈率法好价格 = </w:t>
      </w:r>
      <w:r>
        <w:rPr>
          <w:rFonts w:hint="default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15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2、股息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好价格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推导过程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根据买入条件2，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动态股息率大于10年期国债收益率。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</w:rPr>
        <w:t>当目标公司股票的TTM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股息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</w:rPr>
        <w:t>率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none"/>
          <w:lang w:val="en-US" w:eastAsia="zh-CN"/>
        </w:rPr>
        <w:t xml:space="preserve">＝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十年期国债收益率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</w:rPr>
        <w:t>时，目标公司的价格达到好价格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的临界值。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备注：这里TTM股息率是动态股息率的一种。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5269230" cy="1635125"/>
            <wp:effectExtent l="0" t="0" r="381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  <w:t>好了，本次案例分析提示就到此结束啦，剩下的就交给你们啦！希望每位同学都能履行自己的入学宣言，说道做到。我们一定要相信复利的力量，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掌握好三大核心工具之一的股票投资技能，能加速实现财务自由！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  <w:t>最后送给大家一段话：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="微软雅黑" w:hAnsi="微软雅黑"/>
        </w:rPr>
        <w:drawing>
          <wp:inline distT="0" distB="0" distL="0" distR="0">
            <wp:extent cx="5483225" cy="1704340"/>
            <wp:effectExtent l="0" t="0" r="3175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第四周作业你学到的重点知识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海选和精挑细选A股好公司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计算好价格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掌握股息率、市盈率的概念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01BD42"/>
    <w:multiLevelType w:val="singleLevel"/>
    <w:tmpl w:val="9901BD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BE2E6D5"/>
    <w:multiLevelType w:val="singleLevel"/>
    <w:tmpl w:val="CBE2E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2ECDA5B"/>
    <w:multiLevelType w:val="singleLevel"/>
    <w:tmpl w:val="E2ECDA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C2920B"/>
    <w:multiLevelType w:val="singleLevel"/>
    <w:tmpl w:val="57C2920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761775C"/>
    <w:multiLevelType w:val="singleLevel"/>
    <w:tmpl w:val="676177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05C6D36"/>
    <w:rsid w:val="00CE4DF4"/>
    <w:rsid w:val="00D052C1"/>
    <w:rsid w:val="00D60859"/>
    <w:rsid w:val="02C670DD"/>
    <w:rsid w:val="043B47E4"/>
    <w:rsid w:val="05294985"/>
    <w:rsid w:val="058747E2"/>
    <w:rsid w:val="0B6E213D"/>
    <w:rsid w:val="0FBC7CF6"/>
    <w:rsid w:val="10411077"/>
    <w:rsid w:val="10E61AD3"/>
    <w:rsid w:val="149F33B9"/>
    <w:rsid w:val="1B3462B0"/>
    <w:rsid w:val="1C6D6954"/>
    <w:rsid w:val="1CD938E5"/>
    <w:rsid w:val="1DAE52D7"/>
    <w:rsid w:val="2335384F"/>
    <w:rsid w:val="25FF0FBA"/>
    <w:rsid w:val="26302585"/>
    <w:rsid w:val="2A1753D2"/>
    <w:rsid w:val="2A84504B"/>
    <w:rsid w:val="2B864BF8"/>
    <w:rsid w:val="2DE71467"/>
    <w:rsid w:val="2E0D6729"/>
    <w:rsid w:val="2F4D383E"/>
    <w:rsid w:val="30E52ECC"/>
    <w:rsid w:val="329B2C0B"/>
    <w:rsid w:val="355610E4"/>
    <w:rsid w:val="36BD5A49"/>
    <w:rsid w:val="409F7953"/>
    <w:rsid w:val="40D80DBF"/>
    <w:rsid w:val="46225834"/>
    <w:rsid w:val="486D3CBB"/>
    <w:rsid w:val="4A867974"/>
    <w:rsid w:val="4CE0747B"/>
    <w:rsid w:val="4DDF3CC3"/>
    <w:rsid w:val="4EF802B9"/>
    <w:rsid w:val="518A3B8A"/>
    <w:rsid w:val="54470E91"/>
    <w:rsid w:val="54742B89"/>
    <w:rsid w:val="553A5D94"/>
    <w:rsid w:val="59906EFD"/>
    <w:rsid w:val="5C392BB3"/>
    <w:rsid w:val="5D750FF6"/>
    <w:rsid w:val="5ED22076"/>
    <w:rsid w:val="605DED8A"/>
    <w:rsid w:val="609A2313"/>
    <w:rsid w:val="66346207"/>
    <w:rsid w:val="66634BBA"/>
    <w:rsid w:val="670C6934"/>
    <w:rsid w:val="673E0152"/>
    <w:rsid w:val="6CB037CD"/>
    <w:rsid w:val="6D975447"/>
    <w:rsid w:val="6DE81D58"/>
    <w:rsid w:val="6FE07617"/>
    <w:rsid w:val="710B1A04"/>
    <w:rsid w:val="76DC0D46"/>
    <w:rsid w:val="7997047A"/>
    <w:rsid w:val="79FD68F5"/>
    <w:rsid w:val="7AAC090A"/>
    <w:rsid w:val="7B12120A"/>
    <w:rsid w:val="7BBC5F40"/>
    <w:rsid w:val="7C6C5CA0"/>
    <w:rsid w:val="7E745232"/>
    <w:rsid w:val="7FFE0436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2020-07-16T23:10:00Z</dcterms:created>
  <dc:creator>sheji</dc:creator>
  <cp:lastModifiedBy>微淼</cp:lastModifiedBy>
  <dcterms:modified xsi:type="dcterms:W3CDTF">2020-09-01T18:12:26Z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