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第五周作业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92645" cy="513334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06" b="189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92645" cy="2473960"/>
            <wp:effectExtent l="0" t="0" r="63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5825" r="106" b="4689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69785" cy="5189855"/>
            <wp:effectExtent l="0" t="0" r="825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583" r="423" b="146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92645" cy="3342640"/>
            <wp:effectExtent l="0" t="0" r="63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r="106" b="36117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69785" cy="4926330"/>
            <wp:effectExtent l="0" t="0" r="825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r="423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200265" cy="3368040"/>
            <wp:effectExtent l="0" t="0" r="825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b="28824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200265" cy="138811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根据财务自由港股投资方法精挑细选出港股中的好公司，并选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shd w:val="clear" w:fill="FFC000" w:themeFill="accent4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第一步：打开i问财</w:t>
      </w:r>
    </w:p>
    <w:p>
      <w:pPr>
        <w:shd w:val="clear" w:fill="FFC000" w:themeFill="accent4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第二步：确定条件</w:t>
      </w:r>
      <w:r>
        <w:rPr>
          <w:rFonts w:hint="eastAsia"/>
          <w:lang w:val="en-US" w:eastAsia="zh-CN"/>
        </w:rPr>
        <w:t xml:space="preserve">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选股条件: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连续5年的ROE大于15%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连续5年的净利润现金含量大于80%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连续5年的毛利率大于40%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上市大于3年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平均连续5年净利润现金含量大于100%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连续5年的资产负债率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连续5年的年度分红总额除以净利润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行业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结果: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drawing>
          <wp:inline distT="0" distB="0" distL="114300" distR="114300">
            <wp:extent cx="3552825" cy="3122295"/>
            <wp:effectExtent l="0" t="0" r="952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精挑细选港股公司的条件和标准是：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连续5年的平均净利润现金含量小于100%的，淘汰掉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连续5年的资产负债率中，有1年或1年以上大于60%的，淘汰掉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sz w:val="24"/>
          <w:szCs w:val="24"/>
        </w:rPr>
        <w:drawing>
          <wp:inline distT="0" distB="0" distL="114300" distR="114300">
            <wp:extent cx="6310630" cy="2667635"/>
            <wp:effectExtent l="0" t="0" r="13970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 xml:space="preserve">  </w:t>
      </w:r>
      <w:r>
        <w:rPr>
          <w:sz w:val="24"/>
          <w:szCs w:val="24"/>
        </w:rPr>
        <w:drawing>
          <wp:inline distT="0" distB="0" distL="114300" distR="114300">
            <wp:extent cx="6382385" cy="2664460"/>
            <wp:effectExtent l="0" t="0" r="18415" b="25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drawing>
          <wp:inline distT="0" distB="0" distL="114300" distR="114300">
            <wp:extent cx="6402705" cy="2275840"/>
            <wp:effectExtent l="0" t="0" r="17145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第四步：记录好公司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00345 维他奶国际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01830 必瘦站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01928 金沙中国有限公司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01093 石药集团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02020 安踏体育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shd w:val="clear" w:fill="FFC000" w:themeFill="accent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=====二. 计算好价格======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买进股票的条件：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1、恒生指数市盈率小于10且好公司的TTM市盈率小于15；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2、动态股息率大于10年期国债收益率。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当同时满足这两个条件时，我们就可以买入股票了。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522720" cy="4686300"/>
            <wp:effectExtent l="0" t="0" r="1143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694690"/>
            <wp:effectExtent l="0" t="0" r="4445" b="1016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我选择 </w:t>
      </w:r>
      <w:r>
        <w:rPr>
          <w:rFonts w:hint="default"/>
          <w:color w:val="FF0000"/>
          <w:sz w:val="24"/>
          <w:szCs w:val="24"/>
          <w:lang w:val="en-US" w:eastAsia="zh-CN"/>
        </w:rPr>
        <w:t>01830 必瘦站</w:t>
      </w:r>
      <w:r>
        <w:rPr>
          <w:rFonts w:hint="eastAsia"/>
          <w:sz w:val="24"/>
          <w:szCs w:val="24"/>
          <w:lang w:val="en-US" w:eastAsia="zh-CN"/>
        </w:rPr>
        <w:t xml:space="preserve">  进行分析; 分红挺高的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6257925" cy="2457450"/>
            <wp:effectExtent l="0" t="0" r="952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2905125" cy="1771650"/>
            <wp:effectExtent l="0" t="0" r="952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计算好价格: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市盈率法好价格=15 ×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当前股价÷TTM市盈率</w:t>
      </w:r>
      <w:r>
        <w:rPr>
          <w:rFonts w:hint="eastAsia"/>
          <w:sz w:val="24"/>
          <w:szCs w:val="24"/>
          <w:lang w:val="en-US" w:eastAsia="zh-CN"/>
        </w:rPr>
        <w:t xml:space="preserve">) </w:t>
      </w:r>
      <w:r>
        <w:rPr>
          <w:rFonts w:hint="default"/>
          <w:sz w:val="24"/>
          <w:szCs w:val="24"/>
          <w:lang w:val="en-US" w:eastAsia="zh-CN"/>
        </w:rPr>
        <w:t>= 15</w:t>
      </w:r>
      <w:r>
        <w:rPr>
          <w:rFonts w:hint="eastAsia"/>
          <w:sz w:val="24"/>
          <w:szCs w:val="24"/>
          <w:lang w:val="en-US" w:eastAsia="zh-CN"/>
        </w:rPr>
        <w:t xml:space="preserve"> * (2.5 / 7.78) </w:t>
      </w:r>
      <w:r>
        <w:rPr>
          <w:rFonts w:hint="default"/>
          <w:sz w:val="24"/>
          <w:szCs w:val="24"/>
          <w:lang w:val="en-US" w:eastAsia="zh-CN"/>
        </w:rPr>
        <w:t>=</w:t>
      </w:r>
      <w:r>
        <w:rPr>
          <w:rFonts w:hint="eastAsia"/>
          <w:sz w:val="24"/>
          <w:szCs w:val="24"/>
          <w:lang w:val="en-US" w:eastAsia="zh-CN"/>
        </w:rPr>
        <w:t xml:space="preserve"> 4.82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股息率法好价格=TTM股息÷中国十年期国债收益率= 0.3</w:t>
      </w:r>
      <w:r>
        <w:rPr>
          <w:rFonts w:hint="eastAsia"/>
          <w:sz w:val="24"/>
          <w:szCs w:val="24"/>
          <w:lang w:val="en-US" w:eastAsia="zh-CN"/>
        </w:rPr>
        <w:t>4 / 0.0</w:t>
      </w:r>
      <w:r>
        <w:rPr>
          <w:rFonts w:hint="default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val="en-US" w:eastAsia="zh-CN"/>
        </w:rPr>
        <w:t xml:space="preserve">149 </w:t>
      </w:r>
      <w:r>
        <w:rPr>
          <w:rFonts w:hint="default"/>
          <w:sz w:val="24"/>
          <w:szCs w:val="24"/>
          <w:lang w:val="en-US" w:eastAsia="zh-CN"/>
        </w:rPr>
        <w:t>=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10.</w:t>
      </w:r>
      <w:r>
        <w:rPr>
          <w:rFonts w:hint="eastAsia"/>
          <w:sz w:val="24"/>
          <w:szCs w:val="24"/>
          <w:lang w:val="en-US" w:eastAsia="zh-CN"/>
        </w:rPr>
        <w:t>797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结论: 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最终的好价格为两者的最小值4.82港元。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上图中</w:t>
      </w:r>
      <w:r>
        <w:rPr>
          <w:rFonts w:hint="eastAsia"/>
          <w:sz w:val="24"/>
          <w:szCs w:val="24"/>
          <w:lang w:val="en-US" w:eastAsia="zh-CN"/>
        </w:rPr>
        <w:t>必瘦站</w:t>
      </w:r>
      <w:r>
        <w:rPr>
          <w:rFonts w:hint="default"/>
          <w:sz w:val="24"/>
          <w:szCs w:val="24"/>
          <w:lang w:val="en-US" w:eastAsia="zh-CN"/>
        </w:rPr>
        <w:t>国际股价为</w:t>
      </w:r>
      <w:r>
        <w:rPr>
          <w:rFonts w:hint="eastAsia"/>
          <w:sz w:val="24"/>
          <w:szCs w:val="24"/>
          <w:lang w:val="en-US" w:eastAsia="zh-CN"/>
        </w:rPr>
        <w:t>2.5</w:t>
      </w:r>
      <w:r>
        <w:rPr>
          <w:rFonts w:hint="default"/>
          <w:sz w:val="24"/>
          <w:szCs w:val="24"/>
          <w:lang w:val="en-US" w:eastAsia="zh-CN"/>
        </w:rPr>
        <w:t>港元，</w:t>
      </w:r>
      <w:r>
        <w:rPr>
          <w:rFonts w:hint="eastAsia"/>
          <w:sz w:val="24"/>
          <w:szCs w:val="24"/>
          <w:lang w:val="en-US" w:eastAsia="zh-CN"/>
        </w:rPr>
        <w:t>现在可以考虑买入</w:t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36"/>
          <w:szCs w:val="36"/>
          <w:lang w:val="en-US" w:eastAsia="zh-CN"/>
        </w:rPr>
        <w:t>海选几个美股看看吧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美股选股条件: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连续3年的ROE大于15%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连续5年的经营活动净现金流量除以净利润大于80%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连续5年的毛利率大于40%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上市大于3年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市值大于500亿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连续5年的资产负债率小于60%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2015年区间分红总额除以2015年净利润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2016年区间分红总额除以2016年净利润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2017年区间分红总额除以2017年净利润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2018年区间分红总额除以2018年净利润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2019年区间分红总额除以2019年净利润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行业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drawing>
          <wp:inline distT="0" distB="0" distL="114300" distR="114300">
            <wp:extent cx="3282950" cy="3500120"/>
            <wp:effectExtent l="0" t="0" r="12700" b="50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36"/>
          <w:szCs w:val="36"/>
          <w:lang w:val="en-US" w:eastAsia="zh-CN"/>
        </w:rPr>
        <w:t>精挑细选:</w:t>
      </w:r>
    </w:p>
    <w:p>
      <w:pPr>
        <w:widowControl/>
        <w:numPr>
          <w:ilvl w:val="0"/>
          <w:numId w:val="3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连续5年的平均净利润现金含量小于100%的，淘汰掉</w:t>
      </w:r>
    </w:p>
    <w:p>
      <w:pPr>
        <w:widowControl/>
        <w:numPr>
          <w:ilvl w:val="0"/>
          <w:numId w:val="3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3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color w:val="FF0000"/>
          <w:kern w:val="0"/>
          <w:sz w:val="18"/>
          <w:szCs w:val="18"/>
          <w:lang w:val="en-US" w:eastAsia="zh-CN"/>
        </w:rPr>
        <w:t>连续5年的年区间分红总额除以净利润小于25%的，淘汰掉，互联网、高科技公司除外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drawing>
          <wp:inline distT="0" distB="0" distL="114300" distR="114300">
            <wp:extent cx="6490335" cy="3594735"/>
            <wp:effectExtent l="0" t="0" r="5715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drawing>
          <wp:inline distT="0" distB="0" distL="114300" distR="114300">
            <wp:extent cx="6492240" cy="2169160"/>
            <wp:effectExtent l="0" t="0" r="3810" b="25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含有“互联网”“软件”、“互动媒体”、“信息技术”字眼的判定为互联网高科技公司。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保留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36"/>
          <w:szCs w:val="36"/>
          <w:lang w:val="en-US" w:eastAsia="zh-CN"/>
        </w:rPr>
        <w:t>记录结果: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639310" cy="3846195"/>
            <wp:effectExtent l="0" t="0" r="8890" b="19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fill="FFC000" w:themeFill="accent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=====二. 计算好价格======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买进股票的条件：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1、当美联储利率小于4%时，标普500指数的市盈率小于15且好公司的TTM市盈率小于15且好公司的动态股息率大于美国10年期国债收益率；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2、当美联储利率大于4%时，标普500指数的市盈率小于10且好公司的TTM市盈率小于15且好公司的动态股息率大于美国10年期国债收益率。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3、标普500指数跌幅大于50%且好公司的TTM市盈率小于15且好公司的动态股息率大于美国10年期国债收益率。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当以上三个条件符合一个时，我们就可以买进股票了。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br w:type="textWrapping"/>
      </w: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① 美联储利率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819775" cy="1454785"/>
            <wp:effectExtent l="0" t="0" r="9525" b="1206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结论：上图中美联储现行利率为0%-0.25%，小于4%，因此标普500合理市盈率区间为15-25倍。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② 美股标普500指数的市盈率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drawing>
          <wp:inline distT="0" distB="0" distL="114300" distR="114300">
            <wp:extent cx="6029325" cy="613410"/>
            <wp:effectExtent l="0" t="0" r="9525" b="1524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结论：上图中标普500指数的市盈率为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28.53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倍，大于15倍，因此不符合买入标准。当标普500指数的市盈率暂不符合买入标准时，我们可以通过计算个股的好价格，判断其是否具有投资价值。</w:t>
      </w:r>
    </w:p>
    <w:p>
      <w:pPr>
        <w:shd w:val="clear" w:fill="FFC000" w:themeFill="accent4"/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③ 美股标普500指数的跌幅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eastAsia" w:ascii="微软雅黑" w:hAnsi="微软雅黑" w:cs="宋体" w:eastAsiaTheme="minorEastAsia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553720"/>
            <wp:effectExtent l="0" t="0" r="3175" b="1778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drawing>
          <wp:inline distT="0" distB="0" distL="114300" distR="114300">
            <wp:extent cx="6267450" cy="3886200"/>
            <wp:effectExtent l="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计算涨跌幅=（现在的点位-最高的点位）÷最高的点位=(3319.47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-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3398.51)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/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339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8.51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-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2.325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%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结论：标普500的跌幅小于50%，因此不符合买入标准。当标普500跌幅不符合买入标准时，我们可以通过计算个股的好价格，判断其是否具有投资价值。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④ 好价格计算公式：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627380"/>
            <wp:effectExtent l="0" t="0" r="2540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中国投资者投资美股，股息收入需缴纳10%的红利税，所以实际到手股息为TTM股息×90%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eastAsia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 xml:space="preserve">以 </w:t>
      </w: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德州仪器 (TXN)</w:t>
      </w: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 xml:space="preserve"> 为例 计算他的好价格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第一步：查询德州仪器的股价、TTM 市盈率、TTM 股息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296025" cy="2590800"/>
            <wp:effectExtent l="0" t="0" r="9525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第二步：查询十年期国债收益率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drawing>
          <wp:inline distT="0" distB="0" distL="114300" distR="114300">
            <wp:extent cx="2447925" cy="1461135"/>
            <wp:effectExtent l="0" t="0" r="9525" b="571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8"/>
          <w:szCs w:val="28"/>
          <w:lang w:val="en-US" w:eastAsia="zh-CN"/>
        </w:rPr>
        <w:t>第三步：计算德州仪器的好价格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市盈率法好价格 = 15 ×（当前股价÷TTM 市盈率）=15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*( 138.66 /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25.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15)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82.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70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股息率法好价格 =TTM 股息 x90%÷美国十年期国债收益率=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4.08 * 0.9 / 0.0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06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9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7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526.83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最终的好价格为两者的最小值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82.70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美元。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结论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：上图中德州仪器股价为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138.66</w:t>
      </w:r>
      <w:bookmarkStart w:id="0" w:name="_GoBack"/>
      <w:bookmarkEnd w:id="0"/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 xml:space="preserve"> 美元，远高于好价格，不能马上买入。还需要研究财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  <w:t>务报表和企业分析，做进一步的判断。</w:t>
      </w: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fill="FFC000" w:themeFill="accent4"/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eastAsia="zh-CN"/>
        </w:rPr>
      </w:pPr>
    </w:p>
    <w:p>
      <w:pPr>
        <w:shd w:val="clear" w:fill="FFC000" w:themeFill="accent4"/>
      </w:pP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海选和精挑细选港股、美股好公司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C000" w:themeFill="accent4"/>
        <w:spacing w:before="144" w:beforeAutospacing="0" w:after="144" w:afterAutospacing="0" w:line="240" w:lineRule="auto"/>
        <w:ind w:left="0" w:right="0" w:firstLine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温习好价格的推导公式</w:t>
      </w:r>
    </w:p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C13B2BA"/>
    <w:multiLevelType w:val="singleLevel"/>
    <w:tmpl w:val="AC13B2B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A65AA2A"/>
    <w:multiLevelType w:val="singleLevel"/>
    <w:tmpl w:val="EA65AA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4C4221"/>
    <w:rsid w:val="011E166A"/>
    <w:rsid w:val="016E4623"/>
    <w:rsid w:val="021F5B89"/>
    <w:rsid w:val="034F343B"/>
    <w:rsid w:val="04A76C0C"/>
    <w:rsid w:val="056C4391"/>
    <w:rsid w:val="06A10F3D"/>
    <w:rsid w:val="09222555"/>
    <w:rsid w:val="0BE30C07"/>
    <w:rsid w:val="0C690688"/>
    <w:rsid w:val="0F5C50C6"/>
    <w:rsid w:val="105A0388"/>
    <w:rsid w:val="11367215"/>
    <w:rsid w:val="11445328"/>
    <w:rsid w:val="142A7BFE"/>
    <w:rsid w:val="14F561E3"/>
    <w:rsid w:val="159268E8"/>
    <w:rsid w:val="15FE39C7"/>
    <w:rsid w:val="16A306A7"/>
    <w:rsid w:val="176E400D"/>
    <w:rsid w:val="180A148C"/>
    <w:rsid w:val="180A7C96"/>
    <w:rsid w:val="191E58E7"/>
    <w:rsid w:val="1A7C4809"/>
    <w:rsid w:val="1B070E76"/>
    <w:rsid w:val="1C512202"/>
    <w:rsid w:val="1CD938E5"/>
    <w:rsid w:val="1E9018E7"/>
    <w:rsid w:val="1FFD6FE6"/>
    <w:rsid w:val="201223B7"/>
    <w:rsid w:val="2167483C"/>
    <w:rsid w:val="29AB028F"/>
    <w:rsid w:val="29C5368A"/>
    <w:rsid w:val="2D51112C"/>
    <w:rsid w:val="2EFF03FD"/>
    <w:rsid w:val="2FA01A9C"/>
    <w:rsid w:val="31E42837"/>
    <w:rsid w:val="34D23617"/>
    <w:rsid w:val="362C32DD"/>
    <w:rsid w:val="37697DAA"/>
    <w:rsid w:val="39AE2AB1"/>
    <w:rsid w:val="3A507A27"/>
    <w:rsid w:val="3AAA1893"/>
    <w:rsid w:val="3C3A070C"/>
    <w:rsid w:val="3C8753CB"/>
    <w:rsid w:val="3F0C18A6"/>
    <w:rsid w:val="40767320"/>
    <w:rsid w:val="419D6239"/>
    <w:rsid w:val="42575C0D"/>
    <w:rsid w:val="43840494"/>
    <w:rsid w:val="445021D2"/>
    <w:rsid w:val="457F30BB"/>
    <w:rsid w:val="4AC56687"/>
    <w:rsid w:val="4C2B30A6"/>
    <w:rsid w:val="4E4471A4"/>
    <w:rsid w:val="53160E01"/>
    <w:rsid w:val="546577DE"/>
    <w:rsid w:val="54B3123C"/>
    <w:rsid w:val="55E60F22"/>
    <w:rsid w:val="573E0E39"/>
    <w:rsid w:val="59B77BFA"/>
    <w:rsid w:val="5AEA29B1"/>
    <w:rsid w:val="5AEE2ABE"/>
    <w:rsid w:val="5AF45DED"/>
    <w:rsid w:val="5F393F6D"/>
    <w:rsid w:val="605DED8A"/>
    <w:rsid w:val="619B78C5"/>
    <w:rsid w:val="625E04C9"/>
    <w:rsid w:val="6282349A"/>
    <w:rsid w:val="658D3A86"/>
    <w:rsid w:val="66147D56"/>
    <w:rsid w:val="69E310EE"/>
    <w:rsid w:val="6A5326B8"/>
    <w:rsid w:val="6A801E61"/>
    <w:rsid w:val="6C694891"/>
    <w:rsid w:val="6D42410F"/>
    <w:rsid w:val="6E121031"/>
    <w:rsid w:val="6FE07617"/>
    <w:rsid w:val="71CE1A4E"/>
    <w:rsid w:val="743C0A99"/>
    <w:rsid w:val="74FB3EC6"/>
    <w:rsid w:val="750A30D9"/>
    <w:rsid w:val="77251F03"/>
    <w:rsid w:val="784F364C"/>
    <w:rsid w:val="78542A8A"/>
    <w:rsid w:val="7BBC5F40"/>
    <w:rsid w:val="7C00739B"/>
    <w:rsid w:val="7C833064"/>
    <w:rsid w:val="7CF53ABE"/>
    <w:rsid w:val="7DC14FEB"/>
    <w:rsid w:val="7E5C5F0C"/>
    <w:rsid w:val="7F1913CD"/>
    <w:rsid w:val="B37F44F8"/>
    <w:rsid w:val="DFFDA70F"/>
    <w:rsid w:val="E7845B44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2020-09-20T19:25:32Z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