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第五周作业答案</w:t>
      </w:r>
    </w:p>
    <w:p>
      <w:pPr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1、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根据财务自由港股投资方法精挑细选出港股中的好公司，并任选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家好公司计算出其股票的好价格。</w:t>
      </w:r>
    </w:p>
    <w:p>
      <w:pPr>
        <w:jc w:val="both"/>
        <w:outlineLvl w:val="0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一、选出好公司</w:t>
      </w:r>
    </w:p>
    <w:p>
      <w:pPr>
        <w:outlineLvl w:val="1"/>
        <w:rPr>
          <w:rFonts w:hint="default" w:ascii="微软雅黑" w:hAnsi="微软雅黑" w:eastAsia="微软雅黑" w:cs="微软雅黑"/>
          <w:b/>
          <w:sz w:val="28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第一步：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打开i问财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打开i问财选股：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4"/>
          <w:szCs w:val="24"/>
        </w:rPr>
        <w:t>http://www.iwencai.com/?allow_redirect=false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</w:p>
    <w:p>
      <w:pPr>
        <w:spacing w:line="220" w:lineRule="atLeast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522595" cy="2272030"/>
            <wp:effectExtent l="0" t="0" r="9525" b="1397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 w:ascii="微软雅黑" w:hAnsi="微软雅黑" w:eastAsia="微软雅黑" w:cs="微软雅黑"/>
          <w:b/>
        </w:rPr>
      </w:pPr>
      <w:r>
        <w:rPr>
          <w:rFonts w:hint="default" w:ascii="微软雅黑" w:hAnsi="微软雅黑" w:eastAsia="微软雅黑" w:cs="微软雅黑"/>
          <w:b/>
          <w:bCs/>
        </w:rPr>
        <w:t>操作方法：</w:t>
      </w:r>
      <w:r>
        <w:rPr>
          <w:rFonts w:hint="eastAsia" w:ascii="微软雅黑" w:hAnsi="微软雅黑" w:eastAsia="微软雅黑" w:cs="微软雅黑"/>
        </w:rPr>
        <w:t>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eastAsia" w:ascii="微软雅黑" w:hAnsi="微软雅黑" w:eastAsia="微软雅黑" w:cs="微软雅黑"/>
        </w:rPr>
        <w:t>股票</w:t>
      </w:r>
      <w:r>
        <w:rPr>
          <w:rFonts w:hint="eastAsia" w:ascii="微软雅黑" w:hAnsi="微软雅黑" w:eastAsia="微软雅黑" w:cs="微软雅黑"/>
          <w:lang w:eastAsia="zh-CN"/>
        </w:rPr>
        <w:t>”</w:t>
      </w:r>
      <w:r>
        <w:rPr>
          <w:rFonts w:hint="default" w:ascii="微软雅黑" w:hAnsi="微软雅黑" w:eastAsia="微软雅黑" w:cs="微软雅黑"/>
        </w:rPr>
        <w:t>—</w:t>
      </w:r>
      <w:r>
        <w:rPr>
          <w:rFonts w:hint="eastAsia" w:ascii="微软雅黑" w:hAnsi="微软雅黑" w:eastAsia="微软雅黑" w:cs="微软雅黑"/>
          <w:lang w:val="en-US" w:eastAsia="zh-CN"/>
        </w:rPr>
        <w:t>复制粘贴第二步中的“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eastAsia" w:ascii="微软雅黑" w:hAnsi="微软雅黑" w:eastAsia="微软雅黑" w:cs="微软雅黑"/>
        </w:rPr>
        <w:t>条件</w:t>
      </w:r>
      <w:r>
        <w:rPr>
          <w:rFonts w:hint="eastAsia" w:ascii="微软雅黑" w:hAnsi="微软雅黑" w:eastAsia="微软雅黑" w:cs="微软雅黑"/>
          <w:lang w:val="en-US" w:eastAsia="zh-CN"/>
        </w:rPr>
        <w:t>”</w:t>
      </w:r>
      <w:r>
        <w:rPr>
          <w:rFonts w:hint="default" w:ascii="微软雅黑" w:hAnsi="微软雅黑" w:eastAsia="微软雅黑" w:cs="微软雅黑"/>
        </w:rPr>
        <w:t>—点击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default" w:ascii="微软雅黑" w:hAnsi="微软雅黑" w:eastAsia="微软雅黑" w:cs="微软雅黑"/>
        </w:rPr>
        <w:t>问一下财</w:t>
      </w:r>
      <w:r>
        <w:rPr>
          <w:rFonts w:hint="eastAsia" w:ascii="微软雅黑" w:hAnsi="微软雅黑" w:eastAsia="微软雅黑" w:cs="微软雅黑"/>
          <w:lang w:eastAsia="zh-CN"/>
        </w:rPr>
        <w:t>”</w:t>
      </w:r>
    </w:p>
    <w:p>
      <w:pPr>
        <w:outlineLvl w:val="1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确定</w:t>
      </w:r>
      <w:r>
        <w:rPr>
          <w:rFonts w:hint="eastAsia" w:ascii="微软雅黑" w:hAnsi="微软雅黑" w:eastAsia="微软雅黑" w:cs="微软雅黑"/>
          <w:b/>
          <w:sz w:val="28"/>
          <w:szCs w:val="36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条件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条件为：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连续5年的ROE大于15%，连续5年的净利润现金含量大于80%，连续5年的毛利率大于40%，上市大于3年，平均连续5年净利润现金含量，连续5年的资产负债率，连续5年的年度分红总额除以净利润，行业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i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问财还不够智能，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空格和标点符号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不同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会影响筛选结果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请严格复制</w:t>
      </w:r>
      <w:r>
        <w:rPr>
          <w:rFonts w:hint="eastAsia" w:ascii="微软雅黑" w:hAnsi="微软雅黑" w:eastAsia="微软雅黑" w:cs="微软雅黑"/>
          <w:i w:val="0"/>
          <w:iCs w:val="0"/>
          <w:color w:val="FF0000"/>
          <w:sz w:val="18"/>
          <w:szCs w:val="18"/>
          <w:lang w:val="en-US" w:eastAsia="zh-CN"/>
        </w:rPr>
        <w:t>上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面的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</w:rPr>
        <w:t>条件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，不要更改。</w:t>
      </w:r>
    </w:p>
    <w:p>
      <w:pPr>
        <w:rPr>
          <w:rFonts w:hint="eastAsia" w:ascii="微软雅黑" w:hAnsi="微软雅黑" w:eastAsia="微软雅黑" w:cs="微软雅黑"/>
          <w:b/>
        </w:rPr>
      </w:pPr>
    </w:p>
    <w:p>
      <w:pPr>
        <w:outlineLvl w:val="1"/>
        <w:rPr>
          <w:rFonts w:hint="eastAsia" w:ascii="微软雅黑" w:hAnsi="微软雅黑" w:eastAsia="微软雅黑" w:cs="微软雅黑"/>
          <w:sz w:val="28"/>
          <w:szCs w:val="36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三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精挑细选好公司</w:t>
      </w:r>
    </w:p>
    <w:p>
      <w:pPr>
        <w:widowControl/>
        <w:numPr>
          <w:ilvl w:val="0"/>
          <w:numId w:val="0"/>
        </w:numPr>
        <w:ind w:leftChars="0"/>
        <w:jc w:val="left"/>
        <w:outlineLvl w:val="2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一、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输入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第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二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的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条件会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看到以下页面</w:t>
      </w:r>
    </w:p>
    <w:p>
      <w:pPr>
        <w:widowControl/>
        <w:numPr>
          <w:ilvl w:val="0"/>
          <w:numId w:val="0"/>
        </w:numPr>
        <w:ind w:left="0" w:leftChars="-100" w:hanging="210" w:hangingChars="100"/>
        <w:jc w:val="left"/>
        <w:rPr>
          <w:rFonts w:hint="eastAsia" w:ascii="微软雅黑" w:hAnsi="微软雅黑" w:cs="微软雅黑" w:eastAsiaTheme="minorEastAsia"/>
          <w:lang w:eastAsia="zh-CN"/>
        </w:rPr>
      </w:pPr>
      <w:r>
        <w:drawing>
          <wp:inline distT="0" distB="0" distL="114300" distR="114300">
            <wp:extent cx="5372100" cy="4872990"/>
            <wp:effectExtent l="0" t="0" r="7620" b="38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outlineLvl w:val="2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二、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精挑细选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① 连续5年的平均净利润现金含量低于100%的，淘汰掉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Style w:val="10"/>
          <w:rFonts w:hint="eastAsia" w:ascii="微软雅黑" w:hAnsi="微软雅黑" w:eastAsia="微软雅黑" w:cs="微软雅黑"/>
          <w:i w:val="0"/>
          <w:sz w:val="21"/>
          <w:szCs w:val="21"/>
          <w:u w:val="none"/>
          <w:lang w:val="en-US" w:eastAsia="zh-CN"/>
        </w:rPr>
        <w:t>精选条件1中需计算连续5年的平均净利润现金含量的平均值，i问财网址已经计算出来</w:t>
      </w:r>
      <w:r>
        <w:rPr>
          <w:rFonts w:hint="eastAsia" w:ascii="微软雅黑" w:hAnsi="微软雅黑" w:eastAsia="微软雅黑" w:cs="微软雅黑"/>
          <w:lang w:val="en-US" w:eastAsia="zh-CN"/>
        </w:rPr>
        <w:t>，我们直接观察即可！其他的条件大家可以滑动后进行精选和查看。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可以看到这8家公司连续5年的平均净利润现金含量都大于100%，这个指标全部合格。</w:t>
      </w:r>
    </w:p>
    <w:p>
      <w:pPr>
        <w:widowControl/>
        <w:numPr>
          <w:ilvl w:val="0"/>
          <w:numId w:val="0"/>
        </w:numPr>
        <w:ind w:left="0" w:leftChars="-400" w:hanging="840" w:hangingChars="400"/>
        <w:jc w:val="center"/>
      </w:pPr>
      <w:r>
        <w:drawing>
          <wp:inline distT="0" distB="0" distL="114300" distR="114300">
            <wp:extent cx="6346825" cy="4718685"/>
            <wp:effectExtent l="0" t="0" r="8255" b="57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② 连续5年的资产负债率中，有1年或1年以上大于60%的，淘汰掉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1、“永利澳门”的资产负债率连续5年都大于60%，淘汰；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2、“金沙中国有限公司”的资产负债率在2018年和2019年已经连续两年高于60%，不符合标准，淘汰。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3、“腾讯”虽然2015年的资产负债率为60.2%，略微大于60%。但2016年至2019年的每年的资产负债率呈现下降趋势，所以也符合精挑细选条件，暂不淘汰。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其他5家符合标准，我们保留</w:t>
      </w:r>
    </w:p>
    <w:p>
      <w:pPr>
        <w:widowControl/>
        <w:numPr>
          <w:ilvl w:val="0"/>
          <w:numId w:val="0"/>
        </w:numPr>
        <w:ind w:left="0" w:leftChars="-295" w:hanging="619" w:hangingChars="295"/>
        <w:jc w:val="left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61405" cy="2794000"/>
            <wp:effectExtent l="0" t="0" r="10795" b="10160"/>
            <wp:docPr id="15" name="图片 15" descr="资产负债率【电脑端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资产负债率【电脑端】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③ 连续5年的年度分红总额除以净利润小于25%的，淘汰掉，互联网高科技公司除外。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含有“互联网”“软件”、“互动媒体”、“信息技术”字眼的判定为互联网高科技公司。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腾讯控股分红比率较低，但属于互联网高科技公司，符合标准不淘汰。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其他5家符合标准，我们保留。</w:t>
      </w:r>
    </w:p>
    <w:p>
      <w:pPr>
        <w:widowControl/>
        <w:numPr>
          <w:ilvl w:val="0"/>
          <w:numId w:val="0"/>
        </w:numPr>
        <w:ind w:left="-1042" w:leftChars="-496" w:firstLine="0" w:firstLineChars="0"/>
        <w:jc w:val="left"/>
      </w:pPr>
      <w:r>
        <w:drawing>
          <wp:inline distT="0" distB="0" distL="114300" distR="114300">
            <wp:extent cx="6757035" cy="2561590"/>
            <wp:effectExtent l="0" t="0" r="952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70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[1]代表2019年的分红总额；[2]代表2019年年度的净利润；其中[1]/[2]代表2019年度的分红比率，其余比值以此类推</w:t>
      </w:r>
    </w:p>
    <w:p>
      <w:pPr>
        <w:outlineLvl w:val="1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第四步：记录好公司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把选出港股好公司的重要过程进行截图，并记录在作业中。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560320" cy="268224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68575" cy="5094605"/>
            <wp:effectExtent l="0" t="0" r="6985" b="10795"/>
            <wp:docPr id="42" name="图片 42" descr="ddbac671d1e9ad586eadf914df12b43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ddbac671d1e9ad586eadf914df12b43_副本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计算好价格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进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股票的条件：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 xml:space="preserve"> 1、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恒生指数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市盈率小于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0且好公司的TTM市盈率小于15；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 xml:space="preserve"> 2、动态股息率大于10年期国债收益率。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当同时满足这两个条件时，我们就可以买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入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股票了。</w:t>
      </w:r>
    </w:p>
    <w:p>
      <w:pPr>
        <w:numPr>
          <w:ilvl w:val="0"/>
          <w:numId w:val="0"/>
        </w:numPr>
        <w:ind w:leftChars="0"/>
        <w:jc w:val="both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①恒生指数的市盈率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【乐股网】恒生指数市盈率网址：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"https://www.legulegu.com/stockdata/market/hsi"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https://www.legulegu.com/stockdata/market/hsi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rPr>
          <w:rStyle w:val="10"/>
          <w:rFonts w:hint="eastAsia" w:ascii="微软雅黑" w:hAnsi="微软雅黑" w:eastAsia="微软雅黑" w:cs="微软雅黑"/>
          <w:sz w:val="18"/>
          <w:szCs w:val="20"/>
          <w:u w:val="none"/>
          <w:lang w:val="en-US" w:eastAsia="zh-CN"/>
        </w:rPr>
      </w:pPr>
      <w:r>
        <w:rPr>
          <w:rStyle w:val="10"/>
          <w:rFonts w:hint="eastAsia" w:ascii="微软雅黑" w:hAnsi="微软雅黑" w:eastAsia="微软雅黑" w:cs="微软雅黑"/>
          <w:sz w:val="18"/>
          <w:szCs w:val="20"/>
          <w:u w:val="none"/>
          <w:lang w:val="en-US" w:eastAsia="zh-CN"/>
        </w:rPr>
        <w:t>备注：此网址虽然与视频中不一致，但是数据刷新的速度更加流畅和快捷，本周作业使用此网址数据。</w:t>
      </w:r>
    </w:p>
    <w:p>
      <w:r>
        <w:drawing>
          <wp:inline distT="0" distB="0" distL="114300" distR="114300">
            <wp:extent cx="5332730" cy="3176905"/>
            <wp:effectExtent l="0" t="0" r="1270" b="825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上图中恒生指数平均市盈率为10.61倍，大于10倍，因此不符合买入标准。当恒生指数市盈率暂不符合买入标准，但仍处于低估区间时，我们可以通过计算个股的好价格，判断其是否具有投资价值。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outlineLvl w:val="0"/>
        <w:rPr>
          <w:rFonts w:hint="default" w:ascii="微软雅黑" w:hAnsi="微软雅黑" w:eastAsia="微软雅黑" w:cs="微软雅黑"/>
          <w:b/>
          <w:bCs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2"/>
          <w:lang w:val="en-US" w:eastAsia="zh-CN"/>
        </w:rPr>
        <w:t>②股票好价格计算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drawing>
          <wp:inline distT="0" distB="0" distL="114300" distR="114300">
            <wp:extent cx="5272405" cy="694690"/>
            <wp:effectExtent l="0" t="0" r="635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我们以维他奶国际为例，计算它的好价格。</w:t>
      </w:r>
    </w:p>
    <w:p>
      <w:pPr>
        <w:outlineLvl w:val="1"/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第一步：查询维他奶国际的股价、TTM市盈率、TTM股息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"https://xueqiu.com/" \o "https://xueqiu.com/"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个股</w:t>
      </w:r>
      <w:r>
        <w:rPr>
          <w:rStyle w:val="8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查询网址【雪球】：</w:t>
      </w:r>
      <w:r>
        <w:rPr>
          <w:rStyle w:val="8"/>
          <w:rFonts w:hint="eastAsia" w:ascii="微软雅黑" w:hAnsi="微软雅黑" w:eastAsia="微软雅黑" w:cs="微软雅黑"/>
          <w:i w:val="0"/>
          <w:color w:val="0000FF"/>
          <w:sz w:val="21"/>
          <w:szCs w:val="21"/>
          <w:u w:val="single"/>
        </w:rPr>
        <w:t>https://xueqiu.com/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drawing>
          <wp:inline distT="0" distB="0" distL="114300" distR="114300">
            <wp:extent cx="4795520" cy="1188085"/>
            <wp:effectExtent l="0" t="0" r="5080" b="6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122170"/>
            <wp:effectExtent l="0" t="0" r="190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第二步：查询十年期国债收益率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中国十年期国债收益率查询网址：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  <w:instrText xml:space="preserve"> HYPERLINK "https://cn.investing.com/rates-bonds/china-10-year-bond-yield" \o "https://cn.investing.com/rates-bonds/china-10-year-bond-yield" </w:instrTex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olor w:val="0000FF"/>
          <w:sz w:val="21"/>
          <w:szCs w:val="21"/>
          <w:u w:val="single"/>
        </w:rPr>
        <w:t>https://cn.investing.com/rates-bonds/china-10-year-bond-yield</w: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1"/>
          <w:szCs w:val="21"/>
          <w:u w:val="single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108575" cy="1871345"/>
            <wp:effectExtent l="0" t="0" r="12065" b="317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0"/>
          <w:szCs w:val="16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0"/>
          <w:szCs w:val="16"/>
          <w:lang w:val="en-US" w:eastAsia="zh-CN"/>
        </w:rPr>
        <w:t>备注：3.046%=0.03046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0"/>
          <w:szCs w:val="16"/>
          <w:lang w:val="en-US" w:eastAsia="zh-CN"/>
        </w:rPr>
      </w:pPr>
    </w:p>
    <w:p>
      <w:pPr>
        <w:outlineLvl w:val="1"/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第三步：计算维他奶国际的好价格</w:t>
      </w:r>
    </w:p>
    <w:p>
      <w:pPr>
        <w:widowControl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好价格=15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）=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15×（30.6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÷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60.75）=7.56    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股息率法好价格=TTM股息÷中国十年期国债收益率= 0.32÷3.046%=10.51  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最终的好价格为两者的最小值7.56港元。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上图中维他奶国际股价为30.6港元，远高于好价格，不能马上买入。还需要研究财务报表和企业分析，做进一步的判断。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由于一些计算好价格的数据在不断更新变化，好价格计算的结果也会不断变化，大家掌握好计算的方法，答案仅供参考。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3394075"/>
            <wp:effectExtent l="0" t="0" r="3175" b="44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1"/>
          <w:szCs w:val="21"/>
          <w:lang w:val="en-US" w:eastAsia="zh-CN"/>
        </w:rPr>
        <w:t>备注：数据来源，雪球网。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2、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股投资方法精挑细选出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股中的好公司，并任选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家好公司计算出其股票的好价格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。</w:t>
      </w:r>
    </w:p>
    <w:p>
      <w:pPr>
        <w:jc w:val="both"/>
        <w:outlineLvl w:val="0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一、选出好公司</w:t>
      </w:r>
    </w:p>
    <w:p>
      <w:pPr>
        <w:outlineLvl w:val="1"/>
        <w:rPr>
          <w:rFonts w:hint="eastAsia" w:ascii="微软雅黑" w:hAnsi="微软雅黑" w:eastAsia="微软雅黑" w:cs="微软雅黑"/>
          <w:b/>
          <w:sz w:val="28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第一步：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打开i问财网页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我们打开i问财选股：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4"/>
          <w:szCs w:val="24"/>
        </w:rPr>
        <w:t>http://www.iwencai.com/?allow_redirect=false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</w:p>
    <w:p>
      <w:pPr>
        <w:spacing w:line="220" w:lineRule="atLeast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41520" cy="1958340"/>
            <wp:effectExtent l="0" t="0" r="0" b="762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 w:ascii="微软雅黑" w:hAnsi="微软雅黑" w:eastAsia="微软雅黑" w:cs="微软雅黑"/>
          <w:b/>
        </w:rPr>
      </w:pPr>
      <w:r>
        <w:rPr>
          <w:rFonts w:hint="default" w:ascii="微软雅黑" w:hAnsi="微软雅黑" w:eastAsia="微软雅黑" w:cs="微软雅黑"/>
          <w:b/>
          <w:bCs/>
        </w:rPr>
        <w:t>操作方法：</w:t>
      </w:r>
      <w:r>
        <w:rPr>
          <w:rFonts w:hint="eastAsia" w:ascii="微软雅黑" w:hAnsi="微软雅黑" w:eastAsia="微软雅黑" w:cs="微软雅黑"/>
        </w:rPr>
        <w:t>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eastAsia" w:ascii="微软雅黑" w:hAnsi="微软雅黑" w:eastAsia="微软雅黑" w:cs="微软雅黑"/>
        </w:rPr>
        <w:t>股票</w:t>
      </w:r>
      <w:r>
        <w:rPr>
          <w:rFonts w:hint="eastAsia" w:ascii="微软雅黑" w:hAnsi="微软雅黑" w:eastAsia="微软雅黑" w:cs="微软雅黑"/>
          <w:lang w:eastAsia="zh-CN"/>
        </w:rPr>
        <w:t>”</w:t>
      </w:r>
      <w:r>
        <w:rPr>
          <w:rFonts w:hint="default" w:ascii="微软雅黑" w:hAnsi="微软雅黑" w:eastAsia="微软雅黑" w:cs="微软雅黑"/>
        </w:rPr>
        <w:t>—</w:t>
      </w:r>
      <w:r>
        <w:rPr>
          <w:rFonts w:hint="eastAsia" w:ascii="微软雅黑" w:hAnsi="微软雅黑" w:eastAsia="微软雅黑" w:cs="微软雅黑"/>
          <w:lang w:val="en-US" w:eastAsia="zh-CN"/>
        </w:rPr>
        <w:t>复制粘贴第二步中的“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eastAsia" w:ascii="微软雅黑" w:hAnsi="微软雅黑" w:eastAsia="微软雅黑" w:cs="微软雅黑"/>
        </w:rPr>
        <w:t>条件</w:t>
      </w:r>
      <w:r>
        <w:rPr>
          <w:rFonts w:hint="eastAsia" w:ascii="微软雅黑" w:hAnsi="微软雅黑" w:eastAsia="微软雅黑" w:cs="微软雅黑"/>
          <w:lang w:val="en-US" w:eastAsia="zh-CN"/>
        </w:rPr>
        <w:t>”</w:t>
      </w:r>
      <w:r>
        <w:rPr>
          <w:rFonts w:hint="default" w:ascii="微软雅黑" w:hAnsi="微软雅黑" w:eastAsia="微软雅黑" w:cs="微软雅黑"/>
        </w:rPr>
        <w:t>—点击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default" w:ascii="微软雅黑" w:hAnsi="微软雅黑" w:eastAsia="微软雅黑" w:cs="微软雅黑"/>
        </w:rPr>
        <w:t>问一下财</w:t>
      </w:r>
      <w:r>
        <w:rPr>
          <w:rFonts w:hint="eastAsia" w:ascii="微软雅黑" w:hAnsi="微软雅黑" w:eastAsia="微软雅黑" w:cs="微软雅黑"/>
          <w:lang w:eastAsia="zh-CN"/>
        </w:rPr>
        <w:t>”</w:t>
      </w:r>
    </w:p>
    <w:p>
      <w:pPr>
        <w:outlineLvl w:val="1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确定</w:t>
      </w:r>
      <w:r>
        <w:rPr>
          <w:rFonts w:hint="eastAsia" w:ascii="微软雅黑" w:hAnsi="微软雅黑" w:eastAsia="微软雅黑" w:cs="微软雅黑"/>
          <w:b/>
          <w:sz w:val="28"/>
          <w:szCs w:val="36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条件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条件为：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3年的ROE大于15%，连续5年的经营活动净现金流量除以净利润大于80%，连续5年的毛利率大于40%，上市大于3年，市值大于500亿，连续5年的资产负债率小于60%，2015年区间分红总额除以2015年净利润，2016年区间分红总额除以2016年净利润，2017年区间分红总额除以2017年净利润，2018年区间分红总额除以2018年净利润，2019年区间分红总额除以2019年净利润，行业。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i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问财还不够智能，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空格和标点符号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不同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会影响筛选结果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，请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严格复制</w:t>
      </w:r>
      <w:r>
        <w:rPr>
          <w:rFonts w:hint="eastAsia" w:ascii="微软雅黑" w:hAnsi="微软雅黑" w:eastAsia="微软雅黑" w:cs="微软雅黑"/>
          <w:i w:val="0"/>
          <w:iCs w:val="0"/>
          <w:color w:val="FF0000"/>
          <w:sz w:val="18"/>
          <w:szCs w:val="18"/>
          <w:lang w:val="en-US" w:eastAsia="zh-CN"/>
        </w:rPr>
        <w:t>上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面的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</w:rPr>
        <w:t>条件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，不要更改。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</w:pPr>
    </w:p>
    <w:p>
      <w:pPr>
        <w:outlineLvl w:val="1"/>
        <w:rPr>
          <w:rFonts w:hint="eastAsia" w:ascii="微软雅黑" w:hAnsi="微软雅黑" w:eastAsia="微软雅黑" w:cs="微软雅黑"/>
          <w:b/>
          <w:sz w:val="28"/>
          <w:szCs w:val="36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三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精挑细选好公司</w:t>
      </w:r>
    </w:p>
    <w:p>
      <w:pPr>
        <w:widowControl/>
        <w:numPr>
          <w:ilvl w:val="0"/>
          <w:numId w:val="0"/>
        </w:numPr>
        <w:ind w:leftChars="0"/>
        <w:jc w:val="left"/>
        <w:outlineLvl w:val="2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一、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输入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第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二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的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条件会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看到以下页面</w:t>
      </w:r>
    </w:p>
    <w:p>
      <w:pPr>
        <w:widowControl/>
        <w:numPr>
          <w:ilvl w:val="0"/>
          <w:numId w:val="0"/>
        </w:numPr>
        <w:ind w:left="210" w:leftChars="0" w:hanging="210" w:hangingChars="100"/>
        <w:jc w:val="left"/>
      </w:pPr>
      <w:r>
        <w:drawing>
          <wp:inline distT="0" distB="0" distL="114300" distR="114300">
            <wp:extent cx="4937760" cy="5507990"/>
            <wp:effectExtent l="0" t="0" r="0" b="889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50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二、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精挑细选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 xml:space="preserve">①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连续5年的平均净利润现金含量小于100%的，淘汰掉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可以看到这10家公司连续5年的平均净利润现金含量都大于100%，这个指标全部合格。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center"/>
      </w:pPr>
      <w:r>
        <w:drawing>
          <wp:inline distT="0" distB="0" distL="114300" distR="114300">
            <wp:extent cx="4936490" cy="2592070"/>
            <wp:effectExtent l="0" t="0" r="1270" b="1397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[1]代表2019年的经营活动产生的现金流量净额；[2]代表2019年年度的净利润；其中[1]/[2]代表2019年度的分红比率，其余比值以此类推。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 xml:space="preserve">②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连续5年的年区间分红总额除以净利润小于25%的，淘汰，互联网、高科技公司除外。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含有“互联网”“软件”、“互动媒体”、“信息技术”字眼的判定为互联网高科技公司。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"http://stockpage.10jqka.com.cn/ILMN/" \t "http://www.iwencai.com/stockpick/_blank"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t>Illumina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和</w:t>
      </w:r>
      <w:r>
        <w:rPr>
          <w:rFonts w:hint="default" w:ascii="微软雅黑" w:hAnsi="微软雅黑" w:eastAsia="微软雅黑" w:cs="微软雅黑"/>
          <w:lang w:val="en-US" w:eastAsia="zh-CN"/>
        </w:rPr>
        <w:t>再生元制药</w:t>
      </w:r>
      <w:r>
        <w:rPr>
          <w:rFonts w:hint="eastAsia" w:ascii="微软雅黑" w:hAnsi="微软雅黑" w:eastAsia="微软雅黑" w:cs="微软雅黑"/>
          <w:lang w:val="en-US" w:eastAsia="zh-CN"/>
        </w:rPr>
        <w:t>，不分红，淘汰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"http://stockpage.10jqka.com.cn/V/" \t "http://www.iwencai.com/stockpick/_blank"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t>Visa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、英伟达和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"http://stockpage.10jqka.com.cn/ASML/" \t "http://www.iwencai.com/stockpick/_blank"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t>阿斯麦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5年间个别年份分红比例小于25%，淘汰。</w:t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备注：VISA主要是银行交易处理服务，属于金融行业。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奥多比和脸谱网，也就是Adobe 和Facebook，属于高科技和互联网公司，不淘汰。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台积电、德州仪器、诺和诺德、、这3家公司每年分红比例都是大于25%的，符合标准。</w:t>
      </w:r>
    </w:p>
    <w:p>
      <w:pPr>
        <w:widowControl/>
        <w:numPr>
          <w:ilvl w:val="0"/>
          <w:numId w:val="0"/>
        </w:numPr>
        <w:ind w:left="-216" w:leftChars="-103" w:firstLine="16" w:firstLineChars="8"/>
        <w:jc w:val="center"/>
      </w:pPr>
      <w:r>
        <w:drawing>
          <wp:inline distT="0" distB="0" distL="114300" distR="114300">
            <wp:extent cx="5628005" cy="2555875"/>
            <wp:effectExtent l="0" t="0" r="10795" b="444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[11]代表2019年的分红总额；[2]代表2019年年度的净利润；其中[11]/[2]代表2019年度的分红比率，其余比值以此类推</w:t>
      </w:r>
    </w:p>
    <w:p>
      <w:pPr>
        <w:outlineLvl w:val="1"/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第四步、记录好公司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把选出美股好公司的重要过程进行截图，并记录在作业中。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301875" cy="2807970"/>
            <wp:effectExtent l="0" t="0" r="14605" b="1143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289175" cy="4543425"/>
            <wp:effectExtent l="0" t="0" r="12065" b="13335"/>
            <wp:docPr id="74" name="图片 74" descr="美股分红、行业 2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美股分红、行业 2_副本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outlineLvl w:val="0"/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二、计算好价格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进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股票的条件：</w:t>
      </w:r>
    </w:p>
    <w:p>
      <w:pPr>
        <w:widowControl/>
        <w:numPr>
          <w:ilvl w:val="0"/>
          <w:numId w:val="3"/>
        </w:numPr>
        <w:ind w:left="420" w:leftChars="0" w:hanging="420" w:hangingChars="20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当美联储利率小于4%时，标普500指数的市盈率小于15且好公司的TTM市盈率小于15且好公司的动态股息率大于美国10年期国债收益率；</w:t>
      </w:r>
    </w:p>
    <w:p>
      <w:pPr>
        <w:widowControl/>
        <w:numPr>
          <w:ilvl w:val="0"/>
          <w:numId w:val="3"/>
        </w:numPr>
        <w:ind w:left="420" w:leftChars="0" w:hanging="420" w:hangingChars="20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当美联储利率大于4%时，标普500指数的市盈率小于10且好公司的TTM市盈率小于15且好公司的动态股息率大于美国10年期国债收益率。</w:t>
      </w:r>
    </w:p>
    <w:p>
      <w:pPr>
        <w:widowControl/>
        <w:numPr>
          <w:ilvl w:val="0"/>
          <w:numId w:val="3"/>
        </w:numPr>
        <w:ind w:left="420" w:leftChars="0" w:hanging="420" w:hangingChars="20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标普500指数跌幅大于50%且好公司的TTM市盈率小于15且好公司的动态股息率大于美国10年期国债收益率。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当以上三个条件符合一个时，我们就可以买进股票了。</w:t>
      </w:r>
    </w:p>
    <w:p>
      <w:pPr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>① 美联储利率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drawing>
          <wp:inline distT="0" distB="0" distL="114300" distR="114300">
            <wp:extent cx="5267325" cy="1230630"/>
            <wp:effectExtent l="0" t="0" r="5715" b="38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美联储利率查询：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"https://cn.investing.com/central-banks/"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https://cn.investing.com/central-banks/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3675" cy="1272540"/>
            <wp:effectExtent l="0" t="0" r="14605" b="762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上图中美联储现行利率为0%-0.25%，小于4%，因此标普500合理市盈率区间为15-25倍。</w:t>
      </w:r>
    </w:p>
    <w:p>
      <w:p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 xml:space="preserve">② </w:t>
      </w: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  <w:t>美股标普500指数的市盈率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【乐股网】标普500市盈率网址：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"https://www.legulegu.com/stockdata/market/sandp"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https://www.legulegu.com/stockdata/market/sandp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widowControl/>
        <w:numPr>
          <w:ilvl w:val="0"/>
          <w:numId w:val="0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此网址虽然与视频中不一致，但是数据刷新的速度更加流畅和快捷，本周作业使用此网址数据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。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267325" cy="3003550"/>
            <wp:effectExtent l="0" t="0" r="5715" b="13970"/>
            <wp:docPr id="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上图中标普500指数的市盈率为27.64倍，大于15倍，因此不符合买入标准。当标普500指数的市盈率暂不符合买入标准时，我们可以通过计算个股的好价格，判断其是否具有投资价值。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 xml:space="preserve">③ </w:t>
      </w: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  <w:t>美股标普500指数的跌幅</w:t>
      </w:r>
    </w:p>
    <w:p>
      <w:pPr>
        <w:rPr>
          <w:rFonts w:hint="eastAsia" w:ascii="微软雅黑" w:hAnsi="微软雅黑" w:eastAsia="微软雅黑" w:cs="微软雅黑"/>
          <w:b/>
          <w:bCs/>
          <w:color w:val="auto"/>
          <w:positio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553720"/>
            <wp:effectExtent l="0" t="0" r="14605" b="1016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3707765</wp:posOffset>
                </wp:positionH>
                <wp:positionV relativeFrom="paragraph">
                  <wp:posOffset>95885</wp:posOffset>
                </wp:positionV>
                <wp:extent cx="218440" cy="203835"/>
                <wp:effectExtent l="6350" t="15240" r="19050" b="24765"/>
                <wp:wrapNone/>
                <wp:docPr id="21" name="右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91.95pt;margin-top:7.55pt;height:16.05pt;width:17.2pt;z-index:251661312;v-text-anchor:middle;mso-width-relative:page;mso-height-relative:page;" fillcolor="#FFC000 [3207]" filled="t" stroked="t" coordsize="21600,21600" o:gfxdata="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1JBit9wAAAAJAQAADwAAAAAAAAABACAAAAAiAAAA&#10;ZHJzL2Rvd25yZXYueG1sUEsBAhQAFAAAAAgAh07iQCOnLLd1AgAA3AQAAA4AAAAAAAAAAQAgAAAA&#10;KwEAAGRycy9lMm9Eb2MueG1sUEsFBgAAAAAGAAYAWQEAABI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2115185</wp:posOffset>
                </wp:positionH>
                <wp:positionV relativeFrom="paragraph">
                  <wp:posOffset>111125</wp:posOffset>
                </wp:positionV>
                <wp:extent cx="218440" cy="203835"/>
                <wp:effectExtent l="6350" t="15240" r="19050" b="24765"/>
                <wp:wrapNone/>
                <wp:docPr id="17" name="右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66.55pt;margin-top:8.75pt;height:16.05pt;width:17.2pt;z-index:251659264;v-text-anchor:middle;mso-width-relative:page;mso-height-relative:page;" fillcolor="#FFC000 [3207]" filled="t" stroked="t" coordsize="21600,21600" o:gfxdata="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EC6sHaAAAACQEAAA8AAAAAAAAAAQAgAAAAIgAAAGRy&#10;cy9kb3ducmV2LnhtbFBLAQIUABQAAAAIAIdO4kAvXZaedQIAANwEAAAOAAAAAAAAAAEAIAAAACkB&#10;AABkcnMvZTJvRG9jLnhtbFBLBQYAAAAABgAGAFkBAAAQ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16" name="右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9565" y="7498715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75.95pt;margin-top:8.15pt;height:16.05pt;width:17.2pt;z-index:251658240;v-text-anchor:middle;mso-width-relative:page;mso-height-relative:page;" fillcolor="#FFC000 [3207]" filled="t" stroked="t" coordsize="21600,21600" o:gfxdata="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fXbCfNkAAAAJAQAADwAAAAAA&#10;AAABACAAAAAiAAAAZHJzL2Rvd25yZXYueG1sUEsBAhQAFAAAAAgAh07iQNSF1xuEAgAA6AQAAA4A&#10;AAAAAAAAAQAgAAAAKAEAAGRycy9lMm9Eb2MueG1sUEsFBgAAAAAGAAYAWQEAAB4G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打开雪球网址    ①点“行情”   ②点击“行情中心”   ③点击“美股”</w:t>
      </w:r>
    </w:p>
    <w:p>
      <w:r>
        <w:drawing>
          <wp:inline distT="0" distB="0" distL="114300" distR="114300">
            <wp:extent cx="5268595" cy="2184400"/>
            <wp:effectExtent l="0" t="0" r="444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sz w:val="24"/>
        </w:rPr>
        <w:t>④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点击“标普500指数”</w:t>
      </w:r>
    </w:p>
    <w:p>
      <w:r>
        <w:drawing>
          <wp:inline distT="0" distB="0" distL="114300" distR="114300">
            <wp:extent cx="5268595" cy="2095500"/>
            <wp:effectExtent l="0" t="0" r="444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3905885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30" name="右箭头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07.55pt;margin-top:8.15pt;height:16.05pt;width:17.2pt;z-index:251706368;v-text-anchor:middle;mso-width-relative:page;mso-height-relative:page;" fillcolor="#FFC000 [3207]" filled="t" stroked="t" coordsize="21600,21600" o:gfxdata="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fDh8N2wAAAAkBAAAPAAAAAAAAAAEAIAAAACIAAABk&#10;cnMvZG93bnJldi54bWxQSwECFAAUAAAACACHTuJAfHbAKHUCAADcBAAADgAAAAAAAAABACAAAAAq&#10;AQAAZHJzL2Uyb0RvYy54bWxQSwUGAAAAAAYABgBZAQAAEQYAAAAA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2572385</wp:posOffset>
                </wp:positionH>
                <wp:positionV relativeFrom="paragraph">
                  <wp:posOffset>126365</wp:posOffset>
                </wp:positionV>
                <wp:extent cx="218440" cy="203835"/>
                <wp:effectExtent l="6350" t="15240" r="19050" b="24765"/>
                <wp:wrapNone/>
                <wp:docPr id="28" name="右箭头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02.55pt;margin-top:9.95pt;height:16.05pt;width:17.2pt;z-index:251681792;v-text-anchor:middle;mso-width-relative:page;mso-height-relative:page;" fillcolor="#FFC000 [3207]" filled="t" stroked="t" coordsize="21600,21600" o:gfxdata="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M24gGLaAAAACQEAAA8AAAAAAAAAAQAgAAAAIgAAAGRy&#10;cy9kb3ducmV2LnhtbFBLAQIUABQAAAAIAIdO4kAgP6uVdQIAANwEAAAOAAAAAAAAAAEAIAAAACkB&#10;AABkcnMvZTJvRG9jLnhtbFBLBQYAAAAABgAGAFkBAAAQ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1101725</wp:posOffset>
                </wp:positionH>
                <wp:positionV relativeFrom="paragraph">
                  <wp:posOffset>118745</wp:posOffset>
                </wp:positionV>
                <wp:extent cx="218440" cy="203835"/>
                <wp:effectExtent l="6350" t="15240" r="19050" b="24765"/>
                <wp:wrapNone/>
                <wp:docPr id="22" name="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86.75pt;margin-top:9.35pt;height:16.05pt;width:17.2pt;z-index:251669504;v-text-anchor:middle;mso-width-relative:page;mso-height-relative:page;" fillcolor="#FFC000 [3207]" filled="t" stroked="t" coordsize="21600,21600" o:gfxdata="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JYAMnvaAAAACQEAAA8AAAAAAAAAAQAgAAAAIgAAAGRy&#10;cy9kb3ducmV2LnhtbFBLAQIUABQAAAAIAIdO4kB4IFYwdQIAANwEAAAOAAAAAAAAAAEAIAAAACkB&#10;AABkcnMvZTJvRG9jLnhtbFBLBQYAAAAABgAGAFkBAAAQ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⑤点击“周K”   ⑥选择“不复权”   ⑦查看最高点位    ⑧查看现在点位</w:t>
      </w:r>
    </w:p>
    <w:p>
      <w:r>
        <w:drawing>
          <wp:inline distT="0" distB="0" distL="114300" distR="114300">
            <wp:extent cx="5273675" cy="3228340"/>
            <wp:effectExtent l="0" t="0" r="14605" b="254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计算涨跌幅=（现在的点位-最高的点位）÷最高的点位=（3215.63-3393.52）÷3393.52=-5.24%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标普500的跌幅小于50%，因此不符合买入标准。当标普500跌幅不符合买入标准时，我们可以通过计算个股的好价格，判断其是否具有投资价值。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2"/>
          <w:lang w:val="en-US" w:eastAsia="zh-CN"/>
        </w:rPr>
        <w:t>④ 好价格计算公式：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drawing>
          <wp:inline distT="0" distB="0" distL="114300" distR="114300">
            <wp:extent cx="5274310" cy="627380"/>
            <wp:effectExtent l="0" t="0" r="13970" b="1270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中国投资者投资美股，股息收入需缴纳10%的红利税，所以实际到手股息为TTM股息×90%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我们以诺和诺德为例，计算它的好价格。</w:t>
      </w: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第一步：查询诺和诺德的股价、TTM市盈率、TTM股息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"https://xueqiu.com/" \o "https://xueqiu.com/"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个股</w:t>
      </w:r>
      <w:r>
        <w:rPr>
          <w:rStyle w:val="10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查询网址【雪球】：</w:t>
      </w:r>
      <w:r>
        <w:rPr>
          <w:rStyle w:val="10"/>
          <w:rFonts w:hint="eastAsia" w:ascii="微软雅黑" w:hAnsi="微软雅黑" w:eastAsia="微软雅黑" w:cs="微软雅黑"/>
          <w:i w:val="0"/>
          <w:color w:val="0000FF"/>
          <w:sz w:val="21"/>
          <w:szCs w:val="21"/>
          <w:u w:val="single"/>
        </w:rPr>
        <w:t>https://xueqiu.com/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drawing>
          <wp:inline distT="0" distB="0" distL="114300" distR="114300">
            <wp:extent cx="5271135" cy="1418590"/>
            <wp:effectExtent l="0" t="0" r="1905" b="1397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046605"/>
            <wp:effectExtent l="0" t="0" r="3175" b="1079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第二步：查询十年期国债收益率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微软雅黑" w:hAnsi="微软雅黑" w:eastAsia="微软雅黑" w:cs="微软雅黑"/>
          <w:i w:val="0"/>
          <w:color w:val="auto"/>
          <w:kern w:val="0"/>
          <w:sz w:val="21"/>
          <w:szCs w:val="21"/>
          <w:u w:val="singl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美国十年期国债收益率【英为财情】：</w:t>
      </w:r>
    </w:p>
    <w:p>
      <w:pPr>
        <w:numPr>
          <w:ilvl w:val="0"/>
          <w:numId w:val="0"/>
        </w:numPr>
        <w:ind w:leftChars="0" w:firstLine="420"/>
        <w:jc w:val="both"/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"https://cn.investing.com/rates-bonds/u.s.-10-year-bond-yield"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kern w:val="0"/>
          <w:sz w:val="21"/>
          <w:szCs w:val="21"/>
          <w:lang w:val="en-US" w:eastAsia="zh-CN" w:bidi="ar"/>
        </w:rPr>
        <w:t>https://cn.investing.com/rates-bonds/u.s.-10-year-bond-yield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168900" cy="1511935"/>
            <wp:effectExtent l="0" t="0" r="12700" b="1206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备注：0.617%=0.00617</w:t>
      </w:r>
    </w:p>
    <w:p>
      <w:pP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第三步：计算诺和诺德的好价格</w:t>
      </w:r>
    </w:p>
    <w:p>
      <w:pPr>
        <w:widowControl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 = 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）=15×（66.88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÷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25.91）=38.72</w:t>
      </w:r>
    </w:p>
    <w:p>
      <w:pPr>
        <w:widowControl/>
        <w:numPr>
          <w:ilvl w:val="0"/>
          <w:numId w:val="0"/>
        </w:numPr>
        <w:ind w:leftChars="0" w:right="-1153" w:rightChars="-549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股息率法好价格 =TTM股息÷美国十年期国债收益率=0.88×90%÷0.617%=128.36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最终的好价格为两者的最小值38.72美元。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上图中诺和诺德股价为66.88美元，远高于好价格，不能马上买入。还需要研究财务报表和企业分析，做进一步的判断。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由于一些计算好价格的数据在不断更新变化，好价格计算的结果也会不断变化，大家掌握好计算的方法，答案仅供参考。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4150" cy="3395980"/>
            <wp:effectExtent l="0" t="0" r="8890" b="254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1"/>
          <w:szCs w:val="21"/>
          <w:lang w:val="en-US" w:eastAsia="zh-CN"/>
        </w:rPr>
        <w:t>备注：数据来源，雪球网。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苹方-港">
    <w:altName w:val="MingLiU-ExtB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4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98F7CF9"/>
    <w:multiLevelType w:val="singleLevel"/>
    <w:tmpl w:val="498F7CF9"/>
    <w:lvl w:ilvl="0" w:tentative="0">
      <w:start w:val="1"/>
      <w:numFmt w:val="decimal"/>
      <w:suff w:val="space"/>
      <w:lvlText w:val="%1、"/>
      <w:lvlJc w:val="left"/>
    </w:lvl>
  </w:abstractNum>
  <w:abstractNum w:abstractNumId="2">
    <w:nsid w:val="57C2920B"/>
    <w:multiLevelType w:val="singleLevel"/>
    <w:tmpl w:val="57C2920B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41F3491"/>
    <w:rsid w:val="056C4391"/>
    <w:rsid w:val="093B4F44"/>
    <w:rsid w:val="0A743C49"/>
    <w:rsid w:val="12037E49"/>
    <w:rsid w:val="12892F42"/>
    <w:rsid w:val="13984F5F"/>
    <w:rsid w:val="14EE0059"/>
    <w:rsid w:val="155C2EC5"/>
    <w:rsid w:val="1636131F"/>
    <w:rsid w:val="16BD7ABB"/>
    <w:rsid w:val="16F4727F"/>
    <w:rsid w:val="16F86EC4"/>
    <w:rsid w:val="172A2CA1"/>
    <w:rsid w:val="180D0BE7"/>
    <w:rsid w:val="19825E1B"/>
    <w:rsid w:val="1A1610EB"/>
    <w:rsid w:val="1C141236"/>
    <w:rsid w:val="1C1B6DEE"/>
    <w:rsid w:val="1CD938E5"/>
    <w:rsid w:val="1F3532AB"/>
    <w:rsid w:val="1F545AD1"/>
    <w:rsid w:val="1F814F3A"/>
    <w:rsid w:val="229C2E67"/>
    <w:rsid w:val="250E70AC"/>
    <w:rsid w:val="25101FFD"/>
    <w:rsid w:val="27424348"/>
    <w:rsid w:val="28027613"/>
    <w:rsid w:val="29AB028F"/>
    <w:rsid w:val="2A1141CB"/>
    <w:rsid w:val="2CC961DA"/>
    <w:rsid w:val="2D846991"/>
    <w:rsid w:val="2F405D10"/>
    <w:rsid w:val="2FD32417"/>
    <w:rsid w:val="3013004B"/>
    <w:rsid w:val="313B4F97"/>
    <w:rsid w:val="329218F4"/>
    <w:rsid w:val="347919BD"/>
    <w:rsid w:val="35A94658"/>
    <w:rsid w:val="370F2715"/>
    <w:rsid w:val="380F6042"/>
    <w:rsid w:val="38281B48"/>
    <w:rsid w:val="387C33C3"/>
    <w:rsid w:val="3A892FC6"/>
    <w:rsid w:val="3B626A7F"/>
    <w:rsid w:val="3BFA095D"/>
    <w:rsid w:val="3EAF7E27"/>
    <w:rsid w:val="41C83F21"/>
    <w:rsid w:val="43840494"/>
    <w:rsid w:val="43B77BDB"/>
    <w:rsid w:val="44A96D2C"/>
    <w:rsid w:val="44F21B5E"/>
    <w:rsid w:val="453B0473"/>
    <w:rsid w:val="47CB50BE"/>
    <w:rsid w:val="49675130"/>
    <w:rsid w:val="49F43451"/>
    <w:rsid w:val="4A924F18"/>
    <w:rsid w:val="4DE27DE8"/>
    <w:rsid w:val="4E066B06"/>
    <w:rsid w:val="4E6B7858"/>
    <w:rsid w:val="4F51027F"/>
    <w:rsid w:val="4FFB5B55"/>
    <w:rsid w:val="50AF6143"/>
    <w:rsid w:val="55ED6572"/>
    <w:rsid w:val="56970AE2"/>
    <w:rsid w:val="57B870B0"/>
    <w:rsid w:val="591B20C5"/>
    <w:rsid w:val="5A060DC3"/>
    <w:rsid w:val="5A29519D"/>
    <w:rsid w:val="5B3F28F2"/>
    <w:rsid w:val="605DED8A"/>
    <w:rsid w:val="60B76756"/>
    <w:rsid w:val="637B035D"/>
    <w:rsid w:val="65934D1A"/>
    <w:rsid w:val="65BD44D2"/>
    <w:rsid w:val="67F93A31"/>
    <w:rsid w:val="68D26B48"/>
    <w:rsid w:val="6B224B9D"/>
    <w:rsid w:val="6D5215C5"/>
    <w:rsid w:val="6DF35EC2"/>
    <w:rsid w:val="6E8F3B6C"/>
    <w:rsid w:val="6FE07617"/>
    <w:rsid w:val="70D05AB8"/>
    <w:rsid w:val="72C83383"/>
    <w:rsid w:val="758D0023"/>
    <w:rsid w:val="7661286F"/>
    <w:rsid w:val="781328BE"/>
    <w:rsid w:val="788C7239"/>
    <w:rsid w:val="78916335"/>
    <w:rsid w:val="79593EAF"/>
    <w:rsid w:val="79D860A9"/>
    <w:rsid w:val="7BBC5F40"/>
    <w:rsid w:val="7E4F1514"/>
    <w:rsid w:val="7F7A1471"/>
    <w:rsid w:val="DFFDA70F"/>
    <w:rsid w:val="FBED7108"/>
    <w:rsid w:val="FFEB0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beforeLines="0" w:beforeAutospacing="0" w:after="240" w:afterLines="0" w:afterAutospacing="0" w:line="240" w:lineRule="exact"/>
      <w:jc w:val="center"/>
      <w:outlineLvl w:val="0"/>
    </w:pPr>
    <w:rPr>
      <w:rFonts w:eastAsia="微软雅黑" w:asciiTheme="minorAscii" w:hAnsiTheme="minorAscii"/>
      <w:b/>
      <w:kern w:val="44"/>
      <w:sz w:val="36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unhideWhenUsed/>
    <w:qFormat/>
    <w:uiPriority w:val="99"/>
    <w:rPr>
      <w:color w:val="800080"/>
      <w:u w:val="single"/>
    </w:rPr>
  </w:style>
  <w:style w:type="character" w:styleId="9">
    <w:name w:val="Emphasis"/>
    <w:basedOn w:val="7"/>
    <w:qFormat/>
    <w:uiPriority w:val="20"/>
    <w:rPr>
      <w:color w:val="CC0000"/>
    </w:rPr>
  </w:style>
  <w:style w:type="character" w:styleId="10">
    <w:name w:val="Hyperlink"/>
    <w:basedOn w:val="7"/>
    <w:semiHidden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婷婷</cp:lastModifiedBy>
  <dcterms:modified xsi:type="dcterms:W3CDTF">2020-08-19T08:17:09Z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