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eastAsia="宋体" w:hint="eastAsia"/>
          <w:b/>
          <w:bCs/>
          <w:sz w:val="32"/>
          <w:szCs w:val="32"/>
          <w:lang w:val="en-US" w:eastAsia="zh-CN"/>
        </w:rPr>
      </w:pPr>
      <w:r>
        <w:rPr>
          <w:rFonts w:eastAsia="宋体" w:hint="eastAsia"/>
          <w:b/>
          <w:bCs/>
          <w:sz w:val="32"/>
          <w:szCs w:val="32"/>
          <w:lang w:val="en-US" w:eastAsia="zh-CN"/>
        </w:rPr>
        <w:t>第七周作业</w:t>
      </w:r>
    </w:p>
    <w:p>
      <w:pPr>
        <w:pStyle w:val="style0"/>
        <w:numPr>
          <w:ilvl w:val="0"/>
          <w:numId w:val="0"/>
        </w:numPr>
        <w:ind w:leftChars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  <w:t>一、学习思维导图</w:t>
      </w:r>
    </w:p>
    <w:p>
      <w:pPr>
        <w:pStyle w:val="style0"/>
        <w:keepNext w:val="false"/>
        <w:keepLines w:val="false"/>
        <w:pageBreakBefore w:val="false"/>
        <w:widowControl/>
        <w:suppressLineNumbers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480"/>
        <w:jc w:val="left"/>
        <w:textAlignment w:val="auto"/>
        <w:rPr/>
      </w:pPr>
      <w:r>
        <w:rPr>
          <w:rFonts w:ascii="微软雅黑" w:cs="微软雅黑" w:eastAsia="微软雅黑" w:hAnsi="微软雅黑" w:hint="eastAsia"/>
          <w:color w:val="0f3bf9"/>
          <w:kern w:val="0"/>
          <w:sz w:val="24"/>
          <w:szCs w:val="24"/>
          <w:lang w:val="en-US" w:eastAsia="zh-CN"/>
        </w:rPr>
        <w:t>说明：这份思维导图可以作为一份学习指导，里面包含本周的重点内容！</w:t>
      </w:r>
    </w:p>
    <w:p>
      <w:pPr>
        <w:pStyle w:val="style0"/>
        <w:numPr>
          <w:ilvl w:val="0"/>
          <w:numId w:val="0"/>
        </w:numPr>
        <w:ind w:leftChars="0"/>
        <w:jc w:val="center"/>
        <w:rPr/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1026" name="图片 3" descr="第7周：财务自由商品房投资方法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2" cstate="print"/>
                    <a:srcRect l="1281" t="5172" r="2739" b="63128"/>
                    <a:stretch/>
                  </pic:blipFill>
                  <pic:spPr>
                    <a:xfrm rot="0">
                      <a:off x="0" y="0"/>
                      <a:ext cx="6480175" cy="7324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ind w:left="0" w:leftChars="-600" w:hanging="1260" w:hangingChars="600"/>
        <w:jc w:val="center"/>
        <w:rPr/>
      </w:pPr>
      <w:r>
        <w:rPr/>
        <w:drawing>
          <wp:inline distL="0" distT="0" distB="0" distR="0">
            <wp:extent cx="6480175" cy="5594985"/>
            <wp:effectExtent l="0" t="0" r="12065" b="13334"/>
            <wp:docPr id="1027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0175" cy="55949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0" w:leftChars="-600" w:hanging="1260" w:hangingChars="600"/>
        <w:jc w:val="center"/>
        <w:rPr/>
      </w:pPr>
      <w:r>
        <w:rPr/>
        <w:drawing>
          <wp:inline distL="0" distT="0" distB="0" distR="0">
            <wp:extent cx="6480175" cy="2621915"/>
            <wp:effectExtent l="0" t="0" r="12065" b="14605"/>
            <wp:docPr id="1028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/>
                    <a:srcRect l="0" t="0" r="0" b="53507"/>
                    <a:stretch/>
                  </pic:blipFill>
                  <pic:spPr>
                    <a:xfrm rot="0">
                      <a:off x="0" y="0"/>
                      <a:ext cx="6480175" cy="26219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0" w:leftChars="-600" w:hanging="1260" w:hangingChars="600"/>
        <w:jc w:val="center"/>
        <w:rPr/>
      </w:pPr>
      <w:r>
        <w:rPr/>
        <w:drawing>
          <wp:inline distL="0" distT="0" distB="0" distR="0">
            <wp:extent cx="6480175" cy="4596130"/>
            <wp:effectExtent l="0" t="0" r="12065" b="6350"/>
            <wp:docPr id="1029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0175" cy="4596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0" w:leftChars="-600" w:hanging="1260" w:hangingChars="600"/>
        <w:jc w:val="center"/>
        <w:rPr/>
      </w:pPr>
      <w:r>
        <w:rPr/>
        <w:drawing>
          <wp:inline distL="0" distT="0" distB="0" distR="0">
            <wp:extent cx="6480175" cy="1415415"/>
            <wp:effectExtent l="0" t="0" r="12065" b="1905"/>
            <wp:docPr id="1030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0175" cy="14154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0" w:leftChars="-600" w:hanging="1260" w:hangingChars="600"/>
        <w:jc w:val="center"/>
        <w:rPr/>
      </w:pPr>
    </w:p>
    <w:p>
      <w:pPr>
        <w:pStyle w:val="style0"/>
        <w:numPr>
          <w:ilvl w:val="0"/>
          <w:numId w:val="0"/>
        </w:numPr>
        <w:ind w:leftChars="0"/>
        <w:jc w:val="center"/>
        <w:rPr/>
      </w:pPr>
    </w:p>
    <w:bookmarkStart w:id="0" w:name="_GoBack"/>
    <w:bookmarkEnd w:id="0"/>
    <w:p>
      <w:pPr>
        <w:pStyle w:val="style0"/>
        <w:numPr>
          <w:ilvl w:val="0"/>
          <w:numId w:val="0"/>
        </w:numPr>
        <w:ind w:leftChars="0"/>
        <w:jc w:val="both"/>
        <w:rPr/>
      </w:pPr>
    </w:p>
    <w:p>
      <w:pPr>
        <w:pStyle w:val="style0"/>
        <w:numPr>
          <w:ilvl w:val="0"/>
          <w:numId w:val="0"/>
        </w:numPr>
        <w:ind w:left="0" w:leftChars="-600" w:hanging="1260" w:hangingChars="600"/>
        <w:jc w:val="center"/>
        <w:rPr/>
      </w:pPr>
    </w:p>
    <w:p>
      <w:pPr>
        <w:pStyle w:val="style0"/>
        <w:numPr>
          <w:ilvl w:val="0"/>
          <w:numId w:val="1"/>
        </w:numPr>
        <w:ind w:left="0" w:leftChars="0" w:firstLine="0" w:firstLineChars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  <w:t>作业题</w:t>
      </w:r>
    </w:p>
    <w:p>
      <w:pPr>
        <w:pStyle w:val="style0"/>
        <w:widowControl/>
        <w:numPr>
          <w:ilvl w:val="0"/>
          <w:numId w:val="2"/>
        </w:numPr>
        <w:jc w:val="left"/>
        <w:rPr>
          <w:rFonts w:ascii="微软雅黑" w:cs="宋体" w:eastAsia="微软雅黑" w:hAnsi="微软雅黑" w:hint="eastAsia"/>
          <w:b w:val="false"/>
          <w:bCs w:val="false"/>
          <w:kern w:val="0"/>
          <w:sz w:val="24"/>
          <w:lang w:val="en-US" w:eastAsia="zh-CN"/>
        </w:rPr>
      </w:pPr>
      <w:r>
        <w:rPr>
          <w:rFonts w:ascii="微软雅黑" w:cs="宋体" w:eastAsia="微软雅黑" w:hAnsi="微软雅黑" w:hint="eastAsia"/>
          <w:b w:val="false"/>
          <w:bCs w:val="false"/>
          <w:kern w:val="0"/>
          <w:sz w:val="24"/>
          <w:lang w:val="en-US" w:eastAsia="zh-CN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style0"/>
        <w:numPr>
          <w:ilvl w:val="0"/>
          <w:numId w:val="0"/>
        </w:numPr>
        <w:ind w:leftChars="0"/>
        <w:jc w:val="left"/>
        <w:rPr/>
      </w:pPr>
      <w:r>
        <w:rPr/>
        <w:drawing>
          <wp:inline distL="0" distT="0" distB="0" distR="0">
            <wp:extent cx="2628900" cy="55499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900" cy="554990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1计算年租金净額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①年租金总額＝月租金×12＝6.3万×12＝75.6万元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②其他费用＝月管理费×12＋月维修基金×12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＝0.45万×12＋0.3万×12＝9万元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③年按揭贷款本息＝月还款本息×12＝25873.36×12≈31万元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④年租金净额＝年租金总额－其他费用－年按揭贷款本息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＝75.6万－9万－31万＝35.6万元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2计算初始投资现金总额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初始投资现金总额＝首付＋购房产生的税费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＝1000万×30％＋1000万×3％＝330万元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3计算净租金收益率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净租金收益率＝年租金净额÷初始投资现金总额×100％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＝35.6万÷330万×100％＝10.78％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结论净租金收益率为10.78％远大于10年期国债收益率中位值3.8％，在投资购房安全范围，可以买入房产。</w:t>
      </w: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style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pStyle w:val="style0"/>
        <w:widowControl/>
        <w:numPr>
          <w:ilvl w:val="0"/>
          <w:numId w:val="2"/>
        </w:numPr>
        <w:ind w:left="0" w:leftChars="0" w:firstLine="0" w:firstLineChars="0"/>
        <w:jc w:val="left"/>
        <w:rPr>
          <w:rFonts w:ascii="微软雅黑" w:cs="Arial" w:eastAsia="微软雅黑" w:hAnsi="微软雅黑" w:hint="eastAsia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微软雅黑" w:eastAsia="微软雅黑" w:hAnsi="微软雅黑" w:hint="eastAsia"/>
          <w:b w:val="false"/>
          <w:bCs w:val="false"/>
          <w:color w:val="0d0d0d"/>
          <w:kern w:val="0"/>
          <w:sz w:val="24"/>
          <w:szCs w:val="24"/>
          <w:lang w:val="en-US" w:eastAsia="zh-CN"/>
          <w14:textFill>
            <w14:solidFill>
              <w14:srgbClr w14:val="0c0c0c"/>
            </w14:solidFill>
          </w14:textFill>
        </w:rPr>
        <w:t>计算一下自己现住小区房子售租比和</w:t>
      </w:r>
      <w:r>
        <w:rPr>
          <w:rFonts w:ascii="微软雅黑" w:cs="微软雅黑" w:eastAsia="微软雅黑" w:hAnsi="微软雅黑" w:hint="default"/>
          <w:b w:val="false"/>
          <w:bCs w:val="false"/>
          <w:color w:val="0d0d0d"/>
          <w:kern w:val="0"/>
          <w:sz w:val="24"/>
          <w:szCs w:val="24"/>
          <w:lang w:eastAsia="zh-CN"/>
          <w14:textFill>
            <w14:solidFill>
              <w14:srgbClr w14:val="0c0c0c"/>
            </w14:solidFill>
          </w14:textFill>
        </w:rPr>
        <w:t>好价格</w:t>
      </w:r>
      <w:r>
        <w:rPr>
          <w:rFonts w:ascii="微软雅黑" w:cs="微软雅黑" w:eastAsia="微软雅黑" w:hAnsi="微软雅黑" w:hint="eastAsia"/>
          <w:b w:val="false"/>
          <w:bCs w:val="false"/>
          <w:color w:val="0d0d0d"/>
          <w:kern w:val="0"/>
          <w:sz w:val="24"/>
          <w:szCs w:val="24"/>
          <w:lang w:val="en-US" w:eastAsia="zh-CN"/>
          <w14:textFill>
            <w14:solidFill>
              <w14:srgbClr w14:val="0c0c0c"/>
            </w14:solidFill>
          </w14:textFill>
        </w:rPr>
        <w:t>。（假设：首付30%，最长贷款期30年，</w:t>
      </w:r>
      <w:r>
        <w:rPr>
          <w:rFonts w:ascii="微软雅黑" w:cs="微软雅黑" w:eastAsia="微软雅黑" w:hAnsi="微软雅黑" w:hint="eastAsia"/>
          <w:color w:val="0d0d0d"/>
          <w:sz w:val="24"/>
          <w:szCs w:val="24"/>
          <w:shd w:val="clear" w:color="auto" w:fill="ffffff"/>
          <w:lang w:val="en-US" w:eastAsia="zh-CN"/>
          <w14:textFill>
            <w14:solidFill>
              <w14:srgbClr w14:val="0c0c0c"/>
            </w14:solidFill>
          </w14:textFill>
        </w:rPr>
        <w:t>每年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14:textFill>
            <w14:solidFill>
              <w14:srgbClr w14:val="0c0c0c"/>
            </w14:solidFill>
          </w14:textFill>
        </w:rPr>
        <w:t>持有房子的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:lang w:val="en-US" w:eastAsia="zh-CN"/>
          <w14:textFill>
            <w14:solidFill>
              <w14:srgbClr w14:val="0c0c0c"/>
            </w14:solidFill>
          </w14:textFill>
        </w:rPr>
        <w:t>物业费和其他费用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14:textFill>
            <w14:solidFill>
              <w14:srgbClr w14:val="0c0c0c"/>
            </w14:solidFill>
          </w14:textFill>
        </w:rPr>
        <w:t>为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:lang w:val="en-US" w:eastAsia="zh-CN"/>
          <w14:textFill>
            <w14:solidFill>
              <w14:srgbClr w14:val="0c0c0c"/>
            </w14:solidFill>
          </w14:textFill>
        </w:rPr>
        <w:t>年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14:textFill>
            <w14:solidFill>
              <w14:srgbClr w14:val="0c0c0c"/>
            </w14:solidFill>
          </w14:textFill>
        </w:rPr>
        <w:t>租金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:lang w:val="en-US" w:eastAsia="zh-CN"/>
          <w14:textFill>
            <w14:solidFill>
              <w14:srgbClr w14:val="0c0c0c"/>
            </w14:solidFill>
          </w14:textFill>
        </w:rPr>
        <w:t>的10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14:textFill>
            <w14:solidFill>
              <w14:srgbClr w14:val="0c0c0c"/>
            </w14:solidFill>
          </w14:textFill>
        </w:rPr>
        <w:t>%</w:t>
      </w:r>
      <w:r>
        <w:rPr>
          <w:rFonts w:ascii="微软雅黑" w:cs="微软雅黑" w:eastAsia="微软雅黑" w:hAnsi="微软雅黑" w:hint="eastAsia"/>
          <w:color w:val="0d0d0d"/>
          <w:kern w:val="0"/>
          <w:sz w:val="24"/>
          <w:szCs w:val="24"/>
          <w:lang w:eastAsia="zh-CN"/>
          <w14:textFill>
            <w14:solidFill>
              <w14:srgbClr w14:val="0c0c0c"/>
            </w14:solidFill>
          </w14:textFill>
        </w:rPr>
        <w:t>，</w:t>
      </w:r>
      <w:r>
        <w:rPr>
          <w:rFonts w:ascii="微软雅黑" w:cs="微软雅黑" w:eastAsia="微软雅黑" w:hAnsi="微软雅黑" w:hint="eastAsia"/>
          <w:b w:val="false"/>
          <w:bCs w:val="false"/>
          <w:color w:val="0d0d0d"/>
          <w:kern w:val="0"/>
          <w:sz w:val="24"/>
          <w:szCs w:val="24"/>
          <w:lang w:val="en-US" w:eastAsia="zh-CN"/>
          <w14:textFill>
            <w14:solidFill>
              <w14:srgbClr w14:val="0c0c0c"/>
            </w14:solidFill>
          </w14:textFill>
        </w:rPr>
        <w:t>银行商贷利率4.9%，购买税费为房价的5%）</w:t>
      </w:r>
      <w:r>
        <w:rPr>
          <w:rFonts w:ascii="微软雅黑" w:cs="Arial" w:eastAsia="微软雅黑" w:hAnsi="微软雅黑" w:hint="eastAsia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eastAsia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1计算售租比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①房子总价＝单价×面积＝0.48万×69＝33.12万元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②售租比＝房子总价÷月租金＝33.12万÷0.13万≈255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结论售租比255小于540代表没有泡沫。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2计算房子好价格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房子好价格计算公式：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净租金收益率＝年租金总额÷初始投资现金总额×100％＝10年期国债收益率中位值＝3.8％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第一步计算年租金净额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年租金净额＝年租金总额－其他费用－年按揭贷款本息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①年租金总额＝月租金×12个月＝1300×12＝15600元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②其他费用＝年租金总额×10％＝15600×10％＝1560元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③好价格对应的年按揭贷款本息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33.12万×70％＝23.184万元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④每年还本付息＝1230.44×12＝14765.28元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每年还本付息金额与贷款总额比率＝每年还本付息金额÷贷款总额×100％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＝14765.28÷23.184万≈6.37％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好价格x下，年按揭贷款本息＝70％69x×6.37％＝3.07671x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初始投资现金总额＝首付＋购房产生的税费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初始投资总额＝30％×69x＋5％×69x＝20.7x＋3.45x＝24.15x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净租金收益率＝年租金净额÷初始投资现金总额×100％＝3.8％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＝（14040－3.07671x）÷24.15x×100％＝3.8％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＝14040－3.07671x＝24.15x×0.038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＝14040－3.07671x＝0.9097x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即14040＝3.07671x＋0.90907x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14040＝3.98641x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X＝14040÷3.98641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x＝3521.9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eastAsia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/>
      </w:pPr>
      <w:r>
        <w:rPr/>
        <w:drawing>
          <wp:inline distL="0" distT="0" distB="0" distR="0">
            <wp:extent cx="2628900" cy="554990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900" cy="5549900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900" cy="554990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lang w:val="en-US"/>
        </w:rPr>
      </w:pPr>
      <w:r>
        <w:rPr>
          <w:lang w:val="en-US"/>
        </w:rPr>
        <w:t>恩平恒大泉都具体情况：房子总价格33.12万，房子面积69平方米，单价4800元平方米，月租金1300元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lang w:val="en-US"/>
        </w:rPr>
      </w:pPr>
      <w:r>
        <w:rPr>
          <w:lang w:val="en-US"/>
        </w:rPr>
        <w:t>经计算得出实际净租金收益率为－0.6％，房子好价格为24.26万，单价为3515元平方米，售租比为255</w:t>
      </w: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/>
      </w:pPr>
    </w:p>
    <w:p>
      <w:pPr>
        <w:pStyle w:val="style0"/>
        <w:widowControl/>
        <w:numPr>
          <w:ilvl w:val="0"/>
          <w:numId w:val="0"/>
        </w:numPr>
        <w:ind w:left="0" w:firstLine="0"/>
        <w:jc w:val="left"/>
        <w:rPr>
          <w:rFonts w:ascii="微软雅黑" w:cs="Arial" w:eastAsia="微软雅黑" w:hAnsi="微软雅黑" w:hint="eastAsia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cs="Arial" w:eastAsia="微软雅黑" w:hAnsi="微软雅黑" w:hint="default"/>
          <w:color w:val="333333"/>
          <w:kern w:val="0"/>
          <w:sz w:val="24"/>
          <w:szCs w:val="24"/>
          <w:shd w:val="clear" w:color="auto" w:fill="ffffff"/>
          <w:lang w:val="en-US" w:eastAsia="zh-CN"/>
        </w:rPr>
        <w:t>结论净租金收益率－0.6％是耗钱资产，远小于10年期国债收益率中位值3.8％安全范围，没有投资价值，但售租比255小于540代表没有泡沫，现在不是买入的好价格。</w:t>
      </w:r>
    </w:p>
    <w:p>
      <w:pPr>
        <w:pStyle w:val="style0"/>
        <w:widowControl/>
        <w:numPr>
          <w:ilvl w:val="0"/>
          <w:numId w:val="0"/>
        </w:numPr>
        <w:ind w:leftChars="0"/>
        <w:jc w:val="left"/>
        <w:rPr>
          <w:rFonts w:ascii="微软雅黑" w:cs="Arial" w:eastAsia="微软雅黑" w:hAnsi="微软雅黑" w:hint="eastAsia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pStyle w:val="style0"/>
        <w:numPr>
          <w:ilvl w:val="0"/>
          <w:numId w:val="1"/>
        </w:numPr>
        <w:ind w:left="0" w:leftChars="0" w:firstLine="0" w:firstLineChars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  <w:r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  <w:t>来自剪贴板</w:t>
      </w:r>
    </w:p>
    <w:p>
      <w:pPr>
        <w:pStyle w:val="style0"/>
        <w:numPr>
          <w:ilvl w:val="0"/>
          <w:numId w:val="0"/>
        </w:numPr>
        <w:ind w:left="0" w:firstLine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  <w:t>本周作业学到的重点知识</w:t>
      </w:r>
    </w:p>
    <w:p>
      <w:pPr>
        <w:pStyle w:val="style0"/>
        <w:numPr>
          <w:ilvl w:val="0"/>
          <w:numId w:val="0"/>
        </w:numPr>
        <w:ind w:left="0" w:firstLine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  <w:t>1、如何计算净租金收益率；</w:t>
      </w:r>
    </w:p>
    <w:p>
      <w:pPr>
        <w:pStyle w:val="style0"/>
        <w:numPr>
          <w:ilvl w:val="0"/>
          <w:numId w:val="0"/>
        </w:numPr>
        <w:ind w:left="0" w:firstLine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  <w:t>2、如何使用房贷计算器；</w:t>
      </w:r>
    </w:p>
    <w:p>
      <w:pPr>
        <w:pStyle w:val="style0"/>
        <w:numPr>
          <w:ilvl w:val="0"/>
          <w:numId w:val="0"/>
        </w:numPr>
        <w:ind w:left="0" w:firstLine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  <w:t>3、计算房产的售租比和好价格；</w:t>
      </w:r>
    </w:p>
    <w:p>
      <w:pPr>
        <w:pStyle w:val="style0"/>
        <w:numPr>
          <w:ilvl w:val="0"/>
          <w:numId w:val="0"/>
        </w:numPr>
        <w:ind w:left="0" w:firstLine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  <w:t>4、学会使用表格求解房屋好价格</w:t>
      </w:r>
    </w:p>
    <w:sectPr>
      <w:headerReference w:type="default" r:id="rId12"/>
      <w:footerReference w:type="default" r:id="rId13"/>
      <w:pgSz w:w="11906" w:h="16838" w:orient="portrait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34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0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000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altName w:val="Microsoft JhengHei UI Light"/>
    <w:panose1 w:val="020b0304030000040204"/>
    <w:charset w:val="88"/>
    <w:family w:val="auto"/>
    <w:pitch w:val="default"/>
    <w:sig w:usb0="800002A7" w:usb1="28CF4400" w:usb2="00000016" w:usb3="00000000" w:csb0="00100009" w:csb1="00000000"/>
  </w:font>
  <w:font w:name="Tahoma">
    <w:altName w:val="Tahoma"/>
    <w:panose1 w:val="020b0604030000040204"/>
    <w:charset w:val="00"/>
    <w:family w:val="auto"/>
    <w:pitch w:val="default"/>
    <w:sig w:usb0="E1002EFF" w:usb1="C000605B" w:usb2="00000029" w:usb3="00000000" w:csb0="200101FF" w:csb1="2028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3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8" name="文本框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8">
                      <w:txbxContent>
                        <w:p>
                          <w:pPr>
                            <w:pStyle w:val="style0"/>
                            <w:snapToGrid w:val="fals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8" filled="f" stroked="f" style="position:absolute;margin-left:0.0pt;margin-top:0.0pt;width:144.0pt;height:144.0pt;z-index:3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/>
              <v:fill/>
              <v:textbox inset="0.0pt,0.0pt,0.0pt,0.0pt" style="mso-fit-shape-to-text:true;">
                <w:txbxContent>
                  <w:p>
                    <w:pPr>
                      <w:pStyle w:val="style0"/>
                      <w:snapToGrid w:val="fals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pBdr>
        <w:bottom w:val="single" w:sz="4" w:space="1" w:color="597bb0"/>
      </w:pBdr>
      <w:rPr>
        <w:rFonts w:ascii="苹方-港" w:cs="苹方-港" w:eastAsia="苹方-港" w:hAnsi="苹方-港" w:hint="eastAsia"/>
        <w:color w:val="0051e8"/>
      </w:rPr>
    </w:pPr>
    <w:r>
      <w:rPr>
        <w:rFonts w:ascii="苹方-港" w:cs="苹方-港" w:eastAsia="苹方-港" w:hAnsi="苹方-港" w:hint="eastAsia"/>
        <w:color w:val="0051e8"/>
      </w:rPr>
      <w:drawing>
        <wp:anchor distT="0" distB="0" distL="0" distR="0" simplePos="false" relativeHeight="2" behindDoc="false" locked="false" layoutInCell="true" allowOverlap="true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4097" name="图片 2" descr="画板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2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5285105" cy="568960"/>
                  </a:xfrm>
                  <a:prstGeom prst="rect"/>
                </pic:spPr>
              </pic:pic>
            </a:graphicData>
          </a:graphic>
        </wp:anchor>
      </w:drawing>
    </w:r>
  </w:p>
  <w:p>
    <w:pPr>
      <w:pStyle w:val="style31"/>
      <w:pBdr>
        <w:bottom w:val="single" w:sz="4" w:space="1" w:color="597bb0"/>
      </w:pBdr>
      <w:rPr>
        <w:rFonts w:ascii="苹方-港" w:cs="苹方-港" w:eastAsia="苹方-港" w:hAnsi="苹方-港" w:hint="eastAsia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CBE2E6D5"/>
    <w:lvl w:ilvl="0">
      <w:start w:val="1"/>
      <w:numFmt w:val="chineseCounting"/>
      <w:suff w:val="nothing"/>
      <w:lvlText w:val="%1、"/>
      <w:lvlJc w:val="left"/>
      <w:pPr/>
      <w:rPr>
        <w:rFonts w:hint="eastAsia"/>
      </w:rPr>
    </w:lvl>
  </w:abstractNum>
  <w:abstractNum w:abstractNumId="1">
    <w:nsid w:val="00000001"/>
    <w:multiLevelType w:val="singleLevel"/>
    <w:tmpl w:val="0AD8C2FA"/>
    <w:lvl w:ilvl="0">
      <w:start w:val="1"/>
      <w:numFmt w:val="decimal"/>
      <w:suff w:val="nothing"/>
      <w:lvlText w:val="%1、"/>
      <w:lvlJc w:val="left"/>
      <w:pPr/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qFormat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qFormat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qFormat/>
    <w:uiPriority w:val="0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4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customXml" Target="../customXml/item1.xml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Words>1134</Words>
  <Pages>1</Pages>
  <Characters>1521</Characters>
  <Application>WPS Office</Application>
  <DocSecurity>0</DocSecurity>
  <Paragraphs>82</Paragraphs>
  <ScaleCrop>false</ScaleCrop>
  <LinksUpToDate>false</LinksUpToDate>
  <CharactersWithSpaces>1526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2020-07-17T07:10:00Z</dcterms:created>
  <dc:creator>sheji</dc:creator>
  <lastModifiedBy>COL-AL10</lastModifiedBy>
  <dcterms:modified xsi:type="dcterms:W3CDTF">2020-10-07T07:55:16Z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