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Default Extension="jpg" ContentType="image/jpeg"/>
  <Default Extension="tiff" ContentType="image/tiff"/>
  <Default Extension="gif" ContentType="image/gif"/>
  <Default Extension="bin" ContentType="application/vnd.openxmlformats-officedocument.oleObject"/>
  <Default Extension="wmf" ContentType="image/x-wmf"/>
  <Default Extension="emf" ContentType="image/x-emf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xmlns:wpsCustomData="http://www.wps.cn/officeDocument/2013/wpsCustomData" mc:Ignorable="w14 w15 wp14">
  <w:body>
    <w:p>
      <w:pPr>
        <w:jc w:val="center"/>
        <w:rPr>
          <w:bCs/>
          <w:lang w:val="en-US" w:eastAsia="zh-CN"/>
          <w:b/>
          <w:rFonts w:eastAsia="宋体" w:hint="eastAsia"/>
          <w:sz w:val="32"/>
          <w:szCs w:val="32"/>
        </w:rPr>
      </w:pPr>
      <w:r>
        <w:rPr>
          <w:bCs/>
          <w:lang w:val="en-US" w:eastAsia="zh-CN"/>
          <w:b/>
          <w:rFonts w:eastAsia="宋体" w:hint="eastAsia"/>
          <w:sz w:val="32"/>
          <w:szCs w:val="32"/>
        </w:rPr>
        <w:t>第七周作业</w:t>
      </w:r>
    </w:p>
    <w:p>
      <w:pPr>
        <w:numPr>
          <w:ilvl w:val="0"/>
          <w:numId w:val="0"/>
        </w:numPr>
        <w:jc w:val="both"/>
        <w:rPr>
          <w:bCs/>
          <w:lang w:val="en-US" w:eastAsia="zh-CN"/>
          <w:b/>
          <w:rFonts w:ascii="微软雅黑" w:cs="微软雅黑" w:eastAsia="微软雅黑" w:hAnsi="微软雅黑" w:hint="default"/>
          <w:sz w:val="28"/>
          <w:szCs w:val="28"/>
        </w:rPr>
      </w:pPr>
      <w:r>
        <w:rPr>
          <w:bCs/>
          <w:lang w:val="en-US" w:eastAsia="zh-CN"/>
          <w:b/>
          <w:rFonts w:ascii="微软雅黑" w:cs="微软雅黑" w:eastAsia="微软雅黑" w:hAnsi="微软雅黑" w:hint="eastAsia"/>
          <w:sz w:val="28"/>
          <w:szCs w:val="28"/>
        </w:rPr>
        <w:t>一、学习思维导图</w:t>
      </w:r>
    </w:p>
    <w:p>
      <w:pPr>
        <w:keepNext w:val="0"/>
        <w:keepLines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jc w:val="left"/>
        <w:pageBreakBefore w:val="0"/>
        <w:spacing w:line="480" w:lineRule="exact"/>
      </w:pPr>
      <w:r>
        <w:rPr>
          <w:kern w:val="0"/>
          <w:lang w:val="en-US" w:eastAsia="zh-CN" w:bidi="ar"/>
          <w:color w:val="0F3BF9"/>
          <w:rFonts w:ascii="微软雅黑" w:cs="微软雅黑" w:eastAsia="微软雅黑" w:hAnsi="微软雅黑" w:hint="eastAsia"/>
          <w:sz w:val="24"/>
          <w:szCs w:val="24"/>
        </w:rPr>
        <w:t>说明：这份思维导图可以作为一份学习指导，里面包含本周的重点内容！</w:t>
      </w:r>
    </w:p>
    <w:p>
      <w:pPr>
        <w:numPr>
          <w:ilvl w:val="0"/>
          <w:numId w:val="0"/>
        </w:numPr>
        <w:jc w:val="center"/>
      </w:pPr>
      <w:r>
        <w:rPr>
          <w:noProof/>
        </w:rPr>
        <w:drawing>
          <wp:anchor distT="0" distB="0" distR="114300" distL="114300" relativeHeight="251658240" behindDoc="0" allowOverlap="1" layoutInCell="1" locked="0" simplePos="0">
            <wp:simplePos x="0" y="0"/>
            <wp:positionH relativeFrom="column">
              <wp:posOffset>-674370</wp:posOffset>
            </wp:positionH>
            <wp:positionV relativeFrom="paragraph">
              <wp:posOffset>28575</wp:posOffset>
            </wp:positionV>
            <wp:extent cx="6480175" cy="7324725"/>
            <wp:effectExtent l="0" t="0" r="12065" b="5715"/>
            <wp:wrapTopAndBottom/>
            <wp:docPr id="3" name="图片 3" descr="第7周：财务自由商品房投资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第7周：财务自由商品房投资方法"/>
                    <pic:cNvPicPr>
                      <a:picLocks noChangeAspect="1"/>
                    </pic:cNvPicPr>
                  </pic:nvPicPr>
                  <pic:blipFill>
                    <a:blip r:embed="rId18"/>
                    <a:srcRect t="5172" b="63128" l="1281" r="27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center"/>
        <w:ind w:left="0"/>
        <w:ind w:hanging="1260"/>
      </w:pPr>
      <w:r>
        <w:rPr>
          <w:noProof/>
        </w:rPr>
        <w:drawing>
          <wp:inline distB="0" distL="114300" distR="114300" distT="0">
            <wp:extent cx="6480175" cy="5594985"/>
            <wp:effectExtent l="0" t="0" r="1206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9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ind w:left="0"/>
        <w:ind w:hanging="1260"/>
      </w:pPr>
      <w:r>
        <w:rPr>
          <w:noProof/>
        </w:rPr>
        <w:drawing>
          <wp:inline distB="0" distL="114300" distR="114300" distT="0">
            <wp:extent cx="6480175" cy="2621915"/>
            <wp:effectExtent l="0" t="0" r="12065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rcRect b="5350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ind w:left="0"/>
        <w:ind w:hanging="1260"/>
      </w:pPr>
      <w:r>
        <w:rPr>
          <w:noProof/>
        </w:rPr>
        <w:drawing>
          <wp:inline distB="0" distL="114300" distR="114300" distT="0">
            <wp:extent cx="6480175" cy="4596130"/>
            <wp:effectExtent l="0" t="0" r="12065" b="635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ind w:left="0"/>
        <w:ind w:hanging="1260"/>
      </w:pPr>
      <w:r>
        <w:rPr>
          <w:noProof/>
        </w:rPr>
        <w:drawing>
          <wp:inline distB="0" distL="114300" distR="114300" distT="0">
            <wp:extent cx="6480175" cy="1415415"/>
            <wp:effectExtent l="0" t="0" r="12065" b="190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ind w:left="0"/>
        <w:ind w:hanging="1260"/>
      </w:pP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0"/>
        </w:numPr>
        <w:jc w:val="both"/>
      </w:pPr>
      <w:bookmarkStart w:id="0" w:name="_GoBack"/>
      <w:bookmarkEnd w:id="0"/>
    </w:p>
    <w:p>
      <w:pPr>
        <w:numPr>
          <w:ilvl w:val="0"/>
          <w:numId w:val="0"/>
        </w:numPr>
        <w:jc w:val="center"/>
        <w:ind w:left="0"/>
        <w:ind w:hanging="1260"/>
      </w:pPr>
    </w:p>
    <w:p>
      <w:pPr>
        <w:numPr>
          <w:ilvl w:val="0"/>
          <w:numId w:val="1"/>
        </w:numPr>
        <w:jc w:val="both"/>
        <w:ind w:left="0"/>
        <w:ind w:firstLine="0"/>
        <w:rPr>
          <w:bCs/>
          <w:lang w:val="en-US" w:eastAsia="zh-CN"/>
          <w:b/>
          <w:rFonts w:ascii="微软雅黑" w:cs="微软雅黑" w:eastAsia="微软雅黑" w:hAnsi="微软雅黑" w:hint="default"/>
          <w:sz w:val="28"/>
          <w:szCs w:val="28"/>
        </w:rPr>
      </w:pPr>
      <w:r>
        <w:rPr>
          <w:bCs/>
          <w:lang w:val="en-US" w:eastAsia="zh-CN"/>
          <w:b/>
          <w:rFonts w:ascii="微软雅黑" w:cs="微软雅黑" w:eastAsia="微软雅黑" w:hAnsi="微软雅黑" w:hint="eastAsia"/>
          <w:sz w:val="28"/>
          <w:szCs w:val="28"/>
        </w:rPr>
        <w:t>作业题</w:t>
      </w:r>
    </w:p>
    <w:p>
      <w:pPr>
        <w:widowControl/>
        <w:numPr>
          <w:ilvl w:val="0"/>
          <w:numId w:val="2"/>
        </w:numPr>
        <w:jc w:val="left"/>
        <w:rPr>
          <w:bCs w:val="0"/>
          <w:kern w:val="0"/>
          <w:lang w:val="en-US" w:eastAsia="zh-CN"/>
          <w:b w:val="0"/>
          <w:rFonts w:ascii="微软雅黑" w:cs="宋体" w:eastAsia="微软雅黑" w:hAnsi="微软雅黑" w:hint="eastAsia"/>
          <w:sz w:val="24"/>
        </w:rPr>
      </w:pPr>
      <w:r>
        <w:rPr>
          <w:b w:val="0"/>
          <w:rFonts w:ascii="微软雅黑"/>
          <w:sz w:val="24"/>
        </w:rPr>
        <w:t>东京某公寓，具体信息如下：市场价1000万日元，面积15平方米，月租金63000日元，月管理费4500日元，月维修基金3000日元。购房中介费为房价3%。首付30%，还款期限30年，房贷利率2%。请计算一下东京这套公寓的净租金收益率。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</w:r>
    </w:p>
    <w:p>
      <w:pPr>
        <w:numPr>
          <w:ilvl w:val="0"/>
          <w:numId w:val="2"/>
        </w:numPr>
        <w:jc w:val="left"/>
      </w:pPr>
      <w:r>
        <w:rPr>
          <w:bCs w:val="0"/>
          <w:kern w:val="0"/>
          <w:lang w:val="en-US" w:eastAsia="zh-CN"/>
          <w:b w:val="0"/>
          <w:rFonts w:ascii="微软雅黑" w:cs="宋体" w:eastAsia="微软雅黑" w:hAnsi="微软雅黑" w:hint="eastAsia"/>
          <w:sz w:val="24"/>
        </w:rPr>
        <w:t>净租金收益率 = 年租金净额÷初始投资现金总额×100%
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年租金净额 = 年租金总额 - 其他费用 - 年按揭贷款本息 
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年租金净额(63000x12)-(4500+3000)x12-25873.36x12=355516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初始投资现金总额 = 首付 + 购房产生的税费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初始投资现金总额1000x(30%+3%)=3300000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净租金收益率355516÷3300000×100%
=10.7%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东京这套公寓的净租金收益率为10.7%</w:t>
      </w:r>
    </w:p>
    <w:p>
      <w:pPr>
        <w:numPr>
          <w:ilvl w:val="0"/>
          <w:numId w:val="2"/>
        </w:numPr>
        <w:jc w:val="left"/>
      </w:pPr>
      <w:r>
        <w:rPr>
          <w:b w:val="0"/>
          <w:rFonts w:ascii="微软雅黑"/>
          <w:sz w:val="24"/>
        </w:rPr>
        <w:t>结论：目前此房产的净租金收益率为10.7%，大于十年期国债收益率中位值3.8%，此时投资房子基本没有风险，符合买入标准。</w:t>
      </w:r>
    </w:p>
    <w:p>
      <w:pPr>
        <w:numPr>
          <w:ilvl w:val="0"/>
          <w:numId w:val="0"/>
        </w:numPr>
        <w:jc w:val="center"/>
      </w:pPr>
      <w:r>
        <w:rPr>
          <w:noProof/>
        </w:rPr>
        <w:drawing>
          <wp:inline distB="0" distL="114300" distR="114300" distT="0">
            <wp:extent cx="5077460" cy="3599815"/>
            <wp:effectExtent l="0" t="0" r="12700" b="12065"/>
            <wp:docPr id="5" name="图片 5" descr="09378180ccd570e089a74bd2aaa4d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09378180ccd570e089a74bd2aaa4df8"/>
                    <pic:cNvPicPr>
                      <a:picLocks noChangeAspect="1"/>
                    </pic:cNvPicPr>
                  </pic:nvPicPr>
                  <pic:blipFill>
                    <a:blip r:embed="rId19"/>
                    <a:srcRect t="5572" b="6704" l="14704" r="15673"/>
                    <a:stretch>
                      <a:fillRect/>
                    </a:stretch>
                  </pic:blipFill>
                  <pic:spPr>
                    <a:xfrm>
                      <a:off x="0" y="0"/>
                      <a:ext cx="507746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lang w:val="en-US" w:eastAsia="zh-CN"/>
          <w:rFonts w:hint="default"/>
        </w:rPr>
      </w:pPr>
    </w:p>
    <w:p>
      <w:pPr>
        <w:widowControl/>
        <w:numPr>
          <w:ilvl w:val="0"/>
          <w:numId w:val="2"/>
        </w:numPr>
        <w:jc w:val="left"/>
        <w:ind w:left="0"/>
        <w:ind w:firstLine="0"/>
        <w:rPr>
          <w:kern w:val="0"/>
          <w:lang w:val="en-US" w:eastAsia="zh-CN"/>
          <w:color w:val="333333"/>
          <w:rFonts w:ascii="微软雅黑" w:cs="Arial" w:eastAsia="微软雅黑" w:hAnsi="微软雅黑" w:hint="eastAsia"/>
          <w:sz w:val="24"/>
          <w:szCs w:val="24"/>
          <w:shd w:fill="FFFFFF" w:color="auto" w:val="clear"/>
        </w:rPr>
      </w:pPr>
      <w:r>
        <w:rPr>
          <w:bCs w:val="0"/>
          <w:kern w:val="0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b w:val="0"/>
          <w:color w:val="0D0D0D"/>
          <w:rFonts w:ascii="微软雅黑" w:cs="微软雅黑" w:eastAsia="微软雅黑" w:hAnsi="微软雅黑" w:hint="eastAsia"/>
          <w:sz w:val="24"/>
          <w:szCs w:val="24"/>
        </w:rPr>
        <w:t>计算一下自己现住小区房子售租比和</w:t>
      </w:r>
      <w:r>
        <w:rPr>
          <w:bCs w:val="0"/>
          <w:kern w:val="0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b w:val="0"/>
          <w:color w:val="0D0D0D"/>
          <w:rFonts w:ascii="微软雅黑" w:cs="微软雅黑" w:eastAsia="微软雅黑" w:hAnsi="微软雅黑" w:hint="default"/>
          <w:sz w:val="24"/>
          <w:szCs w:val="24"/>
        </w:rPr>
        <w:t>好价格</w:t>
      </w:r>
      <w:r>
        <w:rPr>
          <w:bCs w:val="0"/>
          <w:kern w:val="0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b w:val="0"/>
          <w:color w:val="0D0D0D"/>
          <w:rFonts w:ascii="微软雅黑" w:cs="微软雅黑" w:eastAsia="微软雅黑" w:hAnsi="微软雅黑" w:hint="eastAsia"/>
          <w:sz w:val="24"/>
          <w:szCs w:val="24"/>
        </w:rPr>
        <w:t>。（假设：首付30%，最长贷款期30年，</w:t>
      </w:r>
      <w:r>
        <w:rPr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  <w:shd w:fill="FFFFFF" w:color="auto" w:val="clear"/>
        </w:rPr>
        <w:t>每年</w:t>
      </w:r>
      <w:r>
        <w:rPr>
          <w:kern w:val="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持有房子的</w:t>
      </w:r>
      <w:r>
        <w:rPr>
          <w:kern w:val="0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物业费和其他费用</w:t>
      </w:r>
      <w:r>
        <w:rPr>
          <w:kern w:val="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为</w:t>
      </w:r>
      <w:r>
        <w:rPr>
          <w:kern w:val="0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年</w:t>
      </w:r>
      <w:r>
        <w:rPr>
          <w:kern w:val="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租金</w:t>
      </w:r>
      <w:r>
        <w:rPr>
          <w:kern w:val="0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的10</w:t>
      </w:r>
      <w:r>
        <w:rPr>
          <w:kern w:val="0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%</w:t>
      </w:r>
      <w:r>
        <w:rPr>
          <w:kern w:val="0"/>
          <w:lang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color w:val="0D0D0D"/>
          <w:rFonts w:ascii="微软雅黑" w:cs="微软雅黑" w:eastAsia="微软雅黑" w:hAnsi="微软雅黑" w:hint="eastAsia"/>
          <w:sz w:val="24"/>
          <w:szCs w:val="24"/>
        </w:rPr>
        <w:t>，</w:t>
      </w:r>
      <w:r>
        <w:rPr>
          <w:bCs w:val="0"/>
          <w:kern w:val="0"/>
          <w:lang w:val="en-US" w:eastAsia="zh-CN"/>
          <w14:textFill>
            <w14:solidFill>
              <w14:schemeClr w14:val="tx1">
                <w14:lumMod w14:val="95000"/>
                <w14:lumOff w14:val="5000"/>
              </w14:schemeClr>
            </w14:solidFill>
          </w14:textFill>
          <w:b w:val="0"/>
          <w:color w:val="0D0D0D"/>
          <w:rFonts w:ascii="微软雅黑" w:cs="微软雅黑" w:eastAsia="微软雅黑" w:hAnsi="微软雅黑" w:hint="eastAsia"/>
          <w:sz w:val="24"/>
          <w:szCs w:val="24"/>
        </w:rPr>
        <w:t>银行商贷利率4.9%，购买税费为房价的5%）</w:t>
      </w:r>
      <w:r>
        <w:rPr>
          <w:kern w:val="0"/>
          <w:lang w:val="en-US" w:eastAsia="zh-CN"/>
          <w:color w:val="333333"/>
          <w:rFonts w:ascii="微软雅黑" w:cs="Arial" w:eastAsia="微软雅黑" w:hAnsi="微软雅黑" w:hint="eastAsia"/>
          <w:sz w:val="24"/>
          <w:szCs w:val="24"/>
          <w:shd w:fill="FFFFFF" w:color="auto" w:val="clear"/>
        </w:rPr>
        <w:t>通过网上的购房、租房平台，查询自住房目前的出租价和出售价。</w:t>
      </w:r>
    </w:p>
    <w:p>
      <w:pPr>
        <w:numPr>
          <w:ilvl w:val="0"/>
          <w:numId w:val="2"/>
        </w:numPr>
        <w:jc w:val="left"/>
        <w:ind w:left="0"/>
        <w:ind w:firstLine="0"/>
      </w:pPr>
    </w:p>
    <w:p>
      <w:pPr>
        <w:widowControl/>
        <w:numPr>
          <w:ilvl w:val="0"/>
          <w:numId w:val="0"/>
        </w:numPr>
        <w:jc w:val="left"/>
        <w:rPr>
          <w:kern w:val="0"/>
          <w:lang w:val="en-US" w:eastAsia="zh-CN"/>
          <w:color w:val="333333"/>
          <w:rFonts w:ascii="微软雅黑" w:cs="Arial" w:eastAsia="微软雅黑" w:hAnsi="微软雅黑" w:hint="eastAsia"/>
          <w:sz w:val="24"/>
          <w:szCs w:val="24"/>
          <w:shd w:fill="FFFFFF" w:color="auto" w:val="clear"/>
        </w:rPr>
      </w:pPr>
      <w:r>
        <w:rPr>
          <w:color w:val="333333"/>
          <w:rFonts w:ascii="微软雅黑"/>
          <w:sz w:val="24"/>
          <w:shd w:fill="FFFFFF"/>
        </w:rPr>
        <w:t>具体信息如下：市场价120万元，面积150平方米，月租金1200元，假设：首付30%，最长贷款期30年，每年持有房子的物业费和其他费用为年租金的10%，银行商贷利率4.9%，购买税费为房价的5%</w:t>
      </w:r>
    </w:p>
    <w:p>
      <w:pPr>
        <w:numPr>
          <w:ilvl w:val="0"/>
          <w:numId w:val="0"/>
        </w:numPr>
        <w:jc w:val="left"/>
      </w:pPr>
      <w:r>
        <w:rPr>
          <w:color w:val="333333"/>
          <w:rFonts w:ascii="微软雅黑"/>
          <w:sz w:val="24"/>
          <w:shd w:fill="FFFFFF"/>
        </w:rPr>
        <w:t>售租比=出售价÷月租=120万÷0.12万=1000</w:t>
      </w:r>
    </w:p>
    <w:p>
      <w:pPr>
        <w:numPr>
          <w:ilvl w:val="0"/>
          <w:numId w:val="0"/>
        </w:numPr>
        <w:jc w:val="left"/>
      </w:pPr>
      <w:r>
        <w:rPr>
          <w:color w:val="333333"/>
          <w:rFonts w:ascii="微软雅黑"/>
          <w:sz w:val="24"/>
          <w:shd w:fill="FFFFFF"/>
        </w:rPr>
        <w:t>
</w:t>
      </w:r>
    </w:p>
    <w:p>
      <w:pPr>
        <w:numPr>
          <w:ilvl w:val="0"/>
          <w:numId w:val="0"/>
        </w:numPr>
        <w:jc w:val="left"/>
      </w:pPr>
      <w:r>
        <w:rPr>
          <w:color w:val="333333"/>
          <w:rFonts w:ascii="微软雅黑"/>
          <w:sz w:val="24"/>
          <w:shd w:fill="FFFFFF"/>
        </w:rPr>
        <w:t>结论：当中国房子的售租比大于540的时候，中国的房地产市场是有泡沫的，此时就是卖房的时候，这是从投资的角度去分析卖出，而不是自住房。至于房子是否需要卖出，还需要具体情况具体分析！</w:t>
      </w:r>
    </w:p>
    <w:p>
      <w:pPr>
        <w:numPr>
          <w:ilvl w:val="0"/>
          <w:numId w:val="1"/>
        </w:numPr>
        <w:jc w:val="both"/>
        <w:ind w:left="0"/>
        <w:ind w:firstLine="0"/>
        <w:rPr>
          <w:bCs/>
          <w:lang w:val="en-US" w:eastAsia="zh-CN"/>
          <w:b/>
          <w:rFonts w:ascii="微软雅黑" w:cs="微软雅黑" w:eastAsia="微软雅黑" w:hAnsi="微软雅黑" w:hint="default"/>
          <w:sz w:val="28"/>
          <w:szCs w:val="28"/>
        </w:rPr>
      </w:pPr>
      <w:r>
        <w:rPr>
          <w:bCs/>
          <w:lang w:val="en-US" w:eastAsia="zh-CN"/>
          <w:b/>
          <w:rFonts w:ascii="微软雅黑" w:cs="微软雅黑" w:eastAsia="微软雅黑" w:hAnsi="微软雅黑" w:hint="eastAsia"/>
          <w:sz w:val="28"/>
          <w:szCs w:val="28"/>
        </w:rPr>
        <w:t>总结本周重点知识并输出心得感悟！在上课当天发送到班级群。</w:t>
      </w:r>
    </w:p>
    <w:sectPr>
      <w:docGrid w:type="lines" w:linePitch="312" w:charSpace="0"/>
      <w:headerReference r:id="rId3" w:type="default"/>
      <w:footerReference r:id="rId4" w:type="default"/>
      <w:pgNumType w:fmt="decimal"/>
      <w:pgSz w:w="11906" w:h="16838"/>
      <w:pgMar w:left="1800" w:right="1800" w:top="1440" w:bottom="1440" w:header="907" w:footer="992" w:gutter="0"/>
      <w:cols w:num="1" w:space="425"/>
    </w:sectPr>
  </w:body>
</w:document>
</file>

<file path=word/fontTable.xml><?xml version="1.0" encoding="utf-8"?>
<w:font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34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DejaVu Sans">
    <w:altName w:val="Times New Roman"/>
    <w:panose1 w:val="02020603050405020304"/>
    <w:charset w:val="00"/>
    <w:family w:val="roman"/>
    <w:pitch w:val="default"/>
    <w:sig w:usb0="00000000" w:usb1="00000000" w:usb2="00000008" w:usb3="00000000" w:csb0="000001FF" w:csb1="00000000"/>
  </w:font>
  <w:font w:name="苹方-港">
    <w:altName w:val="Microsoft JhengHei UI Light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Microsoft JhengHei U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/>
  <w:font w:name="Cambria"/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0="urn:schemas-microsoft-com:office:word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multiLevelType w:val="singleLevel"/>
    <w:nsid w:val="CBE2E6D5"/>
    <w:tmpl w:val="CBE2E6D5"/>
    <w:lvl w:ilvl="0" w:tentative="0">
      <w:numFmt w:val="chineseCounting"/>
      <w:lvlText w:val="%1、"/>
      <w:start w:val="1"/>
      <w:rPr>
        <w:rFonts w:hint="eastAsia"/>
      </w:rPr>
      <w:suff w:val="nothing"/>
      <w:lvlJc w:val="left"/>
    </w:lvl>
  </w:abstractNum>
  <w:abstractNum w:abstractNumId="1">
    <w:multiLevelType w:val="singleLevel"/>
    <w:nsid w:val="0AD8C2FA"/>
    <w:tmpl w:val="0AD8C2FA"/>
    <w:lvl w:ilvl="0" w:tentative="0">
      <w:numFmt w:val="decimal"/>
      <w:lvlText w:val="%1、"/>
      <w:start w:val="1"/>
      <w:suff w:val="nothing"/>
      <w:lvlJc w:val="left"/>
    </w:lvl>
  </w:abstractNum>
  <w:abstractNum w:abstractNumId="10121982">
    <w:multiLevelType w:val="hybridMultilevel"/>
    <w:lvl w:ilvl="0">
      <w:numFmt w:val="bullet"/>
      <w:lvlText w:val=""/>
      <w:start w:val="0"/>
      <w:rPr>
        <w:rFonts w:ascii="Symbol" w:hAnsi="Symbol"/>
      </w:rPr>
      <w:pPr>
        <w:ind w:left="720"/>
        <w:ind w:hanging="360"/>
      </w:pPr>
    </w:lvl>
    <w:lvl w:ilvl="1">
      <w:numFmt w:val="bullet"/>
      <w:lvlText w:val="o"/>
      <w:start w:val="0"/>
      <w:rPr>
        <w:rFonts w:ascii="Courier New" w:hAnsi="Courier New"/>
      </w:rPr>
      <w:pPr>
        <w:ind w:left="1440"/>
        <w:ind w:hanging="1080"/>
      </w:pPr>
    </w:lvl>
    <w:lvl w:ilvl="2">
      <w:numFmt w:val="bullet"/>
      <w:lvlText w:val=""/>
      <w:start w:val="0"/>
      <w:rPr>
        <w:rFonts w:ascii="Wingdings" w:hAnsi="Wingdings"/>
      </w:rPr>
      <w:pPr>
        <w:ind w:left="2160"/>
        <w:ind w:hanging="1800"/>
      </w:pPr>
    </w:lvl>
    <w:lvl w:ilvl="3">
      <w:numFmt w:val="bullet"/>
      <w:lvlText w:val=""/>
      <w:start w:val="0"/>
      <w:rPr>
        <w:rFonts w:ascii="Symbol" w:hAnsi="Symbol"/>
      </w:rPr>
      <w:pPr>
        <w:ind w:left="2880"/>
        <w:ind w:hanging="2520"/>
      </w:pPr>
    </w:lvl>
    <w:lvl w:ilvl="4">
      <w:numFmt w:val="bullet"/>
      <w:lvlText w:val="o"/>
      <w:start w:val="0"/>
      <w:rPr>
        <w:rFonts w:ascii="Courier New" w:hAnsi="Courier New"/>
      </w:rPr>
      <w:pPr>
        <w:ind w:left="3600"/>
        <w:ind w:hanging="3240"/>
      </w:pPr>
    </w:lvl>
    <w:lvl w:ilvl="5">
      <w:numFmt w:val="bullet"/>
      <w:lvlText w:val=""/>
      <w:start w:val="0"/>
      <w:rPr>
        <w:rFonts w:ascii="Wingdings" w:hAnsi="Wingdings"/>
      </w:rPr>
      <w:pPr>
        <w:ind w:left="4320"/>
        <w:ind w:hanging="3960"/>
      </w:pPr>
    </w:lvl>
    <w:lvl w:ilvl="6">
      <w:numFmt w:val="bullet"/>
      <w:lvlText w:val=""/>
      <w:start w:val="0"/>
      <w:rPr>
        <w:rFonts w:ascii="Symbol" w:hAnsi="Symbol"/>
      </w:rPr>
      <w:pPr>
        <w:ind w:left="5040"/>
        <w:ind w:hanging="4680"/>
      </w:pPr>
    </w:lvl>
    <w:lvl w:ilvl="7">
      <w:numFmt w:val="bullet"/>
      <w:lvlText w:val="o"/>
      <w:start w:val="0"/>
      <w:rPr>
        <w:rFonts w:ascii="Courier New" w:hAnsi="Courier New"/>
      </w:rPr>
      <w:pPr>
        <w:ind w:left="5760"/>
        <w:ind w:hanging="5400"/>
      </w:pPr>
    </w:lvl>
    <w:lvl w:ilvl="8">
      <w:numFmt w:val="bullet"/>
      <w:lvlText w:val=""/>
      <w:start w:val="0"/>
      <w:rPr>
        <w:rFonts w:ascii="Wingdings" w:hAnsi="Wingdings"/>
      </w:rPr>
      <w:pPr>
        <w:ind w:left="6480"/>
        <w:ind w:hanging="6120"/>
      </w:pPr>
    </w:lvl>
  </w:abstractNum>
  <w:abstractNum w:abstractNumId="10121983">
    <w:multiLevelType w:val="hybridMultilevel"/>
    <w:lvl w:ilvl="0">
      <w:numFmt w:val="decimal"/>
      <w:lvlText w:val="%1."/>
      <w:start w:val="1"/>
      <w:pPr>
        <w:ind w:left="720"/>
        <w:ind w:hanging="360"/>
      </w:pPr>
    </w:lvl>
    <w:lvl w:ilvl="1">
      <w:numFmt w:val="decimal"/>
      <w:lvlText w:val="%2."/>
      <w:start w:val="1"/>
      <w:pPr>
        <w:ind w:left="1440"/>
        <w:ind w:hanging="1080"/>
      </w:pPr>
    </w:lvl>
    <w:lvl w:ilvl="2">
      <w:numFmt w:val="decimal"/>
      <w:lvlText w:val="%3."/>
      <w:start w:val="1"/>
      <w:pPr>
        <w:ind w:left="2160"/>
        <w:ind w:hanging="1980"/>
      </w:pPr>
    </w:lvl>
    <w:lvl w:ilvl="3">
      <w:numFmt w:val="decimal"/>
      <w:lvlText w:val="%4."/>
      <w:start w:val="1"/>
      <w:pPr>
        <w:ind w:left="2880"/>
        <w:ind w:hanging="2520"/>
      </w:pPr>
    </w:lvl>
    <w:lvl w:ilvl="4">
      <w:numFmt w:val="decimal"/>
      <w:lvlText w:val="%5."/>
      <w:start w:val="1"/>
      <w:pPr>
        <w:ind w:left="3600"/>
        <w:ind w:hanging="3240"/>
      </w:pPr>
    </w:lvl>
    <w:lvl w:ilvl="5">
      <w:numFmt w:val="decimal"/>
      <w:lvlText w:val="%6."/>
      <w:start w:val="1"/>
      <w:pPr>
        <w:ind w:left="4320"/>
        <w:ind w:hanging="4140"/>
      </w:pPr>
    </w:lvl>
    <w:lvl w:ilvl="6">
      <w:numFmt w:val="decimal"/>
      <w:lvlText w:val="%7."/>
      <w:start w:val="1"/>
      <w:pPr>
        <w:ind w:left="5040"/>
        <w:ind w:hanging="4680"/>
      </w:pPr>
    </w:lvl>
    <w:lvl w:ilvl="7">
      <w:numFmt w:val="decimal"/>
      <w:lvlText w:val="%8."/>
      <w:start w:val="1"/>
      <w:pPr>
        <w:ind w:left="5760"/>
        <w:ind w:hanging="5400"/>
      </w:pPr>
    </w:lvl>
    <w:lvl w:ilvl="8">
      <w:numFmt w:val="decimal"/>
      <w:lvlText w:val="%9."/>
      <w:start w:val="1"/>
      <w:pPr>
        <w:ind w:left="6480"/>
        <w:ind w:hanging="6300"/>
      </w:pPr>
    </w:lvl>
  </w:abstractNum>
  <w:num w:numId="1">
    <w:abstractNumId w:val="0"/>
  </w:num>
  <w:num w:numId="2">
    <w:abstractNumId w:val="1"/>
  </w:num>
  <w:num w:numId="10121982">
    <w:abstractNumId w:val="10121982"/>
  </w:num>
  <w:num w:numId="10121983">
    <w:abstractNumId w:val="10121983"/>
  </w:num>
</w:numbering>
</file>

<file path=word/settings.xml><?xml version="1.0" encoding="utf-8"?>
<w:setting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:rsids>
    <w:rsidRoot val="605DED8A"/>
    <w:rsid val="18FA5DCA"/>
    <w:rsid val="1AC12C0E"/>
    <w:rsid val="1C893B5B"/>
    <w:rsid val="1CD938E5"/>
    <w:rsid val="225C424D"/>
    <w:rsid val="250F6BB7"/>
    <w:rsid val="2A6755A5"/>
    <w:rsid val="3E535A5C"/>
    <w:rsid val="48DB7320"/>
    <w:rsid val="531E2671"/>
    <w:rsid val="53CA44F7"/>
    <w:rsid val="55D13883"/>
    <w:rsid val="5BF71CBF"/>
    <w:rsid val="5D071600"/>
    <w:rsid val="605DED8A"/>
    <w:rsid val="61C82A61"/>
    <w:rsid val="642F2BF6"/>
    <w:rsid val="6F5679A4"/>
    <w:rsid val="6FE07617"/>
    <w:rsid val="73D75ABA"/>
    <w:rsid val="771308E4"/>
    <w:rsid val="7AAF7DBA"/>
    <w:rsid val="7B2D459A"/>
    <w:rsid val="7BBC5F40"/>
    <w:rsid val="7FB17C31"/>
    <w:rsid val="DFFDA70F"/>
    <w:rsid val="FBED7108"/>
  </w:rsids>
</w:settings>
</file>

<file path=word/styles.xml><?xml version="1.0" encoding="utf-8"?>
<w:styles xmlns:a="http://schemas.openxmlformats.org/drawingml/2006/main" xmlns:c="http://schemas.openxmlformats.org/drawingml/2006/chart" xmlns:dgm="http://schemas.openxmlformats.org/drawingml/2006/diagram" xmlns:lc="http://schemas.openxmlformats.org/drawingml/2006/lockedCanvas"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pic="http://schemas.openxmlformats.org/drawingml/2006/pictur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docDefaults>
    <w:rPrDefault>
      <w:rPr>
        <w:rFonts w:ascii="Times New Roman" w:cs="Times New Roman" w:eastAsia="宋体" w:hAnsi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lang w:val="en-US" w:eastAsia="zh-CN" w:bidi="ar-SA"/>
      <w:rFonts w:ascii="Calibri" w:hAnsiTheme="minorHAnsi" w:eastAsiaTheme="minorEastAsia" w:cstheme="minorBidi"/>
      <w:sz w:val="21"/>
      <w:szCs w:val="24"/>
    </w:rPr>
  </w:style>
  <w:style w:type="character" w:default="1" w:styleId="5">
    <w:name w:val="Default Paragraph Font"/>
    <w:qFormat/>
    <w:semiHidden/>
    <w:uiPriority w:val="0"/>
  </w:style>
  <w:style w:type="table" w:default="1" w:styleId="4">
    <w:name w:val="Normal Table"/>
    <w:qFormat/>
    <w:tblPr>
      <w:tblCellMar>
        <w:top w:w="0" w:type="dxa"/>
        <w:left w:w="108" w:type="dxa"/>
        <w:bottom w:w="0" w:type="dxa"/>
        <w:right w:w="108" w:type="dxa"/>
      </w:tblCellMar>
    </w:tblPr>
    <w:semiHidden/>
    <w:uiPriority w:val="0"/>
  </w:style>
  <w:style w:type="paragraph" w:styleId="2">
    <w:name w:val="footer"/>
    <w:qFormat/>
    <w:basedOn w:val="1"/>
    <w:uiPriority w:val="0"/>
    <w:pPr>
      <w:snapToGrid w:val="0"/>
      <w:jc w:val="left"/>
      <w:tabs>
        <w:tab w:val="center" w:pos="4153"/>
        <w:tab w:val="right" w:pos="8306"/>
      </w:tabs>
    </w:pPr>
    <w:rPr>
      <w:sz w:val="18"/>
    </w:rPr>
  </w:style>
  <w:style w:type="paragraph" w:styleId="3">
    <w:name w:val="header"/>
    <w:qFormat/>
    <w:basedOn w:val="1"/>
    <w:uiPriority w:val="0"/>
    <w:pPr>
      <w:snapToGrid w:val="0"/>
      <w:outlineLvl w:val="9"/>
      <w:pBdr>
        <w:top w:val="nil" w:sz="0" w:color="auto" w:space="1"/>
        <w:bottom w:val="nil" w:sz="0" w:color="auto" w:space="1"/>
        <w:left w:val="nil" w:sz="0" w:color="auto" w:space="4"/>
        <w:right w:val="nil" w:sz="0" w:color="auto" w:space="4"/>
      </w:pBdr>
      <w:jc w:val="both"/>
      <w:spacing w:line="240" w:lineRule="auto"/>
      <w:tabs>
        <w:tab w:val="center" w:pos="4153"/>
        <w:tab w:val="right" w:pos="8306"/>
      </w:tabs>
    </w:pPr>
    <w:rPr>
      <w:rFonts w:ascii="DejaVu Sans" w:hAnsi="DejaVu Sans"/>
      <w:sz w:val="18"/>
    </w:rPr>
  </w:style>
  <w:style w:type="paragraph" w:styleId="Normal">
    <w:name w:val="Normal"/>
  </w:style>
  <w:style w:type="paragraph" w:styleId="Title">
    <w:name w:val="Title"/>
    <w:basedOn w:val="Normal"/>
    <w:pPr>
      <w:spacing w:after="300"/>
    </w:pPr>
    <w:rPr>
      <w:color w:val="17365D"/>
      <w:sz w:val="52"/>
    </w:rPr>
  </w:style>
  <w:style w:type="paragraph" w:styleId="Subtitle">
    <w:name w:val="Subtitle"/>
    <w:basedOn w:val="Normal"/>
    <w:rPr>
      <w:i/>
      <w:color w:val="4F81BD"/>
      <w:sz w:val="24"/>
    </w:rPr>
  </w:style>
  <w:style w:type="paragraph" w:styleId="Heading1">
    <w:name w:val="Heading 1"/>
    <w:basedOn w:val="Normal"/>
    <w:pPr>
      <w:spacing w:before="480"/>
    </w:pPr>
    <w:rPr>
      <w:b/>
      <w:color w:val="345A8A"/>
      <w:sz w:val="32"/>
    </w:rPr>
  </w:style>
  <w:style w:type="paragraph" w:styleId="Heading2">
    <w:name w:val="Heading 2"/>
    <w:basedOn w:val="Normal"/>
    <w:pPr>
      <w:spacing w:before="200"/>
    </w:pPr>
    <w:rPr>
      <w:b/>
      <w:color w:val="4F81BD"/>
      <w:sz w:val="26"/>
    </w:rPr>
  </w:style>
  <w:style w:type="paragraph" w:styleId="Heading3">
    <w:name w:val="Heading 3"/>
    <w:basedOn w:val="Normal"/>
    <w:pPr>
      <w:spacing w:before="200"/>
    </w:pPr>
    <w:rPr>
      <w:b/>
      <w:color w:val="4F81BD"/>
      <w:sz w:val="24"/>
    </w:rPr>
  </w:style>
</w:styles>
</file>

<file path=word/_rels/document.xml.rels><?xml version="1.0" encoding="UTF-8" standalone="yes"?>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Relationship Id="rId15" Type="http://schemas.openxmlformats.org/officeDocument/2006/relationships/image" Target="media/image5.png"/><Relationship Id="rId16" Type="http://schemas.openxmlformats.org/officeDocument/2006/relationships/image" Target="media/image4.png"/><Relationship Id="rId17" Type="http://schemas.openxmlformats.org/officeDocument/2006/relationships/image" Target="media/image3.png"/><Relationship Id="rId18" Type="http://schemas.openxmlformats.org/officeDocument/2006/relationships/image" Target="media/image2.png"/><Relationship Id="rId19" Type="http://schemas.openxmlformats.org/officeDocument/2006/relationships/image" Target="media/image7.jpeg"/><Relationship Id="rId20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2020-07-17T07:10:00Z</dcterms:created>
  <dc:creator>sheji</dc:creator>
  <cp:lastModifiedBy>微淼</cp:lastModifiedBy>
  <dcterms:modified xsi:type="dcterms:W3CDTF">2020-09-08T06:30:18Z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