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drawing>
          <wp:inline distT="0" distB="0" distL="114300" distR="114300">
            <wp:extent cx="1596390" cy="3549015"/>
            <wp:effectExtent l="0" t="0" r="3810" b="13335"/>
            <wp:docPr id="6" name="图片 6" descr="6c875cab835642ecba4acec9b52f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c875cab835642ecba4acec9b52f10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drawing>
          <wp:inline distT="0" distB="0" distL="114300" distR="114300">
            <wp:extent cx="1612900" cy="3585845"/>
            <wp:effectExtent l="0" t="0" r="6350" b="14605"/>
            <wp:docPr id="11" name="图片 11" descr="bd60e6ddb970f34f21b42dcd993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d60e6ddb970f34f21b42dcd99313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pStyle w:val="7"/>
        <w:numPr>
          <w:numId w:val="0"/>
        </w:numPr>
        <w:shd w:val="clear" w:color="000000" w:fill="FFFFFF"/>
        <w:spacing w:line="288" w:lineRule="atLeast"/>
        <w:jc w:val="left"/>
      </w:pPr>
      <w:r>
        <w:drawing>
          <wp:inline distT="0" distB="0" distL="114300" distR="114300">
            <wp:extent cx="5264150" cy="1644015"/>
            <wp:effectExtent l="0" t="0" r="1270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hd w:val="clear" w:color="000000" w:fill="FFFFFF"/>
        <w:spacing w:line="288" w:lineRule="atLeast"/>
        <w:jc w:val="left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>第三步、计算转股价值</w:t>
      </w:r>
    </w:p>
    <w:p>
      <w:pPr>
        <w:rPr>
          <w:rFonts w:ascii="微软雅黑" w:hAnsi="微软雅黑" w:eastAsia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 xml:space="preserve">① </w:t>
      </w:r>
      <w:r>
        <w:rPr>
          <w:rFonts w:hint="eastAsia" w:ascii="微软雅黑" w:hAnsi="微软雅黑" w:eastAsia="微软雅黑"/>
          <w:b/>
          <w:bCs/>
          <w:sz w:val="24"/>
          <w:szCs w:val="32"/>
        </w:rPr>
        <w:t>转股价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转股价即可转债转成股票所支付的股票价格，比如转股价为2元，即可转债可按照每股2元的价格买入股票。一般来说，可转债的面值为1</w:t>
      </w:r>
      <w:r>
        <w:rPr>
          <w:rFonts w:ascii="微软雅黑" w:hAnsi="微软雅黑" w:eastAsia="微软雅黑"/>
        </w:rPr>
        <w:t>00</w:t>
      </w:r>
      <w:r>
        <w:rPr>
          <w:rFonts w:hint="eastAsia" w:ascii="微软雅黑" w:hAnsi="微软雅黑" w:eastAsia="微软雅黑"/>
        </w:rPr>
        <w:t>，即一张可转债可转换成5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股股票。</w:t>
      </w:r>
    </w:p>
    <w:p>
      <w:pPr>
        <w:rPr>
          <w:rFonts w:ascii="微软雅黑" w:hAnsi="微软雅黑" w:eastAsia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/>
          <w:b/>
          <w:bCs/>
          <w:sz w:val="24"/>
          <w:szCs w:val="32"/>
        </w:rPr>
        <w:t>转股价值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即</w:t>
      </w:r>
      <w:r>
        <w:rPr>
          <w:rFonts w:hint="eastAsia" w:ascii="微软雅黑" w:hAnsi="微软雅黑" w:eastAsia="微软雅黑"/>
        </w:rPr>
        <w:t>转股数量</w:t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× </w:t>
      </w:r>
      <w:r>
        <w:rPr>
          <w:rFonts w:hint="eastAsia" w:ascii="微软雅黑" w:hAnsi="微软雅黑" w:eastAsia="微软雅黑"/>
        </w:rPr>
        <w:t>股票现价，比如转股价为2元，即可转债可按照每股2元的价格买入股票。一般来说，可转债的面值为1</w:t>
      </w:r>
      <w:r>
        <w:rPr>
          <w:rFonts w:ascii="微软雅黑" w:hAnsi="微软雅黑" w:eastAsia="微软雅黑"/>
        </w:rPr>
        <w:t>00</w:t>
      </w:r>
      <w:r>
        <w:rPr>
          <w:rFonts w:hint="eastAsia" w:ascii="微软雅黑" w:hAnsi="微软雅黑" w:eastAsia="微软雅黑"/>
        </w:rPr>
        <w:t>，即一张可转债可转换成5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股股票。假设股票现价为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元，则转股价值为1</w:t>
      </w:r>
      <w:r>
        <w:rPr>
          <w:rFonts w:ascii="微软雅黑" w:hAnsi="微软雅黑" w:eastAsia="微软雅黑"/>
        </w:rPr>
        <w:t>50</w:t>
      </w:r>
      <w:r>
        <w:rPr>
          <w:rFonts w:hint="eastAsia" w:ascii="微软雅黑" w:hAnsi="微软雅黑" w:eastAsia="微软雅黑"/>
        </w:rPr>
        <w:t>元。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公式：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×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上述情况中，</w:t>
      </w:r>
      <w:r>
        <w:rPr>
          <w:rFonts w:hint="eastAsia" w:ascii="微软雅黑" w:hAnsi="微软雅黑" w:eastAsia="微软雅黑"/>
        </w:rPr>
        <w:t>可转债的价格如果低于150元，则出现套利空间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</w:rPr>
        <w:t>即买入可转债转股，</w:t>
      </w:r>
      <w:r>
        <w:rPr>
          <w:rFonts w:hint="eastAsia" w:ascii="微软雅黑" w:hAnsi="微软雅黑" w:eastAsia="微软雅黑"/>
          <w:lang w:val="en-US" w:eastAsia="zh-CN"/>
        </w:rPr>
        <w:t>转成股票后，第二天</w:t>
      </w:r>
      <w:r>
        <w:rPr>
          <w:rFonts w:hint="eastAsia" w:ascii="微软雅黑" w:hAnsi="微软雅黑" w:eastAsia="微软雅黑"/>
        </w:rPr>
        <w:t>卖出股票后可获得150元。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市场对于股票长期看好，那么可转债的价格可能高于转股价值，因为买入可转债相较于买入股票风险更小。甚至是股票连续涨停的时候，可转债的价格可能会大幅高于转股价值，因为股票涨停就买不到股票了，但可转债</w:t>
      </w:r>
      <w:r>
        <w:rPr>
          <w:rFonts w:hint="eastAsia" w:ascii="微软雅黑" w:hAnsi="微软雅黑" w:eastAsia="微软雅黑"/>
          <w:lang w:val="en-US" w:eastAsia="zh-CN"/>
        </w:rPr>
        <w:t>可以</w:t>
      </w:r>
      <w:r>
        <w:rPr>
          <w:rFonts w:hint="eastAsia" w:ascii="微软雅黑" w:hAnsi="微软雅黑" w:eastAsia="微软雅黑"/>
        </w:rPr>
        <w:t>，所以大家会买入可转债。</w:t>
      </w: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4328160" cy="2901950"/>
            <wp:effectExtent l="0" t="0" r="15240" b="1270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亚太转债转股价=16.25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正价股价格=5.26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亚药转债的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转股价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正股价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=100÷16.25×5.26=32.37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套利方法3个关键要素：100元以下买入、处在转股期内、优质可转债。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亚药转债现在100以下，处于转股期内，前两条都符合关键要素。怎么判断亚太药业这家公司是不是优质的可转债呢？通过上市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公司的三大财务报表我们就能很容易的判断出来。想用好这种套利方法的就一定要好好的学习后面的财务报表分析。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苹方-港">
    <w:altName w:val="Microsoft JhengHei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ADBBA"/>
    <w:multiLevelType w:val="singleLevel"/>
    <w:tmpl w:val="0DAADBB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FCB215A"/>
    <w:multiLevelType w:val="singleLevel"/>
    <w:tmpl w:val="7FCB215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23002A1"/>
    <w:rsid w:val="157E773C"/>
    <w:rsid w:val="16B80D27"/>
    <w:rsid w:val="17717A9A"/>
    <w:rsid w:val="1CD938E5"/>
    <w:rsid w:val="1CF44376"/>
    <w:rsid w:val="1D311EEC"/>
    <w:rsid w:val="235D6EC5"/>
    <w:rsid w:val="2F143448"/>
    <w:rsid w:val="365B5B71"/>
    <w:rsid w:val="3AE37208"/>
    <w:rsid w:val="41891361"/>
    <w:rsid w:val="4CBC5DAF"/>
    <w:rsid w:val="515F797A"/>
    <w:rsid w:val="578EC580"/>
    <w:rsid w:val="5C6F1463"/>
    <w:rsid w:val="605DED8A"/>
    <w:rsid w:val="6491667C"/>
    <w:rsid w:val="67CD0445"/>
    <w:rsid w:val="690325EE"/>
    <w:rsid w:val="6B4D6D3E"/>
    <w:rsid w:val="6CCC1FDF"/>
    <w:rsid w:val="6FE07617"/>
    <w:rsid w:val="716F9C85"/>
    <w:rsid w:val="7BBC5F40"/>
    <w:rsid w:val="7C7DF19C"/>
    <w:rsid w:val="BFFF3B33"/>
    <w:rsid w:val="DD577455"/>
    <w:rsid w:val="DFFDA70F"/>
    <w:rsid w:val="F1FB1E94"/>
    <w:rsid w:val="FADBCB11"/>
    <w:rsid w:val="FBED7108"/>
    <w:rsid w:val="FD1FD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Administrator</cp:lastModifiedBy>
  <dcterms:modified xsi:type="dcterms:W3CDTF">2020-10-13T02:48:21Z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