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eastAsia="宋体" w:hint="eastAsia"/>
          <w:b/>
          <w:bCs/>
          <w:sz w:val="32"/>
          <w:szCs w:val="32"/>
          <w:lang w:val="en-US" w:eastAsia="zh-CN"/>
        </w:rPr>
      </w:pPr>
      <w:r>
        <w:rPr>
          <w:rFonts w:eastAsia="宋体" w:hint="eastAsia"/>
          <w:b/>
          <w:bCs/>
          <w:sz w:val="32"/>
          <w:szCs w:val="32"/>
          <w:lang w:val="en-US" w:eastAsia="zh-CN"/>
        </w:rPr>
        <w:t>第八周作业</w:t>
      </w:r>
    </w:p>
    <w:p>
      <w:pPr>
        <w:pStyle w:val="style0"/>
        <w:numPr>
          <w:ilvl w:val="0"/>
          <w:numId w:val="0"/>
        </w:numPr>
        <w:jc w:val="both"/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  <w:t>一、学习思维导图</w:t>
      </w:r>
    </w:p>
    <w:p>
      <w:pPr>
        <w:pStyle w:val="style0"/>
        <w:keepNext w:val="false"/>
        <w:keepLines w:val="false"/>
        <w:pageBreakBefore w:val="false"/>
        <w:widowControl/>
        <w:suppressLineNumbers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480"/>
        <w:jc w:val="left"/>
        <w:textAlignment w:val="auto"/>
        <w:rPr>
          <w:rFonts w:ascii="微软雅黑" w:cs="微软雅黑" w:eastAsia="微软雅黑" w:hAnsi="微软雅黑" w:hint="default"/>
          <w:color w:val="0f3bf9"/>
          <w:kern w:val="0"/>
          <w:sz w:val="24"/>
          <w:szCs w:val="24"/>
          <w:lang w:val="en-US" w:eastAsia="zh-CN"/>
        </w:rPr>
      </w:pPr>
      <w:r>
        <w:rPr>
          <w:rFonts w:ascii="微软雅黑" w:cs="微软雅黑" w:eastAsia="微软雅黑" w:hAnsi="微软雅黑" w:hint="eastAsia"/>
          <w:color w:val="0f3bf9"/>
          <w:kern w:val="0"/>
          <w:sz w:val="24"/>
          <w:szCs w:val="24"/>
          <w:lang w:val="en-US" w:eastAsia="zh-CN"/>
        </w:rPr>
        <w:t>说明：这份思维导图可以作为一份学习指导，里面包含本周的重点内容！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ind w:left="0" w:leftChars="-695" w:hanging="1459" w:hangingChars="695"/>
        <w:jc w:val="left"/>
        <w:rPr/>
      </w:pPr>
      <w:r>
        <w:rPr/>
        <w:drawing>
          <wp:inline distL="0" distT="0" distB="0" distR="0">
            <wp:extent cx="7200265" cy="6304915"/>
            <wp:effectExtent l="0" t="0" r="8255" b="4445"/>
            <wp:docPr id="1026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00265" cy="63049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ind w:left="0" w:leftChars="-695" w:hanging="1459" w:hangingChars="695"/>
        <w:jc w:val="left"/>
        <w:rPr/>
      </w:pPr>
      <w:r>
        <w:rPr/>
        <w:drawing>
          <wp:inline distL="0" distT="0" distB="0" distR="0">
            <wp:extent cx="7200265" cy="837564"/>
            <wp:effectExtent l="0" t="0" r="8255" b="635"/>
            <wp:docPr id="1027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3" cstate="print"/>
                    <a:srcRect l="0" t="0" r="0" b="79375"/>
                    <a:stretch/>
                  </pic:blipFill>
                  <pic:spPr>
                    <a:xfrm rot="0">
                      <a:off x="0" y="0"/>
                      <a:ext cx="7200265" cy="8375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ind w:left="0" w:leftChars="-695" w:hanging="1459" w:hangingChars="695"/>
        <w:jc w:val="left"/>
        <w:rPr/>
      </w:pPr>
      <w:r>
        <w:rPr/>
        <w:drawing>
          <wp:inline distL="0" distT="0" distB="0" distR="0">
            <wp:extent cx="7200265" cy="3207385"/>
            <wp:effectExtent l="0" t="0" r="8255" b="8255"/>
            <wp:docPr id="1028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3" cstate="print"/>
                    <a:srcRect l="0" t="21016" r="0" b="0"/>
                    <a:stretch/>
                  </pic:blipFill>
                  <pic:spPr>
                    <a:xfrm rot="0">
                      <a:off x="0" y="0"/>
                      <a:ext cx="7200265" cy="32073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ind w:left="0" w:leftChars="-695" w:hanging="1459" w:hangingChars="695"/>
        <w:jc w:val="left"/>
        <w:rPr/>
      </w:pPr>
      <w:r>
        <w:rPr/>
        <w:drawing>
          <wp:inline distL="0" distT="0" distB="0" distR="0">
            <wp:extent cx="7164070" cy="5364480"/>
            <wp:effectExtent l="0" t="0" r="13970" b="0"/>
            <wp:docPr id="1029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/>
                  </pic:nvPicPr>
                  <pic:blipFill>
                    <a:blip r:embed="rId4" cstate="print"/>
                    <a:srcRect l="0" t="701" r="0" b="140"/>
                    <a:stretch/>
                  </pic:blipFill>
                  <pic:spPr>
                    <a:xfrm rot="0">
                      <a:off x="0" y="0"/>
                      <a:ext cx="7164070" cy="53644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ind w:left="0" w:leftChars="-695" w:hanging="1459" w:hangingChars="695"/>
        <w:jc w:val="left"/>
        <w:rPr/>
      </w:pPr>
      <w:r>
        <w:rPr/>
        <w:drawing>
          <wp:inline distL="0" distT="0" distB="0" distR="0">
            <wp:extent cx="7200265" cy="4756785"/>
            <wp:effectExtent l="0" t="0" r="8255" b="13334"/>
            <wp:docPr id="1030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00265" cy="47567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ind w:left="0" w:leftChars="-695" w:hanging="1459" w:hangingChars="695"/>
        <w:jc w:val="left"/>
        <w:rPr/>
      </w:pPr>
      <w:r>
        <w:rPr/>
        <w:drawing>
          <wp:inline distL="0" distT="0" distB="0" distR="0">
            <wp:extent cx="7200265" cy="2496820"/>
            <wp:effectExtent l="0" t="0" r="8255" b="2540"/>
            <wp:docPr id="1031" name="图片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/>
                  </pic:nvPicPr>
                  <pic:blipFill>
                    <a:blip r:embed="rId6" cstate="print"/>
                    <a:srcRect l="0" t="128" r="0" b="57899"/>
                    <a:stretch/>
                  </pic:blipFill>
                  <pic:spPr>
                    <a:xfrm rot="0">
                      <a:off x="0" y="0"/>
                      <a:ext cx="7200265" cy="24968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bookmarkEnd w:id="0"/>
    <w:p>
      <w:pPr>
        <w:pStyle w:val="style0"/>
        <w:numPr>
          <w:ilvl w:val="0"/>
          <w:numId w:val="0"/>
        </w:numPr>
        <w:jc w:val="both"/>
        <w:rPr/>
      </w:pPr>
    </w:p>
    <w:p>
      <w:pPr>
        <w:pStyle w:val="style0"/>
        <w:numPr>
          <w:ilvl w:val="0"/>
          <w:numId w:val="0"/>
        </w:numPr>
        <w:ind w:left="0" w:leftChars="-695" w:hanging="1459" w:hangingChars="695"/>
        <w:jc w:val="both"/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</w:pPr>
      <w:r>
        <w:rPr/>
        <w:drawing>
          <wp:inline distL="0" distT="0" distB="0" distR="0">
            <wp:extent cx="7200265" cy="3487420"/>
            <wp:effectExtent l="0" t="0" r="8255" b="2540"/>
            <wp:docPr id="1032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/>
                  </pic:nvPicPr>
                  <pic:blipFill>
                    <a:blip r:embed="rId6" cstate="print"/>
                    <a:srcRect l="0" t="41375" r="0" b="0"/>
                    <a:stretch/>
                  </pic:blipFill>
                  <pic:spPr>
                    <a:xfrm rot="0">
                      <a:off x="0" y="0"/>
                      <a:ext cx="7200265" cy="34874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both"/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</w:pPr>
    </w:p>
    <w:p>
      <w:pPr>
        <w:pStyle w:val="style0"/>
        <w:numPr>
          <w:ilvl w:val="0"/>
          <w:numId w:val="0"/>
        </w:numPr>
        <w:jc w:val="both"/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  <w:t>二、作业题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</w:pP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1、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</w:rPr>
        <w:t>通过自己的证券账户至少交易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一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</w:rPr>
        <w:t>笔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深交所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</w:rPr>
        <w:t>国债逆回购（131810或131811）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，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并将两只上交所的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</w:rPr>
        <w:t>货币基金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，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</w:rPr>
        <w:t>建信添益（511660）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、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</w:rPr>
        <w:t>华宝添益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（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511990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）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放入股票自选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。【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】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</w:pPr>
      <w:r>
        <w:rPr/>
        <w:drawing>
          <wp:inline distL="114300" distT="0" distB="0" distR="114300">
            <wp:extent cx="2628900" cy="554990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5499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5549900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554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</w:pP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</w:pP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2、根据视频课程中可转债的套利三要素，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</w:rPr>
        <w:t>100元以下买入、处在转股期内、优质可转债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eastAsia="zh-CN"/>
        </w:rPr>
        <w:t>。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任选一只符合标准的可转债，查询它的转股起始日期，并计算它的转股价值。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cs="微软雅黑" w:hAnsi="微软雅黑" w:hint="eastAsia"/>
          <w:color w:val="auto"/>
          <w:sz w:val="24"/>
          <w:szCs w:val="24"/>
          <w:lang w:val="en-US" w:eastAsia="zh-CN"/>
        </w:rPr>
      </w:pPr>
      <w:r>
        <w:rPr>
          <w:rFonts w:cs="微软雅黑" w:eastAsia="微软雅黑" w:hAnsi="微软雅黑" w:hint="default"/>
          <w:color w:val="auto"/>
          <w:sz w:val="24"/>
          <w:szCs w:val="24"/>
          <w:lang w:val="en-US" w:eastAsia="zh-CN"/>
        </w:rPr>
        <w:t>①</w:t>
      </w:r>
      <w:r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  <w:t>维格转债的转股起始日</w:t>
      </w:r>
      <w:r>
        <w:rPr>
          <w:rFonts w:cs="微软雅黑" w:eastAsia="微软雅黑" w:hAnsi="微软雅黑" w:hint="default"/>
          <w:color w:val="auto"/>
          <w:sz w:val="24"/>
          <w:szCs w:val="24"/>
          <w:lang w:val="en-US" w:eastAsia="zh-CN"/>
        </w:rPr>
        <w:t>2019.7.30</w:t>
      </w:r>
      <w:r>
        <w:rPr>
          <w:rFonts w:cs="微软雅黑" w:hAnsi="微软雅黑" w:hint="eastAsia"/>
          <w:color w:val="auto"/>
          <w:sz w:val="24"/>
          <w:szCs w:val="24"/>
          <w:lang w:val="en-US" w:eastAsia="zh-CN"/>
        </w:rPr>
        <w:t>已在转股期内，价格</w:t>
      </w:r>
      <w:r>
        <w:rPr>
          <w:rFonts w:cs="微软雅黑" w:hAnsi="微软雅黑" w:hint="default"/>
          <w:color w:val="auto"/>
          <w:sz w:val="24"/>
          <w:szCs w:val="24"/>
          <w:lang w:val="en-US" w:eastAsia="zh-CN"/>
        </w:rPr>
        <w:t>90.910</w:t>
      </w:r>
      <w:r>
        <w:rPr>
          <w:rFonts w:cs="微软雅黑" w:hAnsi="微软雅黑" w:hint="eastAsia"/>
          <w:color w:val="auto"/>
          <w:sz w:val="24"/>
          <w:szCs w:val="24"/>
          <w:lang w:val="en-US" w:eastAsia="zh-CN"/>
        </w:rPr>
        <w:t>远低于发行面值</w:t>
      </w:r>
      <w:r>
        <w:rPr>
          <w:rFonts w:cs="微软雅黑" w:hAnsi="微软雅黑" w:hint="default"/>
          <w:color w:val="auto"/>
          <w:sz w:val="24"/>
          <w:szCs w:val="24"/>
          <w:lang w:val="en-US" w:eastAsia="zh-CN"/>
        </w:rPr>
        <w:t>100</w:t>
      </w:r>
      <w:r>
        <w:rPr>
          <w:rFonts w:cs="微软雅黑" w:hAnsi="微软雅黑" w:hint="eastAsia"/>
          <w:color w:val="auto"/>
          <w:sz w:val="24"/>
          <w:szCs w:val="24"/>
          <w:lang w:val="en-US" w:eastAsia="zh-CN"/>
        </w:rPr>
        <w:t>，是否符合优质可转债，还要分析对应的正股锦泓集团的财报。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cs="微软雅黑" w:hAnsi="微软雅黑" w:hint="eastAsia"/>
          <w:color w:val="auto"/>
          <w:sz w:val="24"/>
          <w:szCs w:val="24"/>
          <w:lang w:val="en-US" w:eastAsia="zh-CN"/>
        </w:rPr>
      </w:pP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cs="微软雅黑" w:hAnsi="微软雅黑" w:hint="default"/>
          <w:color w:val="auto"/>
          <w:sz w:val="24"/>
          <w:szCs w:val="24"/>
          <w:lang w:val="en-US" w:eastAsia="zh-CN"/>
        </w:rPr>
      </w:pPr>
      <w:r>
        <w:rPr>
          <w:rFonts w:cs="微软雅黑" w:hAnsi="微软雅黑" w:hint="default"/>
          <w:color w:val="auto"/>
          <w:sz w:val="24"/>
          <w:szCs w:val="24"/>
          <w:lang w:val="en-US" w:eastAsia="zh-CN"/>
        </w:rPr>
        <w:t>②维格转债的转股价值计算：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cs="微软雅黑" w:hAnsi="微软雅黑" w:hint="default"/>
          <w:color w:val="auto"/>
          <w:sz w:val="24"/>
          <w:szCs w:val="24"/>
          <w:lang w:val="en-US" w:eastAsia="zh-CN"/>
        </w:rPr>
      </w:pPr>
      <w:r>
        <w:rPr>
          <w:rFonts w:cs="微软雅黑" w:hAnsi="微软雅黑" w:hint="default"/>
          <w:color w:val="auto"/>
          <w:sz w:val="24"/>
          <w:szCs w:val="24"/>
          <w:lang w:val="en-US" w:eastAsia="zh-CN"/>
        </w:rPr>
        <w:t>转股价值＝面值100÷转股价×正股价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cs="微软雅黑" w:hAnsi="微软雅黑" w:hint="eastAsia"/>
          <w:color w:val="auto"/>
          <w:sz w:val="24"/>
          <w:szCs w:val="24"/>
          <w:lang w:val="en-US" w:eastAsia="zh-CN"/>
        </w:rPr>
      </w:pPr>
      <w:r>
        <w:rPr>
          <w:rFonts w:cs="微软雅黑" w:hAnsi="微软雅黑" w:hint="default"/>
          <w:color w:val="auto"/>
          <w:sz w:val="24"/>
          <w:szCs w:val="24"/>
          <w:lang w:val="en-US" w:eastAsia="zh-CN"/>
        </w:rPr>
        <w:t>＝100÷9.85×6.73＝68.32元</w:t>
      </w: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</w:pPr>
    </w:p>
    <w:p>
      <w:pPr>
        <w:pStyle w:val="style4097"/>
        <w:numPr>
          <w:ilvl w:val="0"/>
          <w:numId w:val="0"/>
        </w:numPr>
        <w:shd w:val="clear" w:color="000000" w:fill="ffffff"/>
        <w:spacing w:lineRule="atLeast" w:line="288"/>
        <w:jc w:val="left"/>
        <w:rPr>
          <w:rFonts w:ascii="微软雅黑" w:cs="微软雅黑" w:eastAsia="微软雅黑" w:hAnsi="微软雅黑" w:hint="eastAsia"/>
          <w:color w:val="auto"/>
          <w:sz w:val="24"/>
          <w:szCs w:val="24"/>
          <w:lang w:val="en-US" w:eastAsia="zh-CN"/>
        </w:rPr>
      </w:pPr>
    </w:p>
    <w:p>
      <w:pPr>
        <w:pStyle w:val="style0"/>
        <w:rPr>
          <w:rFonts w:eastAsia="宋体" w:hint="eastAsia"/>
          <w:lang w:val="en-US" w:eastAsia="zh-CN"/>
        </w:rPr>
      </w:pPr>
      <w:r>
        <w:rPr/>
        <w:drawing>
          <wp:inline distL="114300" distT="0" distB="0" distR="114300">
            <wp:extent cx="3779746" cy="7979466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79746" cy="7979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numPr>
          <w:ilvl w:val="0"/>
          <w:numId w:val="0"/>
        </w:numPr>
        <w:ind w:leftChars="0"/>
        <w:jc w:val="both"/>
        <w:rPr>
          <w:rFonts w:ascii="微软雅黑" w:cs="微软雅黑" w:eastAsia="微软雅黑" w:hAnsi="微软雅黑" w:hint="default"/>
          <w:b/>
          <w:bCs/>
          <w:sz w:val="28"/>
          <w:szCs w:val="28"/>
          <w:lang w:val="en-US" w:eastAsia="zh-CN"/>
        </w:rPr>
      </w:pPr>
      <w:r>
        <w:rPr>
          <w:rFonts w:ascii="微软雅黑" w:cs="微软雅黑" w:eastAsia="微软雅黑" w:hAnsi="微软雅黑" w:hint="eastAsia"/>
          <w:b/>
          <w:bCs/>
          <w:sz w:val="28"/>
          <w:szCs w:val="28"/>
          <w:lang w:val="en-US" w:eastAsia="zh-CN"/>
        </w:rPr>
        <w:t>三、总结本周重点知识并输出心得感悟！在上课当天发送到班级群。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headerReference w:type="default" r:id="rId10"/>
      <w:footerReference w:type="default" r:id="rId11"/>
      <w:pgSz w:w="11906" w:h="16838" w:orient="portrait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1010101"/>
    <w:charset w:val="34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2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  <w:font w:name="微软雅黑">
    <w:altName w:val="微软雅黑"/>
    <w:panose1 w:val="020b0503020002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004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altName w:val="Microsoft JhengHei UI Light"/>
    <w:panose1 w:val="020b0304030005040204"/>
    <w:charset w:val="88"/>
    <w:family w:val="auto"/>
    <w:pitch w:val="default"/>
    <w:sig w:usb0="800002A7" w:usb1="28CF4400" w:usb2="00000016" w:usb3="00000000" w:csb0="00100009" w:csb1="00000000"/>
  </w:font>
  <w:font w:name="Tahoma">
    <w:altName w:val="Tahoma"/>
    <w:panose1 w:val="020b0604030005040204"/>
    <w:charset w:val="00"/>
    <w:family w:val="auto"/>
    <w:pitch w:val="default"/>
    <w:sig w:usb0="E1002EFF" w:usb1="C000605B" w:usb2="00000029" w:usb3="00000000" w:csb0="200101FF" w:csb1="2028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  <w:r>
      <w:rPr>
        <w:sz w:val="18"/>
      </w:rPr>
      <mc:AlternateContent>
        <mc:Choice Requires="wps">
          <w:drawing>
            <wp:anchor distT="0" distB="0" distL="0" distR="0" simplePos="false" relativeHeight="3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8" name="文本框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8">
                      <w:txbxContent>
                        <w:p>
                          <w:pPr>
                            <w:pStyle w:val="style0"/>
                            <w:snapToGrid w:val="fals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lIns="0" rIns="0" tIns="0" bIns="0" vert="horz" anchor="t" wrap="none" upright="fals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8" filled="f" stroked="f" style="position:absolute;margin-left:0.0pt;margin-top:0.0pt;width:144.0pt;height:144.0pt;z-index:3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 weight="0.5pt"/>
              <v:fill/>
              <v:textbox inset="0.0pt,0.0pt,0.0pt,0.0pt" style="mso-fit-shape-to-text:true;">
                <w:txbxContent>
                  <w:p>
                    <w:pPr>
                      <w:pStyle w:val="style0"/>
                      <w:snapToGrid w:val="fals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pBdr>
        <w:bottom w:val="single" w:sz="4" w:space="1" w:color="597bb0"/>
      </w:pBdr>
      <w:rPr>
        <w:rFonts w:ascii="苹方-港" w:cs="苹方-港" w:eastAsia="苹方-港" w:hAnsi="苹方-港" w:hint="eastAsia"/>
        <w:color w:val="0051e8"/>
      </w:rPr>
    </w:pPr>
    <w:r>
      <w:rPr>
        <w:rFonts w:ascii="苹方-港" w:cs="苹方-港" w:eastAsia="苹方-港" w:hAnsi="苹方-港" w:hint="eastAsia"/>
        <w:color w:val="0051e8"/>
      </w:rPr>
      <w:drawing>
        <wp:anchor distT="0" distB="0" distL="0" distR="0" simplePos="false" relativeHeight="2" behindDoc="false" locked="false" layoutInCell="true" allowOverlap="true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4097" name="图片 2" descr="画板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2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5285105" cy="568960"/>
                  </a:xfrm>
                  <a:prstGeom prst="rect"/>
                </pic:spPr>
              </pic:pic>
            </a:graphicData>
          </a:graphic>
        </wp:anchor>
      </w:drawing>
    </w:r>
  </w:p>
  <w:p>
    <w:pPr>
      <w:pStyle w:val="style31"/>
      <w:pBdr>
        <w:bottom w:val="single" w:sz="4" w:space="1" w:color="597bb0"/>
      </w:pBdr>
      <w:rPr>
        <w:rFonts w:ascii="苹方-港" w:cs="苹方-港" w:eastAsia="苹方-港" w:hAnsi="苹方-港" w:hint="eastAsia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1"/>
  <w:displayVerticalDrawingGridEvery w:val="1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qFormat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qFormat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</w:rPr>
  </w:style>
  <w:style w:type="paragraph" w:styleId="style31">
    <w:name w:val="header"/>
    <w:basedOn w:val="style0"/>
    <w:next w:val="style31"/>
    <w:qFormat/>
    <w:uiPriority w:val="0"/>
    <w:pPr>
      <w:pBdr>
        <w:left w:val="none" w:sz="0" w:space="4" w:color="auto"/>
        <w:right w:val="none" w:sz="0" w:space="4" w:color="auto"/>
        <w:top w:val="none" w:sz="0" w:space="1" w:color="auto"/>
        <w:bottom w:val="none" w:sz="0" w:space="1" w:color="auto"/>
      </w:pBdr>
      <w:tabs>
        <w:tab w:val="center" w:leader="none" w:pos="4153"/>
        <w:tab w:val="right" w:leader="none" w:pos="8306"/>
      </w:tabs>
      <w:snapToGrid w:val="false"/>
      <w:spacing w:lineRule="auto" w:line="240"/>
      <w:jc w:val="both"/>
      <w:outlineLvl w:val="9"/>
    </w:pPr>
    <w:rPr>
      <w:rFonts w:ascii="DejaVu Sans" w:hAnsi="DejaVu Sans"/>
      <w:sz w:val="18"/>
    </w:rPr>
  </w:style>
  <w:style w:type="paragraph" w:customStyle="1" w:styleId="style4097">
    <w:name w:val="List Paragraph_018531d9-cd7d-4665-b44f-e1691797bbe9"/>
    <w:basedOn w:val="style0"/>
    <w:next w:val="style4097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4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Words>328</Words>
  <Pages>1</Pages>
  <Characters>384</Characters>
  <Application>WPS Office</Application>
  <DocSecurity>0</DocSecurity>
  <Paragraphs>38</Paragraphs>
  <ScaleCrop>false</ScaleCrop>
  <LinksUpToDate>false</LinksUpToDate>
  <CharactersWithSpaces>389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2020-07-17T07:10:00Z</dcterms:created>
  <dc:creator>sheji</dc:creator>
  <lastModifiedBy>COL-AL10</lastModifiedBy>
  <dcterms:modified xsi:type="dcterms:W3CDTF">2020-10-14T08:17:58Z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