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第八周作业解析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  <w:t>第八周作业解析视频：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0"/>
          <w:szCs w:val="30"/>
          <w:lang w:val="en-US" w:eastAsia="zh-CN"/>
        </w:rPr>
        <w:t>详见微淼课程学习资料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本周操作工具和网址统计</w:t>
      </w:r>
    </w:p>
    <w:p>
      <w:pPr>
        <w:pStyle w:val="9"/>
        <w:numPr>
          <w:ilvl w:val="0"/>
          <w:numId w:val="1"/>
        </w:numPr>
        <w:shd w:val="clear" w:color="000000" w:fill="FFFFFF"/>
        <w:spacing w:line="288" w:lineRule="atLeast"/>
        <w:ind w:left="420" w:leftChars="0" w:hanging="420" w:firstLineChars="0"/>
        <w:jc w:val="left"/>
        <w:rPr>
          <w:rFonts w:hint="eastAsia" w:ascii="微软雅黑" w:hAnsi="微软雅黑" w:eastAsia="微软雅黑" w:cs="Arial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t>可转债查询【集思录】：</w:t>
      </w: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instrText xml:space="preserve"> HYPERLINK "https://www.jisilu.cn/data/cbnew/#cb" </w:instrText>
      </w: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Arial"/>
          <w:sz w:val="24"/>
          <w:szCs w:val="24"/>
          <w:lang w:val="en-US" w:eastAsia="zh-CN"/>
        </w:rPr>
        <w:t>https://www.jisilu.cn/data/cbnew/#cb</w:t>
      </w: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本周计算公式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 w:ascii="微软雅黑" w:hAnsi="微软雅黑" w:eastAsia="微软雅黑" w:cs="Arial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转股价值 = 面值100元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 xml:space="preserve"> ÷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 xml:space="preserve">转股价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×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正股价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通过自己的证券账户至少交易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笔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深交所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国债逆回购（131810或131811）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并将两只上交所的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货币基金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建信添益（511660）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华宝添益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511990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放入股票自选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。【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可截图发至小组和班群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  <w:t>】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sz w:val="24"/>
          <w:szCs w:val="24"/>
          <w:shd w:val="clear" w:color="auto" w:fill="FFFFFF"/>
          <w:lang w:val="en-US" w:eastAsia="zh-CN"/>
        </w:rPr>
        <w:t>购买国债逆回购的实际操作方法</w:t>
      </w:r>
      <w:r>
        <w:rPr>
          <w:rFonts w:hint="eastAsia" w:ascii="微软雅黑" w:hAnsi="微软雅黑" w:eastAsia="微软雅黑" w:cs="微软雅黑"/>
          <w:b/>
          <w:bCs/>
          <w:color w:val="333333"/>
          <w:sz w:val="24"/>
          <w:szCs w:val="24"/>
          <w:shd w:val="clear" w:color="auto" w:fill="FFFFFF"/>
        </w:rPr>
        <w:t>：</w:t>
      </w:r>
    </w:p>
    <w:p>
      <w:pP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第一步：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打开涨乐财富通，进入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  <w:t>“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交易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  <w:t>”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界面，</w:t>
      </w:r>
    </w:p>
    <w:p>
      <w:pPr>
        <w:rPr>
          <w:rFonts w:hint="default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第二步：点击“国债理财”</w:t>
      </w:r>
    </w:p>
    <w:p>
      <w:pPr>
        <w:ind w:left="0" w:leftChars="-295" w:right="-733" w:rightChars="-349" w:hanging="619" w:hangingChars="295"/>
        <w:jc w:val="center"/>
        <w:rPr>
          <w:rFonts w:hint="eastAsia"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2165985" cy="3743960"/>
            <wp:effectExtent l="0" t="0" r="1333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27655" cy="3743960"/>
            <wp:effectExtent l="0" t="0" r="698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32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可以看到国债逆回购交易专区，深市逆回购1000起，沪市逆回购10万起，期限一般选择1天期、2天期、3天期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t>第三步：</w:t>
      </w:r>
      <w:r>
        <w:rPr>
          <w:rFonts w:hint="eastAsia" w:ascii="微软雅黑" w:hAnsi="微软雅黑" w:eastAsia="微软雅黑" w:cs="微软雅黑"/>
          <w:sz w:val="24"/>
          <w:szCs w:val="32"/>
        </w:rPr>
        <w:t>点击深市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32"/>
        </w:rPr>
        <w:t>1天期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32"/>
        </w:rPr>
        <w:t>逆回购，输入金额（1000元整数倍），再点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32"/>
        </w:rPr>
        <w:t>下单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32"/>
        </w:rPr>
        <w:t>即可交易。</w:t>
      </w:r>
    </w:p>
    <w:p>
      <w:pPr>
        <w:ind w:left="0" w:leftChars="-295" w:right="-1035" w:rightChars="-493" w:hanging="619" w:hangingChars="295"/>
        <w:jc w:val="both"/>
        <w:rPr>
          <w:rFonts w:hint="eastAsia" w:ascii="微软雅黑" w:hAnsi="微软雅黑" w:cs="Arial"/>
          <w:color w:val="333333"/>
          <w:sz w:val="24"/>
          <w:szCs w:val="24"/>
          <w:shd w:val="clear" w:color="auto" w:fill="FFFFFF"/>
        </w:rPr>
      </w:pPr>
      <w:r>
        <w:drawing>
          <wp:inline distT="0" distB="0" distL="114300" distR="114300">
            <wp:extent cx="2759710" cy="3289300"/>
            <wp:effectExtent l="0" t="0" r="13970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b="30675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ascii="微软雅黑" w:hAnsi="微软雅黑" w:cs="Arial"/>
          <w:color w:val="333333"/>
          <w:sz w:val="24"/>
          <w:szCs w:val="24"/>
          <w:shd w:val="clear" w:color="auto" w:fill="FFFFFF"/>
        </w:rPr>
        <w:drawing>
          <wp:inline distT="0" distB="0" distL="114300" distR="114300">
            <wp:extent cx="3401060" cy="3255010"/>
            <wp:effectExtent l="0" t="0" r="1270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b="33374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sz w:val="28"/>
          <w:szCs w:val="28"/>
          <w:shd w:val="clear" w:color="auto" w:fill="FFFFFF"/>
        </w:rPr>
        <w:t>购买场内货币基金</w:t>
      </w:r>
      <w:r>
        <w:rPr>
          <w:rFonts w:hint="eastAsia" w:ascii="微软雅黑" w:hAnsi="微软雅黑" w:eastAsia="微软雅黑" w:cs="微软雅黑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的操作方法：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首先，你需要有一个证券账户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其次账户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可用余额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至少要大于 10000 元。</w:t>
      </w:r>
    </w:p>
    <w:p>
      <w:pP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第一步：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打开证券账户，选择“买入”</w:t>
      </w:r>
    </w:p>
    <w:p>
      <w:pP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第二步：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输入货币基金的代码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  <w:t>“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511660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  <w:t>”</w:t>
      </w:r>
    </w:p>
    <w:p>
      <w:pP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第三步：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输入买入数量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  <w:t>“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100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eastAsia="zh-CN"/>
        </w:rPr>
        <w:t>”</w:t>
      </w:r>
    </w:p>
    <w:p>
      <w:pP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  <w:lang w:val="en-US" w:eastAsia="zh-CN"/>
        </w:rPr>
        <w:t>第四步：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shd w:val="clear" w:color="auto" w:fill="FFFFFF"/>
        </w:rPr>
        <w:t>点击“买入”即可。</w:t>
      </w: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</w:pPr>
      <w:r>
        <w:drawing>
          <wp:inline distT="0" distB="0" distL="114300" distR="114300">
            <wp:extent cx="2685415" cy="4340225"/>
            <wp:effectExtent l="0" t="0" r="1206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t>货币基金和逆回购是闲置资金管理的好方式，大家一定要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t>落地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t>实操。彻底掌握。</w:t>
      </w: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</w:pP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</w:pP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</w:pP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</w:pP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Arial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2、根据视频课程中可转债的套利三要素，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</w:rPr>
        <w:t>100元以下买入、处在转股期内、优质可转债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eastAsia="zh-CN"/>
        </w:rPr>
        <w:t>。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任选一只符合标准的可转债，查询它的转股起始日期，并计算它的转股价值</w:t>
      </w:r>
      <w:r>
        <w:rPr>
          <w:rFonts w:hint="eastAsia" w:ascii="微软雅黑" w:hAnsi="微软雅黑" w:eastAsia="微软雅黑" w:cs="Arial"/>
          <w:b/>
          <w:bCs/>
          <w:sz w:val="24"/>
          <w:szCs w:val="24"/>
          <w:lang w:val="en-US" w:eastAsia="zh-CN"/>
        </w:rPr>
        <w:t>。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jc w:val="left"/>
        <w:rPr>
          <w:rFonts w:hint="eastAsia" w:ascii="微软雅黑" w:hAnsi="微软雅黑" w:eastAsia="微软雅黑" w:cs="Arial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微软雅黑" w:hAnsi="微软雅黑" w:eastAsia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  <w:t>第一步、查询现价低于100的可转债</w:t>
      </w:r>
    </w:p>
    <w:p>
      <w:pPr>
        <w:pStyle w:val="9"/>
        <w:numPr>
          <w:ilvl w:val="0"/>
          <w:numId w:val="4"/>
        </w:numPr>
        <w:shd w:val="clear" w:color="000000" w:fill="FFFFFF"/>
        <w:spacing w:line="288" w:lineRule="atLeast"/>
        <w:ind w:left="420" w:leftChars="0" w:hanging="420" w:firstLineChars="0"/>
        <w:jc w:val="left"/>
        <w:rPr>
          <w:rFonts w:hint="eastAsia" w:ascii="微软雅黑" w:hAnsi="微软雅黑" w:eastAsia="微软雅黑" w:cs="Arial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t>可转债查询【集思录】：</w:t>
      </w: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instrText xml:space="preserve"> HYPERLINK "https://www.jisilu.cn/data/cbnew/#cb" </w:instrText>
      </w: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Arial"/>
          <w:sz w:val="24"/>
          <w:szCs w:val="24"/>
          <w:lang w:val="en-US" w:eastAsia="zh-CN"/>
        </w:rPr>
        <w:t>https://www.jisilu.cn/data/cbnew/#cb</w:t>
      </w: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fldChar w:fldCharType="end"/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="0" w:leftChars="0" w:firstLine="0" w:firstLineChars="0"/>
        <w:jc w:val="left"/>
        <w:rPr>
          <w:rFonts w:hint="eastAsia" w:ascii="微软雅黑" w:hAnsi="微软雅黑" w:eastAsia="微软雅黑" w:cs="Arial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Arial"/>
          <w:sz w:val="24"/>
          <w:szCs w:val="24"/>
          <w:lang w:val="en-US" w:eastAsia="zh-CN"/>
        </w:rPr>
        <w:t>手机和电脑操作方法：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="0" w:leftChars="0" w:firstLine="0" w:firstLineChars="0"/>
        <w:jc w:val="left"/>
        <w:rPr>
          <w:rFonts w:hint="eastAsia" w:ascii="微软雅黑" w:hAnsi="微软雅黑" w:eastAsia="微软雅黑" w:cs="Arial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Arial"/>
          <w:b w:val="0"/>
          <w:bCs w:val="0"/>
          <w:sz w:val="24"/>
          <w:szCs w:val="24"/>
          <w:lang w:val="en-US" w:eastAsia="zh-CN"/>
        </w:rPr>
        <w:t>① 打开网址，点击“现价”排序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Chars="0"/>
        <w:jc w:val="left"/>
        <w:rPr>
          <w:rFonts w:hint="eastAsia" w:ascii="微软雅黑" w:hAnsi="微软雅黑" w:eastAsia="微软雅黑" w:cs="Arial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Arial"/>
          <w:b w:val="0"/>
          <w:bCs w:val="0"/>
          <w:sz w:val="24"/>
          <w:szCs w:val="24"/>
          <w:lang w:val="en-US" w:eastAsia="zh-CN"/>
        </w:rPr>
        <w:t>② 点击“亚药转债”可转债的代码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="0" w:leftChars="0" w:firstLine="0" w:firstLineChars="0"/>
        <w:jc w:val="left"/>
        <w:rPr>
          <w:sz w:val="22"/>
          <w:szCs w:val="24"/>
        </w:rPr>
      </w:pPr>
      <w:r>
        <w:drawing>
          <wp:inline distT="0" distB="0" distL="114300" distR="114300">
            <wp:extent cx="4122420" cy="3789045"/>
            <wp:effectExtent l="0" t="0" r="7620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t="1459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  <w:t>第二步、查询转股起始日期</w:t>
      </w:r>
    </w:p>
    <w:p>
      <w:pP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bCs/>
        </w:rPr>
        <w:t>转股起始日</w:t>
      </w:r>
      <w:r>
        <w:rPr>
          <w:rFonts w:hint="eastAsia" w:ascii="微软雅黑" w:hAnsi="微软雅黑" w:eastAsia="微软雅黑"/>
          <w:b/>
          <w:bCs/>
          <w:lang w:eastAsia="zh-CN"/>
        </w:rPr>
        <w:t>：</w:t>
      </w:r>
      <w:r>
        <w:rPr>
          <w:rFonts w:hint="eastAsia" w:ascii="微软雅黑" w:hAnsi="微软雅黑" w:eastAsia="微软雅黑"/>
        </w:rPr>
        <w:t>一般新债上市半年后进入转股期，进入转股期之后，可转债可按照转股价转成股票。</w:t>
      </w:r>
    </w:p>
    <w:p>
      <w:pPr>
        <w:rPr>
          <w:rFonts w:hint="default" w:ascii="微软雅黑" w:hAnsi="微软雅黑" w:eastAsia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Arial"/>
          <w:b w:val="0"/>
          <w:bCs w:val="0"/>
          <w:sz w:val="24"/>
          <w:szCs w:val="24"/>
          <w:lang w:val="en-US" w:eastAsia="zh-CN"/>
        </w:rPr>
        <w:t>亚药转债的转股起始日为2019年10月9日，正处于转股期内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="0" w:leftChars="0" w:firstLine="0" w:firstLineChars="0"/>
        <w:jc w:val="left"/>
      </w:pPr>
      <w:r>
        <w:drawing>
          <wp:inline distT="0" distB="0" distL="114300" distR="114300">
            <wp:extent cx="5564505" cy="3498215"/>
            <wp:effectExtent l="0" t="0" r="1333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="0" w:leftChars="0" w:firstLine="0" w:firstLineChars="0"/>
        <w:jc w:val="left"/>
      </w:pPr>
    </w:p>
    <w:p>
      <w:pP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  <w:t>第三步、计算转股价值</w:t>
      </w:r>
    </w:p>
    <w:p>
      <w:pPr>
        <w:rPr>
          <w:rFonts w:ascii="微软雅黑" w:hAnsi="微软雅黑" w:eastAsia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  <w:t xml:space="preserve">① </w:t>
      </w:r>
      <w:r>
        <w:rPr>
          <w:rFonts w:hint="eastAsia" w:ascii="微软雅黑" w:hAnsi="微软雅黑" w:eastAsia="微软雅黑"/>
          <w:b/>
          <w:bCs/>
          <w:sz w:val="24"/>
          <w:szCs w:val="32"/>
        </w:rPr>
        <w:t>转股价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转股价即可转债转成股票所支付的股票价格，比如转股价为2元，即可转债可按照每股2元的价格买入股票。一般来说，可转债的面值为1</w:t>
      </w:r>
      <w:r>
        <w:rPr>
          <w:rFonts w:ascii="微软雅黑" w:hAnsi="微软雅黑" w:eastAsia="微软雅黑"/>
        </w:rPr>
        <w:t>00</w:t>
      </w:r>
      <w:r>
        <w:rPr>
          <w:rFonts w:hint="eastAsia" w:ascii="微软雅黑" w:hAnsi="微软雅黑" w:eastAsia="微软雅黑"/>
        </w:rPr>
        <w:t>，即一张可转债可转换成5</w:t>
      </w:r>
      <w:r>
        <w:rPr>
          <w:rFonts w:ascii="微软雅黑" w:hAnsi="微软雅黑" w:eastAsia="微软雅黑"/>
        </w:rPr>
        <w:t>0</w:t>
      </w:r>
      <w:r>
        <w:rPr>
          <w:rFonts w:hint="eastAsia" w:ascii="微软雅黑" w:hAnsi="微软雅黑" w:eastAsia="微软雅黑"/>
        </w:rPr>
        <w:t>股股票。</w:t>
      </w:r>
    </w:p>
    <w:p>
      <w:pPr>
        <w:rPr>
          <w:rFonts w:ascii="微软雅黑" w:hAnsi="微软雅黑" w:eastAsia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/>
          <w:b/>
          <w:bCs/>
          <w:sz w:val="24"/>
          <w:szCs w:val="32"/>
          <w:lang w:val="en-US" w:eastAsia="zh-CN"/>
        </w:rPr>
        <w:t xml:space="preserve">② </w:t>
      </w:r>
      <w:r>
        <w:rPr>
          <w:rFonts w:hint="eastAsia" w:ascii="微软雅黑" w:hAnsi="微软雅黑" w:eastAsia="微软雅黑"/>
          <w:b/>
          <w:bCs/>
          <w:sz w:val="24"/>
          <w:szCs w:val="32"/>
        </w:rPr>
        <w:t>转股价值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即</w:t>
      </w:r>
      <w:r>
        <w:rPr>
          <w:rFonts w:hint="eastAsia" w:ascii="微软雅黑" w:hAnsi="微软雅黑" w:eastAsia="微软雅黑"/>
        </w:rPr>
        <w:t>转股数量</w:t>
      </w:r>
      <w:r>
        <w:rPr>
          <w:rFonts w:hint="eastAsia" w:ascii="微软雅黑" w:hAnsi="微软雅黑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 xml:space="preserve">× </w:t>
      </w:r>
      <w:r>
        <w:rPr>
          <w:rFonts w:hint="eastAsia" w:ascii="微软雅黑" w:hAnsi="微软雅黑" w:eastAsia="微软雅黑"/>
        </w:rPr>
        <w:t>股票现价，比如转股价为2元，即可转债可按照每股2元的价格买入股票。一般来说，可转债的面值为1</w:t>
      </w:r>
      <w:r>
        <w:rPr>
          <w:rFonts w:ascii="微软雅黑" w:hAnsi="微软雅黑" w:eastAsia="微软雅黑"/>
        </w:rPr>
        <w:t>00</w:t>
      </w:r>
      <w:r>
        <w:rPr>
          <w:rFonts w:hint="eastAsia" w:ascii="微软雅黑" w:hAnsi="微软雅黑" w:eastAsia="微软雅黑"/>
        </w:rPr>
        <w:t>，即一张可转债可转换成5</w:t>
      </w:r>
      <w:r>
        <w:rPr>
          <w:rFonts w:ascii="微软雅黑" w:hAnsi="微软雅黑" w:eastAsia="微软雅黑"/>
        </w:rPr>
        <w:t>0</w:t>
      </w:r>
      <w:r>
        <w:rPr>
          <w:rFonts w:hint="eastAsia" w:ascii="微软雅黑" w:hAnsi="微软雅黑" w:eastAsia="微软雅黑"/>
        </w:rPr>
        <w:t>股股票。假设股票现价为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元，则转股价值为1</w:t>
      </w:r>
      <w:r>
        <w:rPr>
          <w:rFonts w:ascii="微软雅黑" w:hAnsi="微软雅黑" w:eastAsia="微软雅黑"/>
        </w:rPr>
        <w:t>50</w:t>
      </w:r>
      <w:r>
        <w:rPr>
          <w:rFonts w:hint="eastAsia" w:ascii="微软雅黑" w:hAnsi="微软雅黑" w:eastAsia="微软雅黑"/>
        </w:rPr>
        <w:t>元。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公式：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转股价值 = 面值100元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÷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 xml:space="preserve">转股价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 xml:space="preserve">×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正股价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上述情况中，</w:t>
      </w:r>
      <w:r>
        <w:rPr>
          <w:rFonts w:hint="eastAsia" w:ascii="微软雅黑" w:hAnsi="微软雅黑" w:eastAsia="微软雅黑"/>
        </w:rPr>
        <w:t>可转债的价格如果低于150元，则出现套利空间</w:t>
      </w:r>
      <w:r>
        <w:rPr>
          <w:rFonts w:hint="eastAsia" w:ascii="微软雅黑" w:hAnsi="微软雅黑" w:eastAsia="微软雅黑"/>
          <w:lang w:eastAsia="zh-CN"/>
        </w:rPr>
        <w:t>。</w:t>
      </w:r>
      <w:r>
        <w:rPr>
          <w:rFonts w:hint="eastAsia" w:ascii="微软雅黑" w:hAnsi="微软雅黑" w:eastAsia="微软雅黑"/>
        </w:rPr>
        <w:t>即买入可转债转股，</w:t>
      </w:r>
      <w:r>
        <w:rPr>
          <w:rFonts w:hint="eastAsia" w:ascii="微软雅黑" w:hAnsi="微软雅黑" w:eastAsia="微软雅黑"/>
          <w:lang w:val="en-US" w:eastAsia="zh-CN"/>
        </w:rPr>
        <w:t>转成股票后，第二天</w:t>
      </w:r>
      <w:r>
        <w:rPr>
          <w:rFonts w:hint="eastAsia" w:ascii="微软雅黑" w:hAnsi="微软雅黑" w:eastAsia="微软雅黑"/>
        </w:rPr>
        <w:t>卖出股票后可获得150元。</w:t>
      </w:r>
    </w:p>
    <w:p>
      <w:pPr>
        <w:rPr>
          <w:rFonts w:hint="default" w:ascii="微软雅黑" w:hAnsi="微软雅黑" w:eastAsia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/>
        </w:rPr>
        <w:t>如果市场对于股票长期看好，那么可转债的价格可能高于转股价值，因为买入可转债相较于买入股票风险更小。甚至是股票连续涨停的时候，可转债的价格可能会大幅高于转股价值，因为股票涨停就买不到股票了，但可转债</w:t>
      </w:r>
      <w:r>
        <w:rPr>
          <w:rFonts w:hint="eastAsia" w:ascii="微软雅黑" w:hAnsi="微软雅黑" w:eastAsia="微软雅黑"/>
          <w:lang w:val="en-US" w:eastAsia="zh-CN"/>
        </w:rPr>
        <w:t>可以</w:t>
      </w:r>
      <w:r>
        <w:rPr>
          <w:rFonts w:hint="eastAsia" w:ascii="微软雅黑" w:hAnsi="微软雅黑" w:eastAsia="微软雅黑"/>
        </w:rPr>
        <w:t>，所以大家会买入可转债。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 w:ascii="微软雅黑" w:hAnsi="微软雅黑" w:eastAsia="微软雅黑" w:cs="Arial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转股价值 = 面值100元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÷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 xml:space="preserve">转股价 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×</w:t>
      </w: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</w:rPr>
        <w:t>正股价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Chars="0"/>
        <w:jc w:val="left"/>
        <w:rPr>
          <w:rFonts w:hint="eastAsia" w:ascii="微软雅黑" w:hAnsi="微软雅黑" w:eastAsia="微软雅黑" w:cs="Arial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Arial"/>
          <w:b w:val="0"/>
          <w:bCs w:val="0"/>
          <w:color w:val="0000FF"/>
          <w:sz w:val="24"/>
          <w:szCs w:val="24"/>
          <w:lang w:val="en-US" w:eastAsia="zh-CN"/>
        </w:rPr>
        <w:t>亚药转债的转股价为16.25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Chars="0"/>
        <w:jc w:val="left"/>
      </w:pPr>
      <w:r>
        <w:drawing>
          <wp:inline distT="0" distB="0" distL="114300" distR="114300">
            <wp:extent cx="3575685" cy="1771650"/>
            <wp:effectExtent l="0" t="0" r="5715" b="1143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Chars="0"/>
        <w:jc w:val="left"/>
        <w:rPr>
          <w:color w:val="0000FF"/>
        </w:rPr>
      </w:pPr>
      <w:r>
        <w:rPr>
          <w:rFonts w:hint="eastAsia" w:ascii="微软雅黑" w:hAnsi="微软雅黑" w:eastAsia="微软雅黑" w:cs="Arial"/>
          <w:b w:val="0"/>
          <w:bCs w:val="0"/>
          <w:color w:val="0000FF"/>
          <w:sz w:val="24"/>
          <w:szCs w:val="24"/>
          <w:lang w:val="en-US" w:eastAsia="zh-CN"/>
        </w:rPr>
        <w:t>亚药转债当前的正股价为4.79元。</w:t>
      </w: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Chars="0"/>
        <w:jc w:val="left"/>
      </w:pPr>
      <w:r>
        <w:drawing>
          <wp:inline distT="0" distB="0" distL="114300" distR="114300">
            <wp:extent cx="4191000" cy="1912620"/>
            <wp:effectExtent l="0" t="0" r="0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亚药转债的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</w:rPr>
        <w:t>转股价值 = 面值100元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÷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</w:rPr>
        <w:t>转股价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×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</w:rPr>
        <w:t>正股价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=100÷16.25×4.79=29.48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套利方法3个关键要素：100元以下买入、处在转股期内、优质可转债。</w:t>
      </w:r>
    </w:p>
    <w:p>
      <w:pPr>
        <w:numPr>
          <w:ilvl w:val="0"/>
          <w:numId w:val="0"/>
        </w:numPr>
        <w:ind w:leftChars="0" w:right="223" w:rightChars="106"/>
        <w:jc w:val="both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亚药转债现在100以下，处于转股期内，前两条都符合关键要素。怎么判断亚太药业这家公司是不是优质的可转债呢？通过上市公司的三大财务报表我们就能很容易的判断出来。想用好这种套利方法的就一定要好好的学习后面的财务报表分析。</w:t>
      </w:r>
    </w:p>
    <w:p>
      <w:pPr>
        <w:numPr>
          <w:ilvl w:val="0"/>
          <w:numId w:val="0"/>
        </w:numPr>
        <w:ind w:leftChars="0" w:right="223" w:rightChars="106"/>
        <w:jc w:val="both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第八周作业你学到的重点知识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货币基金的操作；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国债逆回购的操作；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可转债的概念和转股价值；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可转债的套利方法。</w:t>
      </w:r>
    </w:p>
    <w:p>
      <w:pPr>
        <w:numPr>
          <w:ilvl w:val="0"/>
          <w:numId w:val="0"/>
        </w:numPr>
        <w:ind w:leftChars="0" w:right="223" w:rightChars="106"/>
        <w:jc w:val="both"/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Chars="0"/>
        <w:jc w:val="left"/>
      </w:pPr>
    </w:p>
    <w:p>
      <w:pPr>
        <w:pStyle w:val="9"/>
        <w:numPr>
          <w:ilvl w:val="0"/>
          <w:numId w:val="0"/>
        </w:numPr>
        <w:shd w:val="clear" w:color="000000" w:fill="FFFFFF"/>
        <w:spacing w:line="288" w:lineRule="atLeast"/>
        <w:ind w:left="0" w:leftChars="-400" w:right="-1153" w:rightChars="-549" w:hanging="840" w:hangingChars="400"/>
        <w:jc w:val="left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531" w:bottom="1440" w:left="1531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80A1117"/>
    <w:multiLevelType w:val="singleLevel"/>
    <w:tmpl w:val="980A1117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DAADBBA"/>
    <w:multiLevelType w:val="singleLevel"/>
    <w:tmpl w:val="0DAADBB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FC43E8B"/>
    <w:multiLevelType w:val="singleLevel"/>
    <w:tmpl w:val="7FC43E8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4674AD0"/>
    <w:rsid w:val="085312E6"/>
    <w:rsid w:val="0E092492"/>
    <w:rsid w:val="0EEC7B84"/>
    <w:rsid w:val="12FE44C2"/>
    <w:rsid w:val="14045983"/>
    <w:rsid w:val="17E319C7"/>
    <w:rsid w:val="1AC62B95"/>
    <w:rsid w:val="1AE57FD4"/>
    <w:rsid w:val="1CB850BD"/>
    <w:rsid w:val="1CD938E5"/>
    <w:rsid w:val="235D6EC5"/>
    <w:rsid w:val="2C0B219F"/>
    <w:rsid w:val="2F143448"/>
    <w:rsid w:val="365B5B71"/>
    <w:rsid w:val="3BAA7D36"/>
    <w:rsid w:val="3BE62235"/>
    <w:rsid w:val="40481F01"/>
    <w:rsid w:val="404913A1"/>
    <w:rsid w:val="489236B3"/>
    <w:rsid w:val="4AA8720E"/>
    <w:rsid w:val="55FF7498"/>
    <w:rsid w:val="583D48F3"/>
    <w:rsid w:val="58EF6A33"/>
    <w:rsid w:val="5C6F1463"/>
    <w:rsid w:val="5F5C2BA7"/>
    <w:rsid w:val="605DED8A"/>
    <w:rsid w:val="61B54ECD"/>
    <w:rsid w:val="64A24ED5"/>
    <w:rsid w:val="65B70274"/>
    <w:rsid w:val="6A9E45FC"/>
    <w:rsid w:val="6B4D6D3E"/>
    <w:rsid w:val="6BDD581C"/>
    <w:rsid w:val="6CCC1FDF"/>
    <w:rsid w:val="6FE07617"/>
    <w:rsid w:val="71693020"/>
    <w:rsid w:val="71941DEB"/>
    <w:rsid w:val="77EBE424"/>
    <w:rsid w:val="7BBC5F40"/>
    <w:rsid w:val="7F4D3AAB"/>
    <w:rsid w:val="7F4D6680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FollowedHyperlink"/>
    <w:basedOn w:val="6"/>
    <w:unhideWhenUsed/>
    <w:qFormat/>
    <w:uiPriority w:val="99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2020-09-01T18:09:21Z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