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第二周作业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一、查看学习思维导图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  <w:t>说明：这份思维导图可以作为一份学习指导，里面包含本周的重点内容！</w:t>
      </w:r>
    </w:p>
    <w:p>
      <w:pPr>
        <w:ind w:left="-1680" w:leftChars="-800" w:firstLine="0" w:firstLineChars="0"/>
        <w:jc w:val="center"/>
      </w:pPr>
      <w:r>
        <w:drawing>
          <wp:inline distT="0" distB="0" distL="114300" distR="114300">
            <wp:extent cx="7305040" cy="550672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shd w:val="clear" w:fill="FF0000"/>
        <w:ind w:left="-1680" w:leftChars="-800" w:firstLine="0" w:firstLineChars="0"/>
        <w:jc w:val="center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hd w:val="clear" w:fill="FF0000"/>
        <w:ind w:left="-1680" w:leftChars="-800" w:firstLine="0" w:firstLineChars="0"/>
        <w:jc w:val="center"/>
        <w:rPr>
          <w:rFonts w:hint="eastAsia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红底白字部分 为学员作答内容</w:t>
      </w:r>
    </w:p>
    <w:p>
      <w:pPr>
        <w:shd w:val="clear" w:fill="FF0000"/>
        <w:ind w:left="-1680" w:leftChars="-800" w:firstLine="0" w:firstLineChars="0"/>
        <w:jc w:val="center"/>
        <w:rPr>
          <w:rFonts w:hint="eastAsia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-1680" w:leftChars="-800" w:firstLine="0" w:firstLineChars="0"/>
        <w:jc w:val="both"/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-1680" w:leftChars="-800" w:firstLine="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二、作业题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1、本周的关键词汇中，我们学习了复利，即在拿到利息后继续把利息投资，就是俗称的利滚利。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大家观察</w:t>
      </w:r>
      <w:r>
        <w:rPr>
          <w:rFonts w:hint="default" w:ascii="微软雅黑" w:hAnsi="微软雅黑" w:eastAsia="微软雅黑" w:cs="宋体"/>
          <w:b/>
          <w:bCs/>
          <w:sz w:val="24"/>
          <w:lang w:eastAsia="zh-CN"/>
        </w:rPr>
        <w:t>复利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的公式：</w:t>
      </w:r>
      <w:bookmarkStart w:id="0" w:name="_Hlk524274623"/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最终收益=本金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（1+收益率）^时间</w:t>
      </w:r>
      <w:bookmarkEnd w:id="0"/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， 回答以下问题。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sz w:val="24"/>
          <w:lang w:eastAsia="zh-CN"/>
        </w:rPr>
        <w:t>在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本金和时间一定的情况下，</w:t>
      </w:r>
      <w:r>
        <w:rPr>
          <w:rFonts w:hint="default" w:ascii="微软雅黑" w:hAnsi="微软雅黑" w:eastAsia="微软雅黑" w:cs="宋体"/>
          <w:sz w:val="24"/>
          <w:lang w:eastAsia="zh-CN"/>
        </w:rPr>
        <w:t>研究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收益率对最终收益的影响</w:t>
      </w:r>
      <w:r>
        <w:rPr>
          <w:rFonts w:hint="default" w:ascii="微软雅黑" w:hAnsi="微软雅黑" w:eastAsia="微软雅黑" w:cs="宋体"/>
          <w:sz w:val="24"/>
          <w:lang w:eastAsia="zh-CN"/>
        </w:rPr>
        <w:t>，请计算下表中最终收益是多少？</w:t>
      </w:r>
    </w:p>
    <w:tbl>
      <w:tblPr>
        <w:tblStyle w:val="4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2216"/>
        <w:gridCol w:w="1678"/>
        <w:gridCol w:w="29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5000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复利中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收益率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的影响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本金</w:t>
            </w:r>
          </w:p>
        </w:tc>
        <w:tc>
          <w:tcPr>
            <w:tcW w:w="1330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收益率</w:t>
            </w:r>
          </w:p>
        </w:tc>
        <w:tc>
          <w:tcPr>
            <w:tcW w:w="100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761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最终收益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abs>
                <w:tab w:val="left" w:pos="718"/>
              </w:tabs>
              <w:jc w:val="left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red"/>
                <w:u w:val="none"/>
                <w:shd w:val="clear" w:fill="FF000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red"/>
                <w:u w:val="none"/>
                <w:shd w:val="clear" w:fill="FF0000"/>
                <w:lang w:eastAsia="zh-CN"/>
                <w14:textFill>
                  <w14:solidFill>
                    <w14:schemeClr w14:val="bg1"/>
                  </w14:solidFill>
                </w14:textFill>
              </w:rPr>
              <w:t>108.622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red"/>
                <w:u w:val="none"/>
                <w:shd w:val="clear" w:fill="FF000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万元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2"/>
                <w:szCs w:val="22"/>
                <w:highlight w:val="red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2"/>
                <w:szCs w:val="22"/>
                <w:highlight w:val="red"/>
                <w:u w:val="none"/>
                <w:shd w:val="clear" w:fill="FF0000"/>
                <w14:textFill>
                  <w14:solidFill>
                    <w14:schemeClr w14:val="bg1"/>
                  </w14:solidFill>
                </w14:textFill>
              </w:rPr>
              <w:t>7348.857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2"/>
                <w:szCs w:val="22"/>
                <w:highlight w:val="red"/>
                <w:u w:val="none"/>
                <w:shd w:val="clear" w:fill="FF000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万元 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本金和收益率一定的情况下，时间对最终收益的影响</w:t>
      </w:r>
      <w:r>
        <w:rPr>
          <w:rFonts w:hint="default" w:ascii="微软雅黑" w:hAnsi="微软雅黑" w:eastAsia="微软雅黑" w:cs="宋体"/>
          <w:sz w:val="24"/>
          <w:lang w:eastAsia="zh-CN"/>
        </w:rPr>
        <w:t>，请计算下表中最终收益是多少？</w:t>
      </w:r>
    </w:p>
    <w:tbl>
      <w:tblPr>
        <w:tblStyle w:val="4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2216"/>
        <w:gridCol w:w="1678"/>
        <w:gridCol w:w="29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复利中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的影响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本金</w:t>
            </w:r>
          </w:p>
        </w:tc>
        <w:tc>
          <w:tcPr>
            <w:tcW w:w="1330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收益率</w:t>
            </w:r>
          </w:p>
        </w:tc>
        <w:tc>
          <w:tcPr>
            <w:tcW w:w="100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761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最终收益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abs>
                <w:tab w:val="left" w:pos="523"/>
              </w:tabs>
              <w:jc w:val="left"/>
              <w:rPr>
                <w:rFonts w:hint="default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red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none"/>
                <w:u w:val="none"/>
                <w:shd w:val="clear" w:fill="FF000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none"/>
                <w:u w:val="none"/>
                <w:shd w:val="clear" w:fill="FF0000"/>
                <w:lang w:eastAsia="zh-CN"/>
                <w14:textFill>
                  <w14:solidFill>
                    <w14:schemeClr w14:val="bg1"/>
                  </w14:solidFill>
                </w14:textFill>
              </w:rPr>
              <w:t>191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none"/>
                <w:u w:val="none"/>
                <w:shd w:val="clear" w:fill="FF000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none"/>
                <w:u w:val="none"/>
                <w:shd w:val="clear" w:fill="FF0000"/>
                <w:lang w:eastAsia="zh-CN"/>
                <w14:textFill>
                  <w14:solidFill>
                    <w14:schemeClr w14:val="bg1"/>
                  </w14:solidFill>
                </w14:textFill>
              </w:rPr>
              <w:t>687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4"/>
                <w:szCs w:val="24"/>
                <w:highlight w:val="none"/>
                <w:u w:val="none"/>
                <w:shd w:val="clear" w:fill="FF000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万元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2"/>
                <w:szCs w:val="22"/>
                <w:highlight w:val="red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2"/>
                <w:szCs w:val="22"/>
                <w:highlight w:val="red"/>
                <w:u w:val="none"/>
                <w14:textFill>
                  <w14:solidFill>
                    <w14:schemeClr w14:val="bg1"/>
                  </w14:solidFill>
                </w14:textFill>
              </w:rPr>
              <w:t>7348.857</w:t>
            </w:r>
            <w:r>
              <w:rPr>
                <w:rFonts w:hint="eastAsia" w:ascii="宋体" w:hAnsi="宋体" w:eastAsia="宋体" w:cs="宋体"/>
                <w:i w:val="0"/>
                <w:color w:val="FFFFFF" w:themeColor="background1"/>
                <w:sz w:val="22"/>
                <w:szCs w:val="22"/>
                <w:highlight w:val="red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万元 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宋体"/>
          <w:sz w:val="24"/>
        </w:rPr>
      </w:pPr>
      <w:r>
        <w:rPr>
          <w:rFonts w:hint="default" w:ascii="微软雅黑" w:hAnsi="微软雅黑" w:eastAsia="微软雅黑" w:cs="宋体"/>
          <w:sz w:val="24"/>
        </w:rPr>
        <w:t>根据</w:t>
      </w:r>
      <w:r>
        <w:rPr>
          <w:rFonts w:hint="eastAsia" w:ascii="微软雅黑" w:hAnsi="微软雅黑" w:eastAsia="微软雅黑" w:cs="宋体"/>
          <w:sz w:val="24"/>
        </w:rPr>
        <w:t>复利、时间、技能与财务自由的关系</w:t>
      </w:r>
      <w:r>
        <w:rPr>
          <w:rFonts w:hint="default" w:ascii="微软雅黑" w:hAnsi="微软雅黑" w:eastAsia="微软雅黑" w:cs="宋体"/>
          <w:sz w:val="24"/>
        </w:rPr>
        <w:t>，分析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自己</w:t>
      </w:r>
      <w:r>
        <w:rPr>
          <w:rFonts w:hint="eastAsia" w:ascii="微软雅黑" w:hAnsi="微软雅黑" w:eastAsia="微软雅黑" w:cs="宋体"/>
          <w:sz w:val="24"/>
        </w:rPr>
        <w:t>该怎么做才能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实现</w:t>
      </w:r>
      <w:r>
        <w:rPr>
          <w:rFonts w:hint="eastAsia" w:ascii="微软雅黑" w:hAnsi="微软雅黑" w:eastAsia="微软雅黑" w:cs="宋体"/>
          <w:sz w:val="24"/>
        </w:rPr>
        <w:t>财务自由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呢</w:t>
      </w:r>
      <w:r>
        <w:rPr>
          <w:rFonts w:hint="eastAsia" w:ascii="微软雅黑" w:hAnsi="微软雅黑" w:eastAsia="微软雅黑" w:cs="宋体"/>
          <w:sz w:val="24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收益率20%的情况下 只需要20年 就远超过 8%收益率40年的收益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人的投资时间基本都只有几十年, 提高收益率就成了我们能做的最重要的事情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通过提升理财技能 来提高收益率 和 规避风险 以及长期持有, 时间越长复利的威力越大, 财务自由度越高   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2、</w:t>
      </w:r>
      <w:r>
        <w:rPr>
          <w:rFonts w:hint="default" w:ascii="微软雅黑" w:hAnsi="微软雅黑" w:eastAsia="微软雅黑" w:cs="宋体"/>
          <w:b/>
          <w:bCs/>
          <w:sz w:val="24"/>
        </w:rPr>
        <w:t>通过对比</w:t>
      </w:r>
      <w:r>
        <w:rPr>
          <w:rFonts w:hint="eastAsia" w:ascii="微软雅黑" w:hAnsi="微软雅黑" w:eastAsia="微软雅黑" w:cs="宋体"/>
          <w:b/>
          <w:bCs/>
          <w:color w:val="FF0000"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b/>
          <w:bCs/>
          <w:sz w:val="24"/>
        </w:rPr>
        <w:t>和</w:t>
      </w:r>
      <w:r>
        <w:rPr>
          <w:rFonts w:hint="default" w:ascii="微软雅黑" w:hAnsi="微软雅黑" w:eastAsia="微软雅黑" w:cs="宋体"/>
          <w:b/>
          <w:bCs/>
          <w:color w:val="FF0000"/>
          <w:sz w:val="24"/>
        </w:rPr>
        <w:t>贵州茅台</w:t>
      </w:r>
      <w:r>
        <w:rPr>
          <w:rFonts w:hint="default" w:ascii="微软雅黑" w:hAnsi="微软雅黑" w:eastAsia="微软雅黑" w:cs="宋体"/>
          <w:b/>
          <w:bCs/>
          <w:sz w:val="24"/>
        </w:rPr>
        <w:t>这两只股票，回答以下问题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使用雪球</w:t>
      </w:r>
      <w:r>
        <w:rPr>
          <w:rFonts w:hint="default" w:ascii="微软雅黑" w:hAnsi="微软雅黑" w:eastAsia="微软雅黑" w:cs="宋体"/>
          <w:sz w:val="24"/>
          <w:lang w:eastAsia="zh-CN"/>
        </w:rPr>
        <w:t>APP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查</w:t>
      </w:r>
      <w:r>
        <w:rPr>
          <w:rFonts w:hint="default" w:ascii="微软雅黑" w:hAnsi="微软雅黑" w:eastAsia="微软雅黑" w:cs="宋体"/>
          <w:sz w:val="24"/>
        </w:rPr>
        <w:t>询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sz w:val="24"/>
        </w:rPr>
        <w:t>历史分红情况</w:t>
      </w:r>
      <w:r>
        <w:rPr>
          <w:rFonts w:hint="default" w:ascii="微软雅黑" w:hAnsi="微软雅黑" w:eastAsia="微软雅黑" w:cs="宋体"/>
          <w:sz w:val="24"/>
          <w:lang w:eastAsia="zh-CN"/>
        </w:rPr>
        <w:t>和</w:t>
      </w:r>
      <w:r>
        <w:rPr>
          <w:rFonts w:hint="default" w:ascii="微软雅黑" w:hAnsi="微软雅黑" w:eastAsia="微软雅黑" w:cs="宋体"/>
          <w:sz w:val="24"/>
        </w:rPr>
        <w:t>贵州茅台的历史分红情况</w:t>
      </w:r>
      <w:r>
        <w:rPr>
          <w:rFonts w:hint="eastAsia" w:ascii="微软雅黑" w:hAnsi="微软雅黑" w:eastAsia="微软雅黑" w:cs="宋体"/>
          <w:sz w:val="24"/>
          <w:lang w:eastAsia="zh-CN"/>
        </w:rPr>
        <w:t>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并截图发到小组群里。</w:t>
      </w:r>
    </w:p>
    <w:p>
      <w:pPr>
        <w:numPr>
          <w:ilvl w:val="0"/>
          <w:numId w:val="0"/>
        </w:numPr>
        <w:shd w:val="clear" w:fill="FF0000"/>
        <w:ind w:leftChars="0"/>
        <w:jc w:val="left"/>
        <w:rPr>
          <w:rFonts w:hint="eastAsia" w:ascii="微软雅黑" w:hAnsi="微软雅黑" w:eastAsia="微软雅黑" w:cs="宋体"/>
          <w:sz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highlight w:val="red"/>
          <w:lang w:val="en-US" w:eastAsia="zh-CN"/>
        </w:rPr>
        <w:t xml:space="preserve">   </w:t>
      </w:r>
      <w:r>
        <w:rPr>
          <w:rFonts w:hint="default" w:ascii="微软雅黑" w:hAnsi="微软雅黑" w:eastAsia="微软雅黑" w:cs="宋体"/>
          <w:sz w:val="24"/>
          <w:highlight w:val="red"/>
          <w:lang w:val="en-US" w:eastAsia="zh-CN"/>
        </w:rPr>
        <w:drawing>
          <wp:inline distT="0" distB="0" distL="114300" distR="114300">
            <wp:extent cx="2421890" cy="5249545"/>
            <wp:effectExtent l="0" t="0" r="16510" b="8255"/>
            <wp:docPr id="3" name="图片 3" descr="58427548f5afcaf28ce4f6b69156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427548f5afcaf28ce4f6b69156fd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4"/>
          <w:highlight w:val="red"/>
          <w:lang w:val="en-US" w:eastAsia="zh-CN"/>
        </w:rPr>
        <w:t xml:space="preserve">   </w:t>
      </w:r>
      <w:r>
        <w:rPr>
          <w:rFonts w:hint="default" w:ascii="微软雅黑" w:hAnsi="微软雅黑" w:eastAsia="微软雅黑" w:cs="宋体"/>
          <w:sz w:val="24"/>
          <w:highlight w:val="red"/>
          <w:lang w:val="en-US" w:eastAsia="zh-CN"/>
        </w:rPr>
        <w:drawing>
          <wp:inline distT="0" distB="0" distL="114300" distR="114300">
            <wp:extent cx="2421255" cy="5248275"/>
            <wp:effectExtent l="0" t="0" r="17145" b="9525"/>
            <wp:docPr id="4" name="图片 4" descr="b8578e4bae522a531a83f9385cb4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8578e4bae522a531a83f9385cb4b0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4"/>
          <w:highlight w:val="red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sz w:val="24"/>
          <w:highlight w:val="red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重庆钢铁（股票代码：601005）2007</w:t>
      </w:r>
      <w:r>
        <w:rPr>
          <w:rFonts w:hint="default" w:ascii="微软雅黑" w:hAnsi="微软雅黑" w:eastAsia="微软雅黑" w:cs="宋体"/>
          <w:sz w:val="24"/>
        </w:rPr>
        <w:t>年上市，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通过i问财查询该公司的开盘价和后复权价格</w:t>
      </w:r>
      <w:r>
        <w:rPr>
          <w:rFonts w:hint="default" w:ascii="微软雅黑" w:hAnsi="微软雅黑" w:eastAsia="微软雅黑" w:cs="宋体"/>
          <w:sz w:val="24"/>
        </w:rPr>
        <w:t>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使用微淼计算器</w:t>
      </w:r>
      <w:r>
        <w:rPr>
          <w:rFonts w:hint="default" w:ascii="微软雅黑" w:hAnsi="微软雅黑" w:eastAsia="微软雅黑" w:cs="宋体"/>
          <w:sz w:val="24"/>
        </w:rPr>
        <w:t>计算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sz w:val="24"/>
        </w:rPr>
        <w:t>的年化收益率是多少？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 w:val="0"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default" w:ascii="微软雅黑" w:hAnsi="微软雅黑" w:eastAsia="微软雅黑" w:cs="微软雅黑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>2007/2/28 开盘</w:t>
      </w:r>
      <w:r>
        <w:rPr>
          <w:rFonts w:hint="eastAsia" w:ascii="微软雅黑" w:hAnsi="微软雅黑" w:eastAsia="微软雅黑" w:cs="微软雅黑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价:  5.5元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 w:val="0"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default" w:ascii="微软雅黑" w:hAnsi="微软雅黑" w:eastAsia="微软雅黑" w:cs="微软雅黑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2020/8/29 收盘价(后复权): 1.81元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 w:val="0"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>计算过程 2007到2020</w:t>
      </w:r>
      <w:r>
        <w:rPr>
          <w:rFonts w:hint="eastAsia" w:ascii="微软雅黑" w:hAnsi="微软雅黑" w:eastAsia="微软雅黑" w:cs="宋体"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按照13年计算:  计算结果如下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numPr>
          <w:ilvl w:val="0"/>
          <w:numId w:val="0"/>
        </w:numPr>
        <w:shd w:val="clear" w:fill="FF0000"/>
        <w:ind w:leftChars="0"/>
        <w:jc w:val="left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highlight w:val="none"/>
        </w:rPr>
        <w:drawing>
          <wp:inline distT="0" distB="0" distL="114300" distR="114300">
            <wp:extent cx="4048125" cy="25146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b w:val="0"/>
          <w:bCs w:val="0"/>
          <w:sz w:val="24"/>
        </w:rPr>
      </w:pPr>
      <w:r>
        <w:rPr>
          <w:rFonts w:hint="default" w:ascii="微软雅黑" w:hAnsi="微软雅黑" w:eastAsia="微软雅黑" w:cs="宋体"/>
          <w:b w:val="0"/>
          <w:bCs w:val="0"/>
          <w:sz w:val="24"/>
        </w:rPr>
        <w:t>贵州茅台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股票代码：600519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）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2001年上市，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通过i问财查询该公司的开盘价和后复权价格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使用微淼计算器计算贵州茅台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的年化收益率是多少？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2001/8/27 开盘价: 34.51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2020/8/29 收盘价(后复权): 1.03万             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计算 2020-2001按照191年计算 计算结果如下: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sz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highlight w:val="none"/>
        </w:rPr>
        <w:drawing>
          <wp:inline distT="0" distB="0" distL="114300" distR="114300">
            <wp:extent cx="3009900" cy="23907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</w:pP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根据(1)(2)(3）问中重庆钢铁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和贵州茅台在分红和价差收益(年化收益率)两方面的差距，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谈谈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你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对生钱资产的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理解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生钱资产是能持续带来现金流入的东西,  茅台每年都有持续稳定的现金分红, 因此茅台是生钱资产,受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益率达到34.976% 是优质的生钱资产 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①分红是收益的保障, 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 xml:space="preserve">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 xml:space="preserve"> 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 xml:space="preserve">就算股价下跌 ,只要有稳定的分红收益, 长期来看也是不亏的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②高分红更加有助于价差收益上涨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 xml:space="preserve">   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      股价下跌时买入, 股息率会更高, 这样就会吸引更多的人买进,股价升的就越高, 价差收益就越高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 结论: 只要你购买的资产能够给你带来持续稳定的现金流入, 那么赚钱是只是时间问题; 想要实现财务自由, 一定要去拥有优质的生钱资产;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ab/>
        <w:t xml:space="preserve"> </w:t>
      </w:r>
      <w:r>
        <w:rPr>
          <w:rFonts w:hint="eastAsia" w:ascii="微软雅黑" w:hAnsi="微软雅黑" w:eastAsia="微软雅黑" w:cs="宋体"/>
          <w:color w:val="FFFFFF" w:themeColor="background1"/>
          <w:sz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ab/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微软雅黑" w:hAnsi="微软雅黑" w:eastAsia="微软雅黑" w:cs="宋体"/>
          <w:color w:val="FFFFFF" w:themeColor="background1"/>
          <w:sz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color w:val="0000FF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三、</w:t>
      </w:r>
      <w:r>
        <w:rPr>
          <w:rFonts w:hint="default" w:ascii="微软雅黑" w:hAnsi="微软雅黑" w:eastAsia="微软雅黑" w:cs="微软雅黑"/>
          <w:b/>
          <w:bCs/>
          <w:color w:val="0000FF"/>
          <w:kern w:val="0"/>
          <w:sz w:val="28"/>
          <w:szCs w:val="28"/>
          <w:lang w:eastAsia="zh-CN" w:bidi="ar"/>
        </w:rPr>
        <w:t>阅读《穷爸爸富爸爸解读》并写心得感悟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！在上课当天发送到班级群。</w:t>
      </w:r>
    </w:p>
    <w:p/>
    <w:p>
      <w:pPr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>第一点: 穷人与富人思维的区别</w:t>
      </w: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  <w:t>穷人思维: 遇到钱的问题就逃避, 不学习, 不行动, 财商一直很低, 最后面临财务困境;</w:t>
      </w: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40"/>
        <w:textAlignment w:val="auto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>富人思维: 永远直面钱的问题</w:t>
      </w:r>
      <w:bookmarkStart w:id="1" w:name="_GoBack"/>
      <w:bookmarkEnd w:id="1"/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>, 学习理财知识, 提高财商, 最后钱都会源源不断地涌向富人</w:t>
      </w: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>第二点: 提高财商的两条建议</w:t>
      </w: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40" w:firstLineChars="200"/>
        <w:textAlignment w:val="auto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>富人不会为钱而工作</w:t>
      </w:r>
    </w:p>
    <w:p>
      <w:pPr>
        <w:keepNext w:val="0"/>
        <w:keepLines w:val="0"/>
        <w:pageBreakBefore w:val="0"/>
        <w:widowControl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40" w:firstLineChars="200"/>
        <w:textAlignment w:val="auto"/>
        <w:rPr>
          <w:rFonts w:hint="default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  <w:t>学会区分资产和负债</w:t>
      </w:r>
    </w:p>
    <w:p>
      <w:pPr>
        <w:shd w:val="clear" w:fill="FF0000"/>
        <w:rPr>
          <w:rFonts w:hint="eastAsia"/>
          <w:color w:val="FFFFFF" w:themeColor="background1"/>
          <w:sz w:val="22"/>
          <w:szCs w:val="22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AFA4"/>
    <w:multiLevelType w:val="singleLevel"/>
    <w:tmpl w:val="1D9DAFA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AEA2C41"/>
    <w:multiLevelType w:val="singleLevel"/>
    <w:tmpl w:val="7AEA2C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0801F58"/>
    <w:rsid w:val="00BF25CE"/>
    <w:rsid w:val="014428E7"/>
    <w:rsid w:val="03EF1698"/>
    <w:rsid w:val="04854A35"/>
    <w:rsid w:val="06DD27F0"/>
    <w:rsid w:val="07E87818"/>
    <w:rsid w:val="0AAF4364"/>
    <w:rsid w:val="0B7F5F5E"/>
    <w:rsid w:val="0B955F2B"/>
    <w:rsid w:val="0D310E08"/>
    <w:rsid w:val="101576D2"/>
    <w:rsid w:val="11C73058"/>
    <w:rsid w:val="13AD0343"/>
    <w:rsid w:val="19F2012A"/>
    <w:rsid w:val="1A9800F9"/>
    <w:rsid w:val="1CD938E5"/>
    <w:rsid w:val="2725510E"/>
    <w:rsid w:val="29267597"/>
    <w:rsid w:val="2A7D05ED"/>
    <w:rsid w:val="31355080"/>
    <w:rsid w:val="314FF673"/>
    <w:rsid w:val="39657C16"/>
    <w:rsid w:val="39C00FFC"/>
    <w:rsid w:val="3BD10063"/>
    <w:rsid w:val="3C624353"/>
    <w:rsid w:val="3EFEED73"/>
    <w:rsid w:val="44084F48"/>
    <w:rsid w:val="44364C54"/>
    <w:rsid w:val="44EF7FD9"/>
    <w:rsid w:val="45026345"/>
    <w:rsid w:val="4BF27FFB"/>
    <w:rsid w:val="4D970DB6"/>
    <w:rsid w:val="4EA633A3"/>
    <w:rsid w:val="4FCB6F26"/>
    <w:rsid w:val="56920630"/>
    <w:rsid w:val="575033B4"/>
    <w:rsid w:val="576E114D"/>
    <w:rsid w:val="5957A3D6"/>
    <w:rsid w:val="5B3FC3E5"/>
    <w:rsid w:val="5BB63D96"/>
    <w:rsid w:val="5D0F1F15"/>
    <w:rsid w:val="5D656256"/>
    <w:rsid w:val="5D7E7CE7"/>
    <w:rsid w:val="5DBF4EF2"/>
    <w:rsid w:val="5E7ACD19"/>
    <w:rsid w:val="5FEF47B7"/>
    <w:rsid w:val="605DED8A"/>
    <w:rsid w:val="628209AC"/>
    <w:rsid w:val="64665E3C"/>
    <w:rsid w:val="65B812F1"/>
    <w:rsid w:val="669443FD"/>
    <w:rsid w:val="686F76BB"/>
    <w:rsid w:val="696F0328"/>
    <w:rsid w:val="69DE47D4"/>
    <w:rsid w:val="69FEBC16"/>
    <w:rsid w:val="6A32130E"/>
    <w:rsid w:val="6D0E0293"/>
    <w:rsid w:val="6F4F5892"/>
    <w:rsid w:val="6FE07617"/>
    <w:rsid w:val="709E7CB7"/>
    <w:rsid w:val="7108297D"/>
    <w:rsid w:val="7265425C"/>
    <w:rsid w:val="73BF07A3"/>
    <w:rsid w:val="75E37E36"/>
    <w:rsid w:val="766477C3"/>
    <w:rsid w:val="76E4902B"/>
    <w:rsid w:val="775FEDBD"/>
    <w:rsid w:val="77834880"/>
    <w:rsid w:val="77E27013"/>
    <w:rsid w:val="797A1427"/>
    <w:rsid w:val="79C5F8C9"/>
    <w:rsid w:val="79CB7E2F"/>
    <w:rsid w:val="79DE0815"/>
    <w:rsid w:val="79FF45B8"/>
    <w:rsid w:val="7B624A73"/>
    <w:rsid w:val="7BBC5F40"/>
    <w:rsid w:val="7CEA1C9F"/>
    <w:rsid w:val="7EABEC7A"/>
    <w:rsid w:val="7EF36EF0"/>
    <w:rsid w:val="7F324837"/>
    <w:rsid w:val="7FBD931C"/>
    <w:rsid w:val="7FD73F70"/>
    <w:rsid w:val="8FEB8381"/>
    <w:rsid w:val="9FBFEB28"/>
    <w:rsid w:val="9FFC99CA"/>
    <w:rsid w:val="AEDD3E72"/>
    <w:rsid w:val="B7FD160D"/>
    <w:rsid w:val="BCF4EE20"/>
    <w:rsid w:val="BFAE382B"/>
    <w:rsid w:val="C8D78EE9"/>
    <w:rsid w:val="CAD7145C"/>
    <w:rsid w:val="D3BFAD25"/>
    <w:rsid w:val="DFFDA1AA"/>
    <w:rsid w:val="DFFDA70F"/>
    <w:rsid w:val="DFFF43E9"/>
    <w:rsid w:val="E7BB9776"/>
    <w:rsid w:val="E9FE5AE2"/>
    <w:rsid w:val="EDF42499"/>
    <w:rsid w:val="F73A375C"/>
    <w:rsid w:val="F77EC306"/>
    <w:rsid w:val="FB45E12F"/>
    <w:rsid w:val="FBDB9CC2"/>
    <w:rsid w:val="FBED7108"/>
    <w:rsid w:val="FEFC5924"/>
    <w:rsid w:val="FF7DEDB3"/>
    <w:rsid w:val="FFBACE4C"/>
    <w:rsid w:val="FFD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2020-07-17T15:10:00Z</dcterms:created>
  <dc:creator>sheji</dc:creator>
  <cp:lastModifiedBy>MSI</cp:lastModifiedBy>
  <dcterms:modified xsi:type="dcterms:W3CDTF">2020-08-29T15:26:07Z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