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C" w:rsidRPr="000A6C1E" w:rsidRDefault="008F13EC" w:rsidP="00AE719F">
      <w:pPr>
        <w:spacing w:beforeLines="50" w:before="120" w:afterLines="50" w:after="120" w:line="240" w:lineRule="auto"/>
        <w:rPr>
          <w:rFonts w:ascii="Times New Roman" w:eastAsia="Times New Roman" w:hAnsi="Times New Roman"/>
          <w:b/>
          <w:color w:val="000000"/>
          <w:sz w:val="28"/>
          <w:szCs w:val="28"/>
        </w:rPr>
      </w:pPr>
      <w:r w:rsidRPr="00693B1E">
        <w:rPr>
          <w:rFonts w:ascii="Times New Roman" w:eastAsia="Times New Roman" w:hAnsi="Times New Roman"/>
          <w:color w:val="000000"/>
          <w:sz w:val="20"/>
          <w:szCs w:val="14"/>
        </w:rPr>
        <w:br/>
      </w:r>
      <w:r w:rsidRPr="000A6C1E">
        <w:rPr>
          <w:rFonts w:ascii="宋体" w:hAnsi="宋体" w:cs="宋体" w:hint="eastAsia"/>
          <w:b/>
          <w:color w:val="000000"/>
          <w:sz w:val="28"/>
          <w:szCs w:val="28"/>
        </w:rPr>
        <w:t>第三</w:t>
      </w:r>
      <w:r w:rsidRPr="000A6C1E">
        <w:rPr>
          <w:rFonts w:ascii="宋体" w:hAnsi="宋体" w:cs="宋体"/>
          <w:b/>
          <w:color w:val="000000"/>
          <w:sz w:val="28"/>
          <w:szCs w:val="28"/>
        </w:rPr>
        <w:t>章</w:t>
      </w:r>
      <w:r w:rsidR="00693B1E" w:rsidRPr="000A6C1E">
        <w:rPr>
          <w:rFonts w:ascii="宋体" w:hAnsi="宋体" w:cs="宋体" w:hint="eastAsia"/>
          <w:b/>
          <w:color w:val="000000"/>
          <w:sz w:val="28"/>
          <w:szCs w:val="28"/>
        </w:rPr>
        <w:t xml:space="preserve"> </w:t>
      </w:r>
      <w:r w:rsidRPr="000A6C1E">
        <w:rPr>
          <w:rFonts w:ascii="宋体" w:hAnsi="宋体" w:cs="宋体" w:hint="eastAsia"/>
          <w:b/>
          <w:color w:val="000000"/>
          <w:sz w:val="28"/>
          <w:szCs w:val="28"/>
        </w:rPr>
        <w:t>市场有多大</w:t>
      </w:r>
      <w:r w:rsidRPr="000A6C1E">
        <w:rPr>
          <w:rFonts w:ascii="宋体" w:hAnsi="宋体" w:cs="宋体"/>
          <w:b/>
          <w:color w:val="000000"/>
          <w:sz w:val="28"/>
          <w:szCs w:val="28"/>
        </w:rPr>
        <w:t>？</w:t>
      </w:r>
    </w:p>
    <w:p w:rsidR="00A412D5" w:rsidRPr="000A6C1E" w:rsidRDefault="00A412D5" w:rsidP="00AE719F">
      <w:pPr>
        <w:spacing w:beforeLines="50" w:before="120" w:afterLines="50" w:after="120" w:line="240" w:lineRule="auto"/>
        <w:rPr>
          <w:rFonts w:ascii="宋体" w:hAnsi="宋体" w:cs="宋体"/>
          <w:color w:val="000000"/>
          <w:sz w:val="20"/>
          <w:szCs w:val="14"/>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似乎每一个华尔街的人都想为对冲基金工作，或者运作一个对冲基金。同时似乎</w:t>
      </w:r>
      <w:r w:rsidR="00A176B8" w:rsidRPr="00693B1E">
        <w:rPr>
          <w:rFonts w:ascii="宋体" w:hAnsi="宋体" w:cs="宋体" w:hint="eastAsia"/>
          <w:color w:val="212121"/>
          <w:sz w:val="28"/>
          <w:szCs w:val="20"/>
        </w:rPr>
        <w:t>每个普通百姓</w:t>
      </w:r>
      <w:r w:rsidRPr="00693B1E">
        <w:rPr>
          <w:rFonts w:ascii="宋体" w:hAnsi="宋体" w:cs="宋体" w:hint="eastAsia"/>
          <w:color w:val="212121"/>
          <w:sz w:val="28"/>
          <w:szCs w:val="20"/>
        </w:rPr>
        <w:t>也都想投资对冲基金</w:t>
      </w:r>
      <w:r w:rsidR="00AE719F">
        <w:rPr>
          <w:rFonts w:ascii="宋体" w:hAnsi="宋体" w:cs="宋体" w:hint="eastAsia"/>
          <w:color w:val="212121"/>
          <w:sz w:val="28"/>
          <w:szCs w:val="20"/>
        </w:rPr>
        <w:t>。</w:t>
      </w:r>
      <w:r w:rsidR="00A176B8" w:rsidRPr="00693B1E">
        <w:rPr>
          <w:rFonts w:ascii="宋体" w:hAnsi="宋体" w:cs="宋体" w:hint="eastAsia"/>
          <w:color w:val="212121"/>
          <w:sz w:val="28"/>
          <w:szCs w:val="20"/>
        </w:rPr>
        <w:t>当然还有一些像我们这样的，只是想了解</w:t>
      </w:r>
      <w:r w:rsidRPr="00693B1E">
        <w:rPr>
          <w:rFonts w:ascii="宋体" w:hAnsi="宋体" w:cs="宋体" w:hint="eastAsia"/>
          <w:color w:val="212121"/>
          <w:sz w:val="28"/>
          <w:szCs w:val="20"/>
        </w:rPr>
        <w:t>到底有多少对冲基金以及</w:t>
      </w:r>
      <w:r w:rsidR="00A176B8" w:rsidRPr="00693B1E">
        <w:rPr>
          <w:rFonts w:ascii="宋体" w:hAnsi="宋体" w:cs="宋体" w:hint="eastAsia"/>
          <w:color w:val="212121"/>
          <w:sz w:val="28"/>
          <w:szCs w:val="20"/>
        </w:rPr>
        <w:t>这些</w:t>
      </w:r>
      <w:r w:rsidRPr="00693B1E">
        <w:rPr>
          <w:rFonts w:ascii="宋体" w:hAnsi="宋体" w:cs="宋体" w:hint="eastAsia"/>
          <w:color w:val="212121"/>
          <w:sz w:val="28"/>
          <w:szCs w:val="20"/>
        </w:rPr>
        <w:t>对冲基金</w:t>
      </w:r>
      <w:r w:rsidR="00A176B8" w:rsidRPr="00693B1E">
        <w:rPr>
          <w:rFonts w:ascii="宋体" w:hAnsi="宋体" w:cs="宋体" w:hint="eastAsia"/>
          <w:color w:val="212121"/>
          <w:sz w:val="28"/>
          <w:szCs w:val="20"/>
        </w:rPr>
        <w:t>到底</w:t>
      </w:r>
      <w:r w:rsidR="00AE719F">
        <w:rPr>
          <w:rFonts w:ascii="宋体" w:hAnsi="宋体" w:cs="宋体" w:hint="eastAsia"/>
          <w:color w:val="212121"/>
          <w:sz w:val="28"/>
          <w:szCs w:val="20"/>
        </w:rPr>
        <w:t>管理着多少资产</w:t>
      </w:r>
      <w:r w:rsidR="00A176B8" w:rsidRPr="00693B1E">
        <w:rPr>
          <w:rFonts w:ascii="宋体" w:hAnsi="宋体" w:cs="宋体" w:hint="eastAsia"/>
          <w:color w:val="212121"/>
          <w:sz w:val="28"/>
          <w:szCs w:val="20"/>
        </w:rPr>
        <w:t>。虽然前面两个论断都是正确的，</w:t>
      </w:r>
      <w:bookmarkStart w:id="0" w:name="_GoBack"/>
      <w:bookmarkEnd w:id="0"/>
      <w:r w:rsidR="00A176B8" w:rsidRPr="00693B1E">
        <w:rPr>
          <w:rFonts w:ascii="宋体" w:hAnsi="宋体" w:cs="宋体" w:hint="eastAsia"/>
          <w:color w:val="212121"/>
          <w:sz w:val="28"/>
          <w:szCs w:val="20"/>
        </w:rPr>
        <w:t>但是想知道最后一个问题的答案却几乎不可能。</w:t>
      </w:r>
    </w:p>
    <w:p w:rsidR="008F13EC" w:rsidRPr="000A6C1E" w:rsidRDefault="008F13EC" w:rsidP="00AE719F">
      <w:pPr>
        <w:spacing w:beforeLines="50" w:before="120" w:afterLines="50" w:after="120" w:line="240" w:lineRule="auto"/>
        <w:rPr>
          <w:b/>
          <w:sz w:val="28"/>
          <w:u w:val="single"/>
        </w:rPr>
      </w:pPr>
      <w:r w:rsidRPr="000A6C1E">
        <w:rPr>
          <w:rFonts w:hint="eastAsia"/>
          <w:b/>
          <w:sz w:val="28"/>
          <w:u w:val="single"/>
        </w:rPr>
        <w:t>对冲基金</w:t>
      </w:r>
      <w:r w:rsidR="0024701F" w:rsidRPr="000A6C1E">
        <w:rPr>
          <w:rFonts w:hint="eastAsia"/>
          <w:b/>
          <w:sz w:val="28"/>
          <w:u w:val="single"/>
        </w:rPr>
        <w:t>的</w:t>
      </w:r>
      <w:r w:rsidRPr="000A6C1E">
        <w:rPr>
          <w:rFonts w:hint="eastAsia"/>
          <w:b/>
          <w:sz w:val="28"/>
          <w:u w:val="single"/>
        </w:rPr>
        <w:t>数据</w:t>
      </w:r>
      <w:r w:rsidR="0024701F" w:rsidRPr="000A6C1E">
        <w:rPr>
          <w:rFonts w:hint="eastAsia"/>
          <w:b/>
          <w:sz w:val="28"/>
          <w:u w:val="single"/>
        </w:rPr>
        <w:t>相当</w:t>
      </w:r>
      <w:r w:rsidRPr="000A6C1E">
        <w:rPr>
          <w:rFonts w:hint="eastAsia"/>
          <w:b/>
          <w:sz w:val="28"/>
          <w:u w:val="single"/>
        </w:rPr>
        <w:t>薄</w:t>
      </w:r>
      <w:r w:rsidRPr="000A6C1E">
        <w:rPr>
          <w:b/>
          <w:sz w:val="28"/>
          <w:u w:val="single"/>
        </w:rPr>
        <w:t>弱</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AE719F"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Pr>
          <w:rFonts w:ascii="宋体" w:hAnsi="宋体" w:cs="宋体" w:hint="eastAsia"/>
          <w:color w:val="212121"/>
          <w:sz w:val="28"/>
          <w:szCs w:val="20"/>
        </w:rPr>
        <w:t>全面的对冲基金数据非常匮乏</w:t>
      </w:r>
      <w:r w:rsidR="008F13EC" w:rsidRPr="00693B1E">
        <w:rPr>
          <w:rFonts w:ascii="宋体" w:hAnsi="宋体" w:cs="宋体" w:hint="eastAsia"/>
          <w:color w:val="212121"/>
          <w:sz w:val="28"/>
          <w:szCs w:val="20"/>
        </w:rPr>
        <w:t>。由于没有统一的数据库，对冲基金经理</w:t>
      </w:r>
      <w:r w:rsidR="0024701F" w:rsidRPr="00693B1E">
        <w:rPr>
          <w:rFonts w:ascii="宋体" w:hAnsi="宋体" w:cs="宋体" w:hint="eastAsia"/>
          <w:color w:val="212121"/>
          <w:sz w:val="28"/>
          <w:szCs w:val="20"/>
        </w:rPr>
        <w:t>凭自觉</w:t>
      </w:r>
      <w:r w:rsidR="008F13EC" w:rsidRPr="00693B1E">
        <w:rPr>
          <w:rFonts w:ascii="宋体" w:hAnsi="宋体" w:cs="宋体" w:hint="eastAsia"/>
          <w:color w:val="212121"/>
          <w:sz w:val="28"/>
          <w:szCs w:val="20"/>
        </w:rPr>
        <w:t>向不同的数据</w:t>
      </w:r>
      <w:r w:rsidR="0024701F" w:rsidRPr="00693B1E">
        <w:rPr>
          <w:rFonts w:ascii="宋体" w:hAnsi="宋体" w:cs="宋体" w:hint="eastAsia"/>
          <w:color w:val="212121"/>
          <w:sz w:val="28"/>
          <w:szCs w:val="20"/>
        </w:rPr>
        <w:t>库报告结果</w:t>
      </w:r>
      <w:r w:rsidR="008F13EC" w:rsidRPr="00693B1E">
        <w:rPr>
          <w:rFonts w:ascii="宋体" w:hAnsi="宋体" w:cs="宋体" w:hint="eastAsia"/>
          <w:color w:val="212121"/>
          <w:sz w:val="28"/>
          <w:szCs w:val="20"/>
        </w:rPr>
        <w:t>，</w:t>
      </w:r>
      <w:r w:rsidR="00096D28" w:rsidRPr="00693B1E">
        <w:rPr>
          <w:rFonts w:ascii="宋体" w:hAnsi="宋体" w:cs="宋体" w:hint="eastAsia"/>
          <w:color w:val="212121"/>
          <w:sz w:val="28"/>
          <w:szCs w:val="20"/>
        </w:rPr>
        <w:t>因此</w:t>
      </w:r>
      <w:r>
        <w:rPr>
          <w:rFonts w:ascii="宋体" w:hAnsi="宋体" w:cs="宋体" w:hint="eastAsia"/>
          <w:color w:val="212121"/>
          <w:sz w:val="28"/>
          <w:szCs w:val="20"/>
        </w:rPr>
        <w:t>基本上不可能</w:t>
      </w:r>
      <w:r w:rsidR="00096D28" w:rsidRPr="00693B1E">
        <w:rPr>
          <w:rFonts w:ascii="宋体" w:hAnsi="宋体" w:cs="宋体" w:hint="eastAsia"/>
          <w:color w:val="212121"/>
          <w:sz w:val="28"/>
          <w:szCs w:val="20"/>
        </w:rPr>
        <w:t>对</w:t>
      </w:r>
      <w:r w:rsidR="008F13EC" w:rsidRPr="00693B1E">
        <w:rPr>
          <w:rFonts w:ascii="宋体" w:hAnsi="宋体" w:cs="宋体" w:hint="eastAsia"/>
          <w:color w:val="212121"/>
          <w:sz w:val="28"/>
          <w:szCs w:val="20"/>
        </w:rPr>
        <w:t>对冲基金行业进行</w:t>
      </w:r>
      <w:r w:rsidR="0024701F" w:rsidRPr="00693B1E">
        <w:rPr>
          <w:rFonts w:ascii="宋体" w:hAnsi="宋体" w:cs="宋体" w:hint="eastAsia"/>
          <w:color w:val="212121"/>
          <w:sz w:val="28"/>
          <w:szCs w:val="20"/>
        </w:rPr>
        <w:t>真正的</w:t>
      </w:r>
      <w:r w:rsidR="008F13EC" w:rsidRPr="00693B1E">
        <w:rPr>
          <w:rFonts w:ascii="宋体" w:hAnsi="宋体" w:cs="宋体" w:hint="eastAsia"/>
          <w:color w:val="212121"/>
          <w:sz w:val="28"/>
          <w:szCs w:val="20"/>
        </w:rPr>
        <w:t>统计</w:t>
      </w:r>
      <w:r>
        <w:rPr>
          <w:rFonts w:ascii="宋体" w:hAnsi="宋体" w:cs="宋体" w:hint="eastAsia"/>
          <w:color w:val="212121"/>
          <w:sz w:val="28"/>
          <w:szCs w:val="20"/>
        </w:rPr>
        <w:t>。对于</w:t>
      </w:r>
      <w:r w:rsidR="008F13EC" w:rsidRPr="00693B1E">
        <w:rPr>
          <w:rFonts w:ascii="宋体" w:hAnsi="宋体" w:cs="宋体" w:hint="eastAsia"/>
          <w:color w:val="212121"/>
          <w:sz w:val="28"/>
          <w:szCs w:val="20"/>
        </w:rPr>
        <w:t>共同基金，国会</w:t>
      </w:r>
      <w:r w:rsidR="0024701F" w:rsidRPr="00693B1E">
        <w:rPr>
          <w:rFonts w:ascii="宋体" w:hAnsi="宋体" w:cs="宋体" w:hint="eastAsia"/>
          <w:color w:val="212121"/>
          <w:sz w:val="28"/>
          <w:szCs w:val="20"/>
        </w:rPr>
        <w:t>的一项法案</w:t>
      </w:r>
      <w:r w:rsidR="008F13EC" w:rsidRPr="00693B1E">
        <w:rPr>
          <w:rFonts w:ascii="宋体" w:hAnsi="宋体" w:cs="宋体" w:hint="eastAsia"/>
          <w:color w:val="212121"/>
          <w:sz w:val="28"/>
          <w:szCs w:val="20"/>
        </w:rPr>
        <w:t>要求他们每天向</w:t>
      </w:r>
      <w:r w:rsidR="0024701F" w:rsidRPr="00693B1E">
        <w:rPr>
          <w:rFonts w:ascii="宋体" w:hAnsi="宋体" w:cs="宋体" w:hint="eastAsia"/>
          <w:color w:val="212121"/>
          <w:sz w:val="28"/>
          <w:szCs w:val="20"/>
        </w:rPr>
        <w:t>美国金融行业监管局（FINRA）</w:t>
      </w:r>
      <w:r w:rsidR="008F13EC" w:rsidRPr="00693B1E">
        <w:rPr>
          <w:rFonts w:ascii="宋体" w:hAnsi="宋体" w:cs="宋体" w:hint="eastAsia"/>
          <w:color w:val="212121"/>
          <w:sz w:val="28"/>
          <w:szCs w:val="20"/>
        </w:rPr>
        <w:t>汇报回报率和管理</w:t>
      </w:r>
      <w:r w:rsidR="0024701F" w:rsidRPr="00693B1E">
        <w:rPr>
          <w:rFonts w:ascii="宋体" w:hAnsi="宋体" w:cs="宋体" w:hint="eastAsia"/>
          <w:color w:val="212121"/>
          <w:sz w:val="28"/>
          <w:szCs w:val="20"/>
        </w:rPr>
        <w:t>的</w:t>
      </w:r>
      <w:r w:rsidR="008F13EC" w:rsidRPr="00693B1E">
        <w:rPr>
          <w:rFonts w:ascii="宋体" w:hAnsi="宋体" w:cs="宋体" w:hint="eastAsia"/>
          <w:color w:val="212121"/>
          <w:sz w:val="28"/>
          <w:szCs w:val="20"/>
        </w:rPr>
        <w:t>资产金额，</w:t>
      </w:r>
      <w:r>
        <w:rPr>
          <w:rFonts w:ascii="宋体" w:hAnsi="宋体" w:cs="宋体" w:hint="eastAsia"/>
          <w:color w:val="212121"/>
          <w:sz w:val="28"/>
          <w:szCs w:val="20"/>
        </w:rPr>
        <w:t>而</w:t>
      </w:r>
      <w:r w:rsidR="008F13EC" w:rsidRPr="00693B1E">
        <w:rPr>
          <w:rFonts w:ascii="宋体" w:hAnsi="宋体" w:cs="宋体" w:hint="eastAsia"/>
          <w:color w:val="212121"/>
          <w:sz w:val="28"/>
          <w:szCs w:val="20"/>
        </w:rPr>
        <w:t>对冲基金没有这种要求。</w:t>
      </w:r>
      <w:r w:rsidR="0024701F" w:rsidRPr="00693B1E">
        <w:rPr>
          <w:rFonts w:ascii="宋体" w:hAnsi="宋体" w:cs="宋体" w:hint="eastAsia"/>
          <w:color w:val="212121"/>
          <w:sz w:val="28"/>
          <w:szCs w:val="20"/>
        </w:rPr>
        <w:t>如果希望对对冲基金行业进行管理，这对国会和政府来说确实是一个需要修正的严重问题</w:t>
      </w:r>
      <w:r w:rsidR="008F13EC"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color w:val="212121"/>
          <w:sz w:val="28"/>
          <w:szCs w:val="20"/>
        </w:rPr>
        <w:t>10</w:t>
      </w:r>
      <w:r w:rsidRPr="00693B1E">
        <w:rPr>
          <w:rFonts w:ascii="宋体" w:hAnsi="宋体" w:cs="宋体" w:hint="eastAsia"/>
          <w:color w:val="212121"/>
          <w:sz w:val="28"/>
          <w:szCs w:val="20"/>
        </w:rPr>
        <w:t>个</w:t>
      </w:r>
      <w:r w:rsidR="00096D28" w:rsidRPr="00693B1E">
        <w:rPr>
          <w:rFonts w:ascii="宋体" w:hAnsi="宋体" w:cs="宋体" w:hint="eastAsia"/>
          <w:color w:val="212121"/>
          <w:sz w:val="28"/>
          <w:szCs w:val="20"/>
        </w:rPr>
        <w:t>以上</w:t>
      </w:r>
      <w:r w:rsidR="00AE719F">
        <w:rPr>
          <w:rFonts w:ascii="宋体" w:hAnsi="宋体" w:cs="宋体" w:hint="eastAsia"/>
          <w:color w:val="212121"/>
          <w:sz w:val="28"/>
          <w:szCs w:val="20"/>
        </w:rPr>
        <w:t>受</w:t>
      </w:r>
      <w:r w:rsidRPr="00693B1E">
        <w:rPr>
          <w:rFonts w:ascii="宋体" w:hAnsi="宋体" w:cs="宋体" w:hint="eastAsia"/>
          <w:color w:val="212121"/>
          <w:sz w:val="28"/>
          <w:szCs w:val="20"/>
        </w:rPr>
        <w:t>认可的对冲基金数据库</w:t>
      </w:r>
      <w:r w:rsidR="00096D28" w:rsidRPr="00693B1E">
        <w:rPr>
          <w:rFonts w:ascii="宋体" w:hAnsi="宋体" w:cs="宋体" w:hint="eastAsia"/>
          <w:color w:val="212121"/>
          <w:sz w:val="28"/>
          <w:szCs w:val="20"/>
        </w:rPr>
        <w:t>，</w:t>
      </w:r>
      <w:r w:rsidRPr="00693B1E">
        <w:rPr>
          <w:rFonts w:ascii="宋体" w:hAnsi="宋体" w:cs="宋体" w:hint="eastAsia"/>
          <w:color w:val="212121"/>
          <w:sz w:val="28"/>
          <w:szCs w:val="20"/>
        </w:rPr>
        <w:t>按照一定的规</w:t>
      </w:r>
      <w:r w:rsidR="00AA216A" w:rsidRPr="00693B1E">
        <w:rPr>
          <w:rFonts w:ascii="宋体" w:hAnsi="宋体" w:cs="宋体" w:hint="eastAsia"/>
          <w:color w:val="212121"/>
          <w:sz w:val="28"/>
          <w:szCs w:val="20"/>
        </w:rPr>
        <w:t>则</w:t>
      </w:r>
      <w:r w:rsidRPr="00693B1E">
        <w:rPr>
          <w:rFonts w:ascii="宋体" w:hAnsi="宋体" w:cs="宋体" w:hint="eastAsia"/>
          <w:color w:val="212121"/>
          <w:sz w:val="28"/>
          <w:szCs w:val="20"/>
        </w:rPr>
        <w:t>来收集和</w:t>
      </w:r>
      <w:r w:rsidR="00AA216A" w:rsidRPr="00693B1E">
        <w:rPr>
          <w:rFonts w:ascii="宋体" w:hAnsi="宋体" w:cs="宋体" w:hint="eastAsia"/>
          <w:color w:val="212121"/>
          <w:sz w:val="28"/>
          <w:szCs w:val="20"/>
        </w:rPr>
        <w:t>公布</w:t>
      </w:r>
      <w:r w:rsidRPr="00693B1E">
        <w:rPr>
          <w:rFonts w:ascii="宋体" w:hAnsi="宋体" w:cs="宋体" w:hint="eastAsia"/>
          <w:color w:val="212121"/>
          <w:sz w:val="28"/>
          <w:szCs w:val="20"/>
        </w:rPr>
        <w:t>对冲基金数据。</w:t>
      </w:r>
      <w:r w:rsidR="00AE719F">
        <w:rPr>
          <w:rFonts w:ascii="宋体" w:hAnsi="宋体" w:cs="宋体" w:hint="eastAsia"/>
          <w:color w:val="212121"/>
          <w:sz w:val="28"/>
          <w:szCs w:val="20"/>
        </w:rPr>
        <w:t>最值得关注</w:t>
      </w:r>
      <w:r w:rsidR="00AA216A" w:rsidRPr="00693B1E">
        <w:rPr>
          <w:rFonts w:ascii="宋体" w:hAnsi="宋体" w:cs="宋体" w:hint="eastAsia"/>
          <w:color w:val="212121"/>
          <w:sz w:val="28"/>
          <w:szCs w:val="20"/>
        </w:rPr>
        <w:t>的包括但不限于</w:t>
      </w:r>
      <w:r w:rsidR="00003C63" w:rsidRPr="00693B1E">
        <w:rPr>
          <w:rFonts w:ascii="宋体" w:hAnsi="宋体" w:cs="宋体"/>
          <w:color w:val="212121"/>
          <w:sz w:val="28"/>
          <w:szCs w:val="20"/>
        </w:rPr>
        <w:t>瑞士信贷</w:t>
      </w:r>
      <w:r w:rsidR="00003C63" w:rsidRPr="00693B1E">
        <w:rPr>
          <w:rFonts w:ascii="宋体" w:hAnsi="宋体" w:cs="宋体" w:hint="eastAsia"/>
          <w:color w:val="212121"/>
          <w:sz w:val="28"/>
          <w:szCs w:val="20"/>
        </w:rPr>
        <w:t>/</w:t>
      </w:r>
      <w:r w:rsidR="00003C63" w:rsidRPr="00693B1E">
        <w:rPr>
          <w:rFonts w:ascii="宋体" w:hAnsi="宋体" w:cs="宋体"/>
          <w:color w:val="212121"/>
          <w:sz w:val="28"/>
          <w:szCs w:val="20"/>
        </w:rPr>
        <w:t>特里蒙特</w:t>
      </w:r>
      <w:r w:rsidR="00003C63" w:rsidRPr="00693B1E">
        <w:rPr>
          <w:rFonts w:ascii="宋体" w:hAnsi="宋体" w:cs="宋体" w:hint="eastAsia"/>
          <w:color w:val="212121"/>
          <w:sz w:val="28"/>
          <w:szCs w:val="20"/>
        </w:rPr>
        <w:t>(</w:t>
      </w:r>
      <w:r w:rsidRPr="00693B1E">
        <w:rPr>
          <w:rFonts w:ascii="宋体" w:hAnsi="宋体" w:cs="宋体"/>
          <w:color w:val="212121"/>
          <w:sz w:val="28"/>
          <w:szCs w:val="20"/>
        </w:rPr>
        <w:t>Credit Suisse/Tremont</w:t>
      </w:r>
      <w:r w:rsidR="00003C63" w:rsidRPr="00693B1E">
        <w:rPr>
          <w:rFonts w:ascii="宋体" w:hAnsi="宋体" w:cs="宋体" w:hint="eastAsia"/>
          <w:color w:val="212121"/>
          <w:sz w:val="28"/>
          <w:szCs w:val="20"/>
        </w:rPr>
        <w:t>)</w:t>
      </w:r>
      <w:r w:rsidRPr="00693B1E">
        <w:rPr>
          <w:rFonts w:ascii="宋体" w:hAnsi="宋体" w:cs="宋体"/>
          <w:color w:val="212121"/>
          <w:sz w:val="28"/>
          <w:szCs w:val="20"/>
        </w:rPr>
        <w:t>,</w:t>
      </w:r>
      <w:r w:rsidR="00003C63" w:rsidRPr="00693B1E">
        <w:rPr>
          <w:rFonts w:ascii="宋体" w:hAnsi="宋体" w:cs="宋体"/>
          <w:color w:val="212121"/>
          <w:sz w:val="28"/>
          <w:szCs w:val="20"/>
        </w:rPr>
        <w:t xml:space="preserve"> </w:t>
      </w:r>
      <w:hyperlink r:id="rId8" w:tgtFrame="_blank" w:history="1">
        <w:r w:rsidRPr="00693B1E">
          <w:rPr>
            <w:rFonts w:ascii="宋体" w:hAnsi="宋体" w:cs="宋体"/>
            <w:color w:val="212121"/>
            <w:sz w:val="28"/>
            <w:szCs w:val="20"/>
          </w:rPr>
          <w:t>hedgefund.net</w:t>
        </w:r>
      </w:hyperlink>
      <w:r w:rsidRPr="00693B1E">
        <w:rPr>
          <w:rFonts w:ascii="宋体" w:hAnsi="宋体" w:cs="宋体"/>
          <w:color w:val="212121"/>
          <w:sz w:val="28"/>
          <w:szCs w:val="20"/>
        </w:rPr>
        <w:t xml:space="preserve">, </w:t>
      </w:r>
      <w:r w:rsidR="00003C63" w:rsidRPr="00693B1E">
        <w:rPr>
          <w:rFonts w:ascii="宋体" w:hAnsi="宋体" w:cs="宋体" w:hint="eastAsia"/>
          <w:color w:val="212121"/>
          <w:sz w:val="28"/>
          <w:szCs w:val="20"/>
        </w:rPr>
        <w:t>晨星（</w:t>
      </w:r>
      <w:r w:rsidRPr="00693B1E">
        <w:rPr>
          <w:rFonts w:ascii="宋体" w:hAnsi="宋体" w:cs="宋体"/>
          <w:color w:val="212121"/>
          <w:sz w:val="28"/>
          <w:szCs w:val="20"/>
        </w:rPr>
        <w:t>Morningstar</w:t>
      </w:r>
      <w:r w:rsidR="00003C63" w:rsidRPr="00693B1E">
        <w:rPr>
          <w:rFonts w:ascii="宋体" w:hAnsi="宋体" w:cs="宋体" w:hint="eastAsia"/>
          <w:color w:val="212121"/>
          <w:sz w:val="28"/>
          <w:szCs w:val="20"/>
        </w:rPr>
        <w:t>）</w:t>
      </w:r>
      <w:r w:rsidRPr="00693B1E">
        <w:rPr>
          <w:rFonts w:ascii="宋体" w:hAnsi="宋体" w:cs="宋体"/>
          <w:color w:val="212121"/>
          <w:sz w:val="28"/>
          <w:szCs w:val="20"/>
        </w:rPr>
        <w:t>,</w:t>
      </w:r>
      <w:r w:rsidRPr="00693B1E">
        <w:rPr>
          <w:rFonts w:ascii="宋体" w:hAnsi="宋体" w:cs="宋体" w:hint="eastAsia"/>
          <w:color w:val="212121"/>
          <w:sz w:val="28"/>
          <w:szCs w:val="20"/>
        </w:rPr>
        <w:t>和</w:t>
      </w:r>
      <w:r w:rsidR="00003C63" w:rsidRPr="00693B1E">
        <w:rPr>
          <w:rFonts w:ascii="宋体" w:hAnsi="宋体" w:cs="宋体" w:hint="eastAsia"/>
          <w:color w:val="212121"/>
          <w:sz w:val="28"/>
          <w:szCs w:val="20"/>
        </w:rPr>
        <w:t>巴克莱</w:t>
      </w:r>
      <w:r w:rsidRPr="00693B1E">
        <w:rPr>
          <w:rFonts w:ascii="宋体" w:hAnsi="宋体" w:cs="宋体" w:hint="eastAsia"/>
          <w:color w:val="212121"/>
          <w:sz w:val="28"/>
          <w:szCs w:val="20"/>
        </w:rPr>
        <w:t>集团</w:t>
      </w:r>
      <w:r w:rsidR="00003C63" w:rsidRPr="00693B1E">
        <w:rPr>
          <w:rFonts w:ascii="宋体" w:hAnsi="宋体" w:cs="宋体" w:hint="eastAsia"/>
          <w:color w:val="212121"/>
          <w:sz w:val="28"/>
          <w:szCs w:val="20"/>
        </w:rPr>
        <w:t>（</w:t>
      </w:r>
      <w:r w:rsidR="00003C63" w:rsidRPr="00693B1E">
        <w:rPr>
          <w:rFonts w:ascii="宋体" w:hAnsi="宋体" w:cs="宋体"/>
          <w:color w:val="212121"/>
          <w:sz w:val="28"/>
          <w:szCs w:val="20"/>
        </w:rPr>
        <w:t>Barclay</w:t>
      </w:r>
      <w:r w:rsidR="00003C63" w:rsidRPr="00693B1E">
        <w:rPr>
          <w:rFonts w:ascii="宋体" w:hAnsi="宋体" w:cs="宋体" w:hint="eastAsia"/>
          <w:color w:val="212121"/>
          <w:sz w:val="28"/>
          <w:szCs w:val="20"/>
        </w:rPr>
        <w:t xml:space="preserve"> Group）</w:t>
      </w:r>
      <w:r w:rsidR="00096D28" w:rsidRPr="00693B1E">
        <w:rPr>
          <w:rFonts w:ascii="宋体" w:hAnsi="宋体" w:cs="宋体" w:hint="eastAsia"/>
          <w:color w:val="212121"/>
          <w:sz w:val="28"/>
          <w:szCs w:val="20"/>
        </w:rPr>
        <w:t>等</w:t>
      </w:r>
      <w:r w:rsidRPr="00693B1E">
        <w:rPr>
          <w:rFonts w:ascii="宋体" w:hAnsi="宋体" w:cs="宋体" w:hint="eastAsia"/>
          <w:color w:val="212121"/>
          <w:sz w:val="28"/>
          <w:szCs w:val="20"/>
        </w:rPr>
        <w:t>。许多基金经理</w:t>
      </w:r>
      <w:r w:rsidR="00AA216A" w:rsidRPr="00693B1E">
        <w:rPr>
          <w:rFonts w:ascii="宋体" w:hAnsi="宋体" w:cs="宋体" w:hint="eastAsia"/>
          <w:color w:val="212121"/>
          <w:sz w:val="28"/>
          <w:szCs w:val="20"/>
        </w:rPr>
        <w:t>或者因为不</w:t>
      </w:r>
      <w:r w:rsidRPr="00693B1E">
        <w:rPr>
          <w:rFonts w:ascii="宋体" w:hAnsi="宋体" w:cs="宋体" w:hint="eastAsia"/>
          <w:color w:val="212121"/>
          <w:sz w:val="28"/>
          <w:szCs w:val="20"/>
        </w:rPr>
        <w:t>接受新的投资，或者不愿意</w:t>
      </w:r>
      <w:r w:rsidR="00AA216A" w:rsidRPr="00693B1E">
        <w:rPr>
          <w:rFonts w:ascii="宋体" w:hAnsi="宋体" w:cs="宋体" w:hint="eastAsia"/>
          <w:color w:val="212121"/>
          <w:sz w:val="28"/>
          <w:szCs w:val="20"/>
        </w:rPr>
        <w:t>对这些数据库公开业绩</w:t>
      </w:r>
      <w:r w:rsidRPr="00693B1E">
        <w:rPr>
          <w:rFonts w:ascii="宋体" w:hAnsi="宋体" w:cs="宋体" w:hint="eastAsia"/>
          <w:color w:val="212121"/>
          <w:sz w:val="28"/>
          <w:szCs w:val="20"/>
        </w:rPr>
        <w:t>，</w:t>
      </w:r>
      <w:r w:rsidR="00AA216A" w:rsidRPr="00693B1E">
        <w:rPr>
          <w:rFonts w:ascii="宋体" w:hAnsi="宋体" w:cs="宋体" w:hint="eastAsia"/>
          <w:color w:val="212121"/>
          <w:sz w:val="28"/>
          <w:szCs w:val="20"/>
        </w:rPr>
        <w:t>可以简单的</w:t>
      </w:r>
      <w:r w:rsidRPr="00693B1E">
        <w:rPr>
          <w:rFonts w:ascii="宋体" w:hAnsi="宋体" w:cs="宋体" w:hint="eastAsia"/>
          <w:color w:val="212121"/>
          <w:sz w:val="28"/>
          <w:szCs w:val="20"/>
        </w:rPr>
        <w:t>不承认自己基金的存在</w:t>
      </w:r>
      <w:r w:rsidR="00AA216A" w:rsidRPr="00693B1E">
        <w:rPr>
          <w:rFonts w:ascii="宋体" w:hAnsi="宋体" w:cs="宋体" w:hint="eastAsia"/>
          <w:color w:val="212121"/>
          <w:sz w:val="28"/>
          <w:szCs w:val="20"/>
        </w:rPr>
        <w:t>，并且选择不向这些数据库公司提供数据</w:t>
      </w:r>
      <w:r w:rsidRPr="00693B1E">
        <w:rPr>
          <w:rFonts w:ascii="宋体" w:hAnsi="宋体" w:cs="宋体" w:hint="eastAsia"/>
          <w:color w:val="212121"/>
          <w:sz w:val="28"/>
          <w:szCs w:val="20"/>
        </w:rPr>
        <w:t>。因为</w:t>
      </w:r>
      <w:r w:rsidR="00AA216A" w:rsidRPr="00693B1E">
        <w:rPr>
          <w:rFonts w:ascii="宋体" w:hAnsi="宋体" w:cs="宋体" w:hint="eastAsia"/>
          <w:color w:val="212121"/>
          <w:sz w:val="28"/>
          <w:szCs w:val="20"/>
        </w:rPr>
        <w:t>没有</w:t>
      </w:r>
      <w:r w:rsidR="00F53F97">
        <w:rPr>
          <w:rFonts w:ascii="宋体" w:hAnsi="宋体" w:cs="宋体" w:hint="eastAsia"/>
          <w:color w:val="212121"/>
          <w:sz w:val="28"/>
          <w:szCs w:val="20"/>
        </w:rPr>
        <w:t>强制的</w:t>
      </w:r>
      <w:r w:rsidR="00660A71" w:rsidRPr="00693B1E">
        <w:rPr>
          <w:rFonts w:ascii="宋体" w:hAnsi="宋体" w:cs="宋体" w:hint="eastAsia"/>
          <w:color w:val="212121"/>
          <w:sz w:val="28"/>
          <w:szCs w:val="20"/>
        </w:rPr>
        <w:t>报告</w:t>
      </w:r>
      <w:r w:rsidRPr="00693B1E">
        <w:rPr>
          <w:rFonts w:ascii="宋体" w:hAnsi="宋体" w:cs="宋体" w:hint="eastAsia"/>
          <w:color w:val="212121"/>
          <w:sz w:val="28"/>
          <w:szCs w:val="20"/>
        </w:rPr>
        <w:t>要求，</w:t>
      </w:r>
      <w:r w:rsidR="00F53F97">
        <w:rPr>
          <w:rFonts w:ascii="宋体" w:hAnsi="宋体" w:cs="宋体" w:hint="eastAsia"/>
          <w:color w:val="212121"/>
          <w:sz w:val="28"/>
          <w:szCs w:val="20"/>
        </w:rPr>
        <w:t>大部分</w:t>
      </w:r>
      <w:r w:rsidRPr="00693B1E">
        <w:rPr>
          <w:rFonts w:ascii="宋体" w:hAnsi="宋体" w:cs="宋体" w:hint="eastAsia"/>
          <w:color w:val="212121"/>
          <w:sz w:val="28"/>
          <w:szCs w:val="20"/>
        </w:rPr>
        <w:t>数据库只是尽</w:t>
      </w:r>
      <w:r w:rsidR="00660A71" w:rsidRPr="00693B1E">
        <w:rPr>
          <w:rFonts w:ascii="宋体" w:hAnsi="宋体" w:cs="宋体" w:hint="eastAsia"/>
          <w:color w:val="212121"/>
          <w:sz w:val="28"/>
          <w:szCs w:val="20"/>
        </w:rPr>
        <w:t>其所能收集</w:t>
      </w:r>
      <w:r w:rsidR="00F53F97">
        <w:rPr>
          <w:rFonts w:ascii="宋体" w:hAnsi="宋体" w:cs="宋体" w:hint="eastAsia"/>
          <w:color w:val="212121"/>
          <w:sz w:val="28"/>
          <w:szCs w:val="20"/>
        </w:rPr>
        <w:t>信息。</w:t>
      </w:r>
      <w:r w:rsidRPr="00693B1E">
        <w:rPr>
          <w:rFonts w:ascii="宋体" w:hAnsi="宋体" w:cs="宋体" w:hint="eastAsia"/>
          <w:color w:val="212121"/>
          <w:sz w:val="28"/>
          <w:szCs w:val="20"/>
        </w:rPr>
        <w:t>那些</w:t>
      </w:r>
      <w:r w:rsidR="00660A71" w:rsidRPr="00693B1E">
        <w:rPr>
          <w:rFonts w:ascii="宋体" w:hAnsi="宋体" w:cs="宋体" w:hint="eastAsia"/>
          <w:color w:val="212121"/>
          <w:sz w:val="28"/>
          <w:szCs w:val="20"/>
        </w:rPr>
        <w:t>历史上</w:t>
      </w:r>
      <w:r w:rsidRPr="00693B1E">
        <w:rPr>
          <w:rFonts w:ascii="宋体" w:hAnsi="宋体" w:cs="宋体" w:hint="eastAsia"/>
          <w:color w:val="212121"/>
          <w:sz w:val="28"/>
          <w:szCs w:val="20"/>
        </w:rPr>
        <w:t>表现出色的对冲基金</w:t>
      </w:r>
      <w:r w:rsidR="00096D28" w:rsidRPr="00693B1E">
        <w:rPr>
          <w:rFonts w:ascii="宋体" w:hAnsi="宋体" w:cs="宋体" w:hint="eastAsia"/>
          <w:color w:val="212121"/>
          <w:sz w:val="28"/>
          <w:szCs w:val="20"/>
        </w:rPr>
        <w:t>愿意</w:t>
      </w:r>
      <w:r w:rsidRPr="00693B1E">
        <w:rPr>
          <w:rFonts w:ascii="宋体" w:hAnsi="宋体" w:cs="宋体" w:hint="eastAsia"/>
          <w:color w:val="212121"/>
          <w:sz w:val="28"/>
          <w:szCs w:val="20"/>
        </w:rPr>
        <w:t>公开他们的数据，而那些表现不好的</w:t>
      </w:r>
      <w:r w:rsidR="00096D28" w:rsidRPr="00693B1E">
        <w:rPr>
          <w:rFonts w:ascii="宋体" w:hAnsi="宋体" w:cs="宋体" w:hint="eastAsia"/>
          <w:color w:val="212121"/>
          <w:sz w:val="28"/>
          <w:szCs w:val="20"/>
        </w:rPr>
        <w:t>则</w:t>
      </w:r>
      <w:r w:rsidRPr="00693B1E">
        <w:rPr>
          <w:rFonts w:ascii="宋体" w:hAnsi="宋体" w:cs="宋体" w:hint="eastAsia"/>
          <w:color w:val="212121"/>
          <w:sz w:val="28"/>
          <w:szCs w:val="20"/>
        </w:rPr>
        <w:t>不</w:t>
      </w:r>
      <w:r w:rsidR="00096D28" w:rsidRPr="00693B1E">
        <w:rPr>
          <w:rFonts w:ascii="宋体" w:hAnsi="宋体" w:cs="宋体" w:hint="eastAsia"/>
          <w:color w:val="212121"/>
          <w:sz w:val="28"/>
          <w:szCs w:val="20"/>
        </w:rPr>
        <w:t>情愿</w:t>
      </w:r>
      <w:r w:rsidRPr="00693B1E">
        <w:rPr>
          <w:rFonts w:ascii="宋体" w:hAnsi="宋体" w:cs="宋体" w:hint="eastAsia"/>
          <w:color w:val="212121"/>
          <w:sz w:val="28"/>
          <w:szCs w:val="20"/>
        </w:rPr>
        <w:t>公开。这</w:t>
      </w:r>
      <w:r w:rsidR="000E7503" w:rsidRPr="00693B1E">
        <w:rPr>
          <w:rFonts w:ascii="宋体" w:hAnsi="宋体" w:cs="宋体" w:hint="eastAsia"/>
          <w:color w:val="212121"/>
          <w:sz w:val="28"/>
          <w:szCs w:val="20"/>
        </w:rPr>
        <w:t>个行业的情况</w:t>
      </w:r>
      <w:r w:rsidRPr="00693B1E">
        <w:rPr>
          <w:rFonts w:ascii="宋体" w:hAnsi="宋体" w:cs="宋体" w:hint="eastAsia"/>
          <w:color w:val="212121"/>
          <w:sz w:val="28"/>
          <w:szCs w:val="20"/>
        </w:rPr>
        <w:t>听起</w:t>
      </w:r>
      <w:r w:rsidR="00096D28" w:rsidRPr="00693B1E">
        <w:rPr>
          <w:rFonts w:ascii="宋体" w:hAnsi="宋体" w:cs="宋体" w:hint="eastAsia"/>
          <w:color w:val="212121"/>
          <w:sz w:val="28"/>
          <w:szCs w:val="20"/>
        </w:rPr>
        <w:t>来</w:t>
      </w:r>
      <w:r w:rsidR="000E7503" w:rsidRPr="00693B1E">
        <w:rPr>
          <w:rFonts w:ascii="宋体" w:hAnsi="宋体" w:cs="宋体" w:hint="eastAsia"/>
          <w:color w:val="212121"/>
          <w:sz w:val="28"/>
          <w:szCs w:val="20"/>
        </w:rPr>
        <w:t>确实</w:t>
      </w:r>
      <w:r w:rsidRPr="00693B1E">
        <w:rPr>
          <w:rFonts w:ascii="宋体" w:hAnsi="宋体" w:cs="宋体" w:hint="eastAsia"/>
          <w:color w:val="212121"/>
          <w:sz w:val="28"/>
          <w:szCs w:val="20"/>
        </w:rPr>
        <w:t>很荒唐。虽然</w:t>
      </w:r>
      <w:r w:rsidR="000E7503" w:rsidRPr="00693B1E">
        <w:rPr>
          <w:rFonts w:ascii="宋体" w:hAnsi="宋体" w:cs="宋体" w:hint="eastAsia"/>
          <w:color w:val="212121"/>
          <w:sz w:val="28"/>
          <w:szCs w:val="20"/>
        </w:rPr>
        <w:t>没啥意义，</w:t>
      </w:r>
      <w:r w:rsidRPr="00693B1E">
        <w:rPr>
          <w:rFonts w:ascii="宋体" w:hAnsi="宋体" w:cs="宋体" w:hint="eastAsia"/>
          <w:color w:val="212121"/>
          <w:sz w:val="28"/>
          <w:szCs w:val="20"/>
        </w:rPr>
        <w:t>但是</w:t>
      </w:r>
      <w:r w:rsidR="000E7503" w:rsidRPr="00693B1E">
        <w:rPr>
          <w:rFonts w:ascii="宋体" w:hAnsi="宋体" w:cs="宋体" w:hint="eastAsia"/>
          <w:color w:val="212121"/>
          <w:sz w:val="28"/>
          <w:szCs w:val="20"/>
        </w:rPr>
        <w:t>现状就是如此</w:t>
      </w:r>
      <w:r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许多服务商，包括</w:t>
      </w:r>
      <w:r w:rsidR="00D22FA3" w:rsidRPr="00693B1E">
        <w:rPr>
          <w:rFonts w:ascii="宋体" w:hAnsi="宋体" w:cs="宋体" w:hint="eastAsia"/>
          <w:color w:val="212121"/>
          <w:sz w:val="28"/>
          <w:szCs w:val="20"/>
        </w:rPr>
        <w:t>主要的</w:t>
      </w:r>
      <w:r w:rsidRPr="00693B1E">
        <w:rPr>
          <w:rFonts w:ascii="宋体" w:hAnsi="宋体" w:cs="宋体" w:hint="eastAsia"/>
          <w:color w:val="212121"/>
          <w:sz w:val="28"/>
          <w:szCs w:val="20"/>
        </w:rPr>
        <w:t>经纪</w:t>
      </w:r>
      <w:r w:rsidR="00D22FA3" w:rsidRPr="00693B1E">
        <w:rPr>
          <w:rFonts w:ascii="宋体" w:hAnsi="宋体" w:cs="宋体" w:hint="eastAsia"/>
          <w:color w:val="212121"/>
          <w:sz w:val="28"/>
          <w:szCs w:val="20"/>
        </w:rPr>
        <w:t>商</w:t>
      </w:r>
      <w:r w:rsidRPr="00693B1E">
        <w:rPr>
          <w:rFonts w:ascii="宋体" w:hAnsi="宋体" w:cs="宋体" w:hint="eastAsia"/>
          <w:color w:val="212121"/>
          <w:sz w:val="28"/>
          <w:szCs w:val="20"/>
        </w:rPr>
        <w:t>和</w:t>
      </w:r>
      <w:r w:rsidR="00D22FA3" w:rsidRPr="00693B1E">
        <w:rPr>
          <w:rFonts w:ascii="宋体" w:hAnsi="宋体" w:cs="宋体" w:hint="eastAsia"/>
          <w:color w:val="212121"/>
          <w:sz w:val="28"/>
          <w:szCs w:val="20"/>
        </w:rPr>
        <w:t>信息源</w:t>
      </w:r>
      <w:r w:rsidRPr="00693B1E">
        <w:rPr>
          <w:rFonts w:ascii="宋体" w:hAnsi="宋体" w:cs="宋体" w:hint="eastAsia"/>
          <w:color w:val="212121"/>
          <w:sz w:val="28"/>
          <w:szCs w:val="20"/>
        </w:rPr>
        <w:t>，比如</w:t>
      </w:r>
      <w:r w:rsidRPr="00693B1E">
        <w:rPr>
          <w:rFonts w:ascii="宋体" w:hAnsi="宋体" w:cs="宋体"/>
          <w:color w:val="212121"/>
          <w:sz w:val="28"/>
          <w:szCs w:val="20"/>
        </w:rPr>
        <w:t>Infovest21</w:t>
      </w:r>
      <w:r w:rsidRPr="00693B1E">
        <w:rPr>
          <w:rFonts w:ascii="宋体" w:hAnsi="宋体" w:cs="宋体" w:hint="eastAsia"/>
          <w:color w:val="212121"/>
          <w:sz w:val="28"/>
          <w:szCs w:val="20"/>
        </w:rPr>
        <w:t>和</w:t>
      </w:r>
      <w:r w:rsidRPr="00693B1E">
        <w:rPr>
          <w:rFonts w:ascii="宋体" w:hAnsi="宋体" w:cs="宋体"/>
          <w:color w:val="212121"/>
          <w:sz w:val="28"/>
          <w:szCs w:val="20"/>
        </w:rPr>
        <w:t>Lipper Hedge World</w:t>
      </w:r>
      <w:r w:rsidR="00CC351B" w:rsidRPr="00693B1E">
        <w:rPr>
          <w:rFonts w:ascii="宋体" w:hAnsi="宋体" w:cs="宋体" w:hint="eastAsia"/>
          <w:color w:val="212121"/>
          <w:sz w:val="28"/>
          <w:szCs w:val="20"/>
        </w:rPr>
        <w:t>等都曾调研</w:t>
      </w:r>
      <w:proofErr w:type="gramStart"/>
      <w:r w:rsidR="00CC351B" w:rsidRPr="00693B1E">
        <w:rPr>
          <w:rFonts w:ascii="宋体" w:hAnsi="宋体" w:cs="宋体" w:hint="eastAsia"/>
          <w:color w:val="212121"/>
          <w:sz w:val="28"/>
          <w:szCs w:val="20"/>
        </w:rPr>
        <w:t>过行业</w:t>
      </w:r>
      <w:proofErr w:type="gramEnd"/>
      <w:r w:rsidR="00CC351B" w:rsidRPr="00693B1E">
        <w:rPr>
          <w:rFonts w:ascii="宋体" w:hAnsi="宋体" w:cs="宋体" w:hint="eastAsia"/>
          <w:color w:val="212121"/>
          <w:sz w:val="28"/>
          <w:szCs w:val="20"/>
        </w:rPr>
        <w:t>的规模，</w:t>
      </w:r>
      <w:r w:rsidRPr="00693B1E">
        <w:rPr>
          <w:rFonts w:ascii="宋体" w:hAnsi="宋体" w:cs="宋体" w:hint="eastAsia"/>
          <w:color w:val="212121"/>
          <w:sz w:val="28"/>
          <w:szCs w:val="20"/>
        </w:rPr>
        <w:t>但是数据可能</w:t>
      </w:r>
      <w:r w:rsidR="00CC351B" w:rsidRPr="00693B1E">
        <w:rPr>
          <w:rFonts w:ascii="宋体" w:hAnsi="宋体" w:cs="宋体" w:hint="eastAsia"/>
          <w:color w:val="212121"/>
          <w:sz w:val="28"/>
          <w:szCs w:val="20"/>
        </w:rPr>
        <w:t>并</w:t>
      </w:r>
      <w:r w:rsidRPr="00693B1E">
        <w:rPr>
          <w:rFonts w:ascii="宋体" w:hAnsi="宋体" w:cs="宋体" w:hint="eastAsia"/>
          <w:color w:val="212121"/>
          <w:sz w:val="28"/>
          <w:szCs w:val="20"/>
        </w:rPr>
        <w:t>不准确。</w:t>
      </w:r>
      <w:r w:rsidR="00CC351B" w:rsidRPr="00693B1E">
        <w:rPr>
          <w:rFonts w:ascii="宋体" w:hAnsi="宋体" w:cs="宋体" w:hint="eastAsia"/>
          <w:color w:val="212121"/>
          <w:sz w:val="28"/>
          <w:szCs w:val="20"/>
        </w:rPr>
        <w:t>最近一次</w:t>
      </w:r>
      <w:r w:rsidRPr="00693B1E">
        <w:rPr>
          <w:rFonts w:ascii="宋体" w:hAnsi="宋体" w:cs="宋体" w:hint="eastAsia"/>
          <w:color w:val="212121"/>
          <w:sz w:val="28"/>
          <w:szCs w:val="20"/>
        </w:rPr>
        <w:t>在</w:t>
      </w:r>
      <w:r w:rsidRPr="00693B1E">
        <w:rPr>
          <w:rFonts w:ascii="宋体" w:hAnsi="宋体" w:cs="宋体"/>
          <w:color w:val="212121"/>
          <w:sz w:val="28"/>
          <w:szCs w:val="20"/>
        </w:rPr>
        <w:t>2008</w:t>
      </w:r>
      <w:r w:rsidRPr="00693B1E">
        <w:rPr>
          <w:rFonts w:ascii="宋体" w:hAnsi="宋体" w:cs="宋体" w:hint="eastAsia"/>
          <w:color w:val="212121"/>
          <w:sz w:val="28"/>
          <w:szCs w:val="20"/>
        </w:rPr>
        <w:t>年</w:t>
      </w:r>
      <w:r w:rsidR="00CC351B" w:rsidRPr="00693B1E">
        <w:rPr>
          <w:rFonts w:ascii="宋体" w:hAnsi="宋体" w:cs="宋体" w:hint="eastAsia"/>
          <w:color w:val="212121"/>
          <w:sz w:val="28"/>
          <w:szCs w:val="20"/>
        </w:rPr>
        <w:t>的调查指出</w:t>
      </w:r>
      <w:r w:rsidRPr="00693B1E">
        <w:rPr>
          <w:rFonts w:ascii="宋体" w:hAnsi="宋体" w:cs="宋体" w:hint="eastAsia"/>
          <w:color w:val="212121"/>
          <w:sz w:val="28"/>
          <w:szCs w:val="20"/>
        </w:rPr>
        <w:t>，对冲基金行业管理的资产</w:t>
      </w:r>
      <w:r w:rsidR="00CC351B" w:rsidRPr="00693B1E">
        <w:rPr>
          <w:rFonts w:ascii="宋体" w:hAnsi="宋体" w:cs="宋体" w:hint="eastAsia"/>
          <w:color w:val="212121"/>
          <w:sz w:val="28"/>
          <w:szCs w:val="20"/>
        </w:rPr>
        <w:t>规模大概是2</w:t>
      </w:r>
      <w:proofErr w:type="gramStart"/>
      <w:r w:rsidR="00CC351B" w:rsidRPr="00693B1E">
        <w:rPr>
          <w:rFonts w:ascii="宋体" w:hAnsi="宋体" w:cs="宋体" w:hint="eastAsia"/>
          <w:color w:val="212121"/>
          <w:sz w:val="28"/>
          <w:szCs w:val="20"/>
        </w:rPr>
        <w:t>万亿</w:t>
      </w:r>
      <w:proofErr w:type="gramEnd"/>
      <w:r w:rsidR="00CC351B" w:rsidRPr="00693B1E">
        <w:rPr>
          <w:rFonts w:ascii="宋体" w:hAnsi="宋体" w:cs="宋体" w:hint="eastAsia"/>
          <w:color w:val="212121"/>
          <w:sz w:val="28"/>
          <w:szCs w:val="20"/>
        </w:rPr>
        <w:t>美元</w:t>
      </w:r>
      <w:r w:rsidRPr="00693B1E">
        <w:rPr>
          <w:rFonts w:ascii="宋体" w:hAnsi="宋体" w:cs="宋体"/>
          <w:color w:val="212121"/>
          <w:sz w:val="28"/>
          <w:szCs w:val="20"/>
        </w:rPr>
        <w:t>。</w:t>
      </w:r>
      <w:r w:rsidR="007655F8">
        <w:rPr>
          <w:rStyle w:val="a8"/>
          <w:rFonts w:ascii="宋体" w:hAnsi="宋体" w:cs="宋体"/>
          <w:color w:val="212121"/>
          <w:sz w:val="28"/>
          <w:szCs w:val="20"/>
        </w:rPr>
        <w:footnoteReference w:id="1"/>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F53F97" w:rsidRDefault="00F53F97" w:rsidP="00AE719F">
      <w:pPr>
        <w:spacing w:beforeLines="50" w:before="120" w:afterLines="50" w:after="120" w:line="240" w:lineRule="auto"/>
        <w:rPr>
          <w:rFonts w:ascii="Times New Roman" w:eastAsia="Times New Roman" w:hAnsi="Times New Roman"/>
          <w:b/>
          <w:color w:val="000000"/>
          <w:sz w:val="28"/>
          <w:szCs w:val="18"/>
        </w:rPr>
      </w:pPr>
      <w:r>
        <w:rPr>
          <w:rFonts w:ascii="宋体" w:hAnsi="宋体" w:cs="宋体" w:hint="eastAsia"/>
          <w:b/>
          <w:color w:val="000000"/>
          <w:sz w:val="28"/>
          <w:szCs w:val="18"/>
        </w:rPr>
        <w:t>技术是有所</w:t>
      </w:r>
      <w:r w:rsidR="008F13EC" w:rsidRPr="00F53F97">
        <w:rPr>
          <w:rFonts w:ascii="宋体" w:hAnsi="宋体" w:cs="宋体" w:hint="eastAsia"/>
          <w:b/>
          <w:color w:val="000000"/>
          <w:sz w:val="28"/>
          <w:szCs w:val="18"/>
        </w:rPr>
        <w:t>帮</w:t>
      </w:r>
      <w:r w:rsidR="008F13EC" w:rsidRPr="00F53F97">
        <w:rPr>
          <w:rFonts w:ascii="宋体" w:hAnsi="宋体" w:cs="宋体"/>
          <w:b/>
          <w:color w:val="000000"/>
          <w:sz w:val="28"/>
          <w:szCs w:val="18"/>
        </w:rPr>
        <w:t>助</w:t>
      </w:r>
      <w:r>
        <w:rPr>
          <w:rFonts w:ascii="宋体" w:hAnsi="宋体" w:cs="宋体"/>
          <w:b/>
          <w:color w:val="000000"/>
          <w:sz w:val="28"/>
          <w:szCs w:val="18"/>
        </w:rPr>
        <w:t>的</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CC351B"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最好的一份关于对冲基金规模指标的报告是</w:t>
      </w:r>
      <w:proofErr w:type="spellStart"/>
      <w:r w:rsidRPr="00693B1E">
        <w:rPr>
          <w:rFonts w:ascii="宋体" w:hAnsi="宋体" w:cs="宋体" w:hint="eastAsia"/>
          <w:color w:val="212121"/>
          <w:sz w:val="28"/>
          <w:szCs w:val="20"/>
        </w:rPr>
        <w:t>PerTrac</w:t>
      </w:r>
      <w:proofErr w:type="spellEnd"/>
      <w:r w:rsidR="00984F40">
        <w:rPr>
          <w:rFonts w:ascii="宋体" w:hAnsi="宋体" w:cs="宋体" w:hint="eastAsia"/>
          <w:color w:val="212121"/>
          <w:sz w:val="28"/>
          <w:szCs w:val="20"/>
        </w:rPr>
        <w:t>的</w:t>
      </w:r>
      <w:r w:rsidRPr="00693B1E">
        <w:rPr>
          <w:rFonts w:ascii="宋体" w:hAnsi="宋体" w:cs="宋体" w:hint="eastAsia"/>
          <w:color w:val="212121"/>
          <w:sz w:val="28"/>
          <w:szCs w:val="20"/>
        </w:rPr>
        <w:t>年度</w:t>
      </w:r>
      <w:r w:rsidR="00850526" w:rsidRPr="00693B1E">
        <w:rPr>
          <w:rFonts w:ascii="宋体" w:hAnsi="宋体" w:cs="宋体" w:hint="eastAsia"/>
          <w:color w:val="212121"/>
          <w:sz w:val="28"/>
          <w:szCs w:val="20"/>
        </w:rPr>
        <w:t>研究</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w:t>
      </w:r>
      <w:proofErr w:type="spellStart"/>
      <w:r w:rsidRPr="00693B1E">
        <w:rPr>
          <w:rFonts w:ascii="宋体" w:hAnsi="宋体" w:cs="宋体"/>
          <w:color w:val="212121"/>
          <w:sz w:val="28"/>
          <w:szCs w:val="20"/>
        </w:rPr>
        <w:t>PerTrac</w:t>
      </w:r>
      <w:proofErr w:type="spellEnd"/>
      <w:r w:rsidRPr="00693B1E">
        <w:rPr>
          <w:rFonts w:ascii="宋体" w:hAnsi="宋体" w:cs="宋体" w:hint="eastAsia"/>
          <w:color w:val="212121"/>
          <w:sz w:val="28"/>
          <w:szCs w:val="20"/>
        </w:rPr>
        <w:t>创</w:t>
      </w:r>
      <w:r w:rsidR="008F13EC" w:rsidRPr="00693B1E">
        <w:rPr>
          <w:rFonts w:ascii="宋体" w:hAnsi="宋体" w:cs="宋体" w:hint="eastAsia"/>
          <w:color w:val="212121"/>
          <w:sz w:val="28"/>
          <w:szCs w:val="20"/>
        </w:rPr>
        <w:t>建于</w:t>
      </w:r>
      <w:r w:rsidR="008F13EC" w:rsidRPr="00693B1E">
        <w:rPr>
          <w:rFonts w:ascii="宋体" w:hAnsi="宋体" w:cs="宋体"/>
          <w:color w:val="212121"/>
          <w:sz w:val="28"/>
          <w:szCs w:val="20"/>
        </w:rPr>
        <w:t>1996</w:t>
      </w:r>
      <w:r w:rsidR="008F13EC" w:rsidRPr="00693B1E">
        <w:rPr>
          <w:rFonts w:ascii="宋体" w:hAnsi="宋体" w:cs="宋体" w:hint="eastAsia"/>
          <w:color w:val="212121"/>
          <w:sz w:val="28"/>
          <w:szCs w:val="20"/>
        </w:rPr>
        <w:t>年，它为对冲基金投资者提供</w:t>
      </w:r>
      <w:r w:rsidRPr="00693B1E">
        <w:rPr>
          <w:rFonts w:ascii="宋体" w:hAnsi="宋体" w:cs="宋体" w:hint="eastAsia"/>
          <w:color w:val="212121"/>
          <w:sz w:val="28"/>
          <w:szCs w:val="20"/>
        </w:rPr>
        <w:t>一套</w:t>
      </w:r>
      <w:r w:rsidR="008F13EC" w:rsidRPr="00693B1E">
        <w:rPr>
          <w:rFonts w:ascii="宋体" w:hAnsi="宋体" w:cs="宋体" w:hint="eastAsia"/>
          <w:color w:val="212121"/>
          <w:sz w:val="28"/>
          <w:szCs w:val="20"/>
        </w:rPr>
        <w:t>分析软件</w:t>
      </w:r>
      <w:r w:rsidRPr="00693B1E">
        <w:rPr>
          <w:rFonts w:ascii="宋体" w:hAnsi="宋体" w:cs="宋体" w:hint="eastAsia"/>
          <w:color w:val="212121"/>
          <w:sz w:val="28"/>
          <w:szCs w:val="20"/>
        </w:rPr>
        <w:t>解决方案</w:t>
      </w:r>
      <w:r w:rsidR="008F13EC" w:rsidRPr="00693B1E">
        <w:rPr>
          <w:rFonts w:ascii="宋体" w:hAnsi="宋体" w:cs="宋体" w:hint="eastAsia"/>
          <w:color w:val="212121"/>
          <w:sz w:val="28"/>
          <w:szCs w:val="20"/>
        </w:rPr>
        <w:t>，</w:t>
      </w:r>
      <w:r w:rsidRPr="00693B1E">
        <w:rPr>
          <w:rFonts w:ascii="宋体" w:hAnsi="宋体" w:cs="宋体" w:hint="eastAsia"/>
          <w:color w:val="212121"/>
          <w:sz w:val="28"/>
          <w:szCs w:val="20"/>
        </w:rPr>
        <w:t>用以编制</w:t>
      </w:r>
      <w:r w:rsidR="00F53F97">
        <w:rPr>
          <w:rFonts w:ascii="宋体" w:hAnsi="宋体" w:cs="宋体" w:hint="eastAsia"/>
          <w:color w:val="212121"/>
          <w:sz w:val="28"/>
          <w:szCs w:val="20"/>
        </w:rPr>
        <w:t>构建</w:t>
      </w:r>
      <w:r w:rsidR="00850526" w:rsidRPr="00693B1E">
        <w:rPr>
          <w:rFonts w:ascii="宋体" w:hAnsi="宋体" w:cs="宋体" w:hint="eastAsia"/>
          <w:color w:val="212121"/>
          <w:sz w:val="28"/>
          <w:szCs w:val="20"/>
        </w:rPr>
        <w:t>投资组合一系列度量指标，并生成相对全部对冲基金策略的</w:t>
      </w:r>
      <w:r w:rsidR="00F53F97">
        <w:rPr>
          <w:rFonts w:ascii="宋体" w:hAnsi="宋体" w:cs="宋体" w:hint="eastAsia"/>
          <w:color w:val="212121"/>
          <w:sz w:val="28"/>
          <w:szCs w:val="20"/>
        </w:rPr>
        <w:t>基金经理</w:t>
      </w:r>
      <w:r w:rsidR="00850526" w:rsidRPr="00693B1E">
        <w:rPr>
          <w:rFonts w:ascii="宋体" w:hAnsi="宋体" w:cs="宋体" w:hint="eastAsia"/>
          <w:color w:val="212121"/>
          <w:sz w:val="28"/>
          <w:szCs w:val="20"/>
        </w:rPr>
        <w:t>绩效跟踪报告。</w:t>
      </w:r>
      <w:proofErr w:type="spellStart"/>
      <w:r w:rsidR="008F13EC" w:rsidRPr="00693B1E">
        <w:rPr>
          <w:rFonts w:ascii="宋体" w:hAnsi="宋体" w:cs="宋体"/>
          <w:color w:val="212121"/>
          <w:sz w:val="28"/>
          <w:szCs w:val="20"/>
        </w:rPr>
        <w:t>PerTrac</w:t>
      </w:r>
      <w:proofErr w:type="spellEnd"/>
      <w:r w:rsidR="008F13EC" w:rsidRPr="00693B1E">
        <w:rPr>
          <w:rFonts w:ascii="宋体" w:hAnsi="宋体" w:cs="宋体" w:hint="eastAsia"/>
          <w:color w:val="212121"/>
          <w:sz w:val="28"/>
          <w:szCs w:val="20"/>
        </w:rPr>
        <w:t>汇集</w:t>
      </w:r>
      <w:r w:rsidR="00850526" w:rsidRPr="00693B1E">
        <w:rPr>
          <w:rFonts w:ascii="宋体" w:hAnsi="宋体" w:cs="宋体" w:hint="eastAsia"/>
          <w:color w:val="212121"/>
          <w:sz w:val="28"/>
          <w:szCs w:val="20"/>
        </w:rPr>
        <w:t>了</w:t>
      </w:r>
      <w:r w:rsidR="008F13EC" w:rsidRPr="00693B1E">
        <w:rPr>
          <w:rFonts w:ascii="宋体" w:hAnsi="宋体" w:cs="宋体"/>
          <w:color w:val="212121"/>
          <w:sz w:val="28"/>
          <w:szCs w:val="20"/>
        </w:rPr>
        <w:t>11</w:t>
      </w:r>
      <w:r w:rsidR="008F13EC" w:rsidRPr="00693B1E">
        <w:rPr>
          <w:rFonts w:ascii="宋体" w:hAnsi="宋体" w:cs="宋体" w:hint="eastAsia"/>
          <w:color w:val="212121"/>
          <w:sz w:val="28"/>
          <w:szCs w:val="20"/>
        </w:rPr>
        <w:t>个数据库</w:t>
      </w:r>
      <w:r w:rsidR="00850526" w:rsidRPr="00693B1E">
        <w:rPr>
          <w:rFonts w:ascii="宋体" w:hAnsi="宋体" w:cs="宋体" w:hint="eastAsia"/>
          <w:color w:val="212121"/>
          <w:sz w:val="28"/>
          <w:szCs w:val="20"/>
        </w:rPr>
        <w:t>的数据</w:t>
      </w:r>
      <w:r w:rsidR="008F13EC" w:rsidRPr="00693B1E">
        <w:rPr>
          <w:rFonts w:ascii="宋体" w:hAnsi="宋体" w:cs="宋体" w:hint="eastAsia"/>
          <w:color w:val="212121"/>
          <w:sz w:val="28"/>
          <w:szCs w:val="20"/>
        </w:rPr>
        <w:t>，包括</w:t>
      </w:r>
      <w:r w:rsidR="00F53F97">
        <w:rPr>
          <w:rFonts w:ascii="宋体" w:hAnsi="宋体" w:cs="宋体"/>
          <w:color w:val="212121"/>
          <w:sz w:val="28"/>
          <w:szCs w:val="20"/>
        </w:rPr>
        <w:t xml:space="preserve">巴克莱, </w:t>
      </w:r>
      <w:proofErr w:type="spellStart"/>
      <w:r w:rsidR="00F53F97">
        <w:rPr>
          <w:rFonts w:ascii="宋体" w:hAnsi="宋体" w:cs="宋体"/>
          <w:color w:val="212121"/>
          <w:sz w:val="28"/>
          <w:szCs w:val="20"/>
        </w:rPr>
        <w:t>CogenHege</w:t>
      </w:r>
      <w:proofErr w:type="spellEnd"/>
      <w:r w:rsidR="00F53F97">
        <w:rPr>
          <w:rFonts w:ascii="宋体" w:hAnsi="宋体" w:cs="宋体"/>
          <w:color w:val="212121"/>
          <w:sz w:val="28"/>
          <w:szCs w:val="20"/>
        </w:rPr>
        <w:t xml:space="preserve">, CISDM, </w:t>
      </w:r>
      <w:r w:rsidR="008F13EC" w:rsidRPr="00693B1E">
        <w:rPr>
          <w:rFonts w:ascii="宋体" w:hAnsi="宋体" w:cs="宋体"/>
          <w:color w:val="212121"/>
          <w:sz w:val="28"/>
          <w:szCs w:val="20"/>
        </w:rPr>
        <w:t>Eureka,</w:t>
      </w:r>
      <w:hyperlink r:id="rId9" w:tgtFrame="_blank" w:history="1">
        <w:r w:rsidR="008F13EC" w:rsidRPr="00693B1E">
          <w:rPr>
            <w:rFonts w:ascii="宋体" w:hAnsi="宋体" w:cs="宋体"/>
            <w:color w:val="212121"/>
            <w:sz w:val="28"/>
            <w:szCs w:val="20"/>
          </w:rPr>
          <w:t>hedgefund.net</w:t>
        </w:r>
      </w:hyperlink>
      <w:r w:rsidR="008F13EC" w:rsidRPr="00693B1E">
        <w:rPr>
          <w:rFonts w:ascii="宋体" w:hAnsi="宋体" w:cs="宋体"/>
          <w:color w:val="212121"/>
          <w:sz w:val="28"/>
          <w:szCs w:val="20"/>
        </w:rPr>
        <w:t xml:space="preserve">, </w:t>
      </w:r>
      <w:r w:rsidR="00F53F97">
        <w:rPr>
          <w:rFonts w:ascii="宋体" w:hAnsi="宋体" w:cs="宋体"/>
          <w:color w:val="212121"/>
          <w:sz w:val="28"/>
          <w:szCs w:val="20"/>
        </w:rPr>
        <w:t>对冲基金研究</w:t>
      </w:r>
      <w:r w:rsidR="00F53F97">
        <w:rPr>
          <w:rFonts w:ascii="宋体" w:hAnsi="宋体" w:cs="宋体" w:hint="eastAsia"/>
          <w:color w:val="212121"/>
          <w:sz w:val="28"/>
          <w:szCs w:val="20"/>
        </w:rPr>
        <w:t>，</w:t>
      </w:r>
      <w:r w:rsidR="008F13EC" w:rsidRPr="00693B1E">
        <w:rPr>
          <w:rFonts w:ascii="宋体" w:hAnsi="宋体" w:cs="宋体"/>
          <w:color w:val="212121"/>
          <w:sz w:val="28"/>
          <w:szCs w:val="20"/>
        </w:rPr>
        <w:t>Lipper/</w:t>
      </w:r>
      <w:proofErr w:type="spellStart"/>
      <w:r w:rsidR="008F13EC" w:rsidRPr="00693B1E">
        <w:rPr>
          <w:rFonts w:ascii="宋体" w:hAnsi="宋体" w:cs="宋体"/>
          <w:color w:val="212121"/>
          <w:sz w:val="28"/>
          <w:szCs w:val="20"/>
        </w:rPr>
        <w:t>Tass</w:t>
      </w:r>
      <w:proofErr w:type="spellEnd"/>
      <w:r w:rsidR="008F13EC" w:rsidRPr="00693B1E">
        <w:rPr>
          <w:rFonts w:ascii="宋体" w:hAnsi="宋体" w:cs="宋体"/>
          <w:color w:val="212121"/>
          <w:sz w:val="28"/>
          <w:szCs w:val="20"/>
        </w:rPr>
        <w:t>, Morningstar/</w:t>
      </w:r>
      <w:proofErr w:type="spellStart"/>
      <w:r w:rsidR="008F13EC" w:rsidRPr="00693B1E">
        <w:rPr>
          <w:rFonts w:ascii="宋体" w:hAnsi="宋体" w:cs="宋体"/>
          <w:color w:val="212121"/>
          <w:sz w:val="28"/>
          <w:szCs w:val="20"/>
        </w:rPr>
        <w:t>Altvest</w:t>
      </w:r>
      <w:proofErr w:type="spellEnd"/>
      <w:r w:rsidR="008F13EC" w:rsidRPr="00693B1E">
        <w:rPr>
          <w:rFonts w:ascii="宋体" w:hAnsi="宋体" w:cs="宋体"/>
          <w:color w:val="212121"/>
          <w:sz w:val="28"/>
          <w:szCs w:val="20"/>
        </w:rPr>
        <w:t>,</w:t>
      </w:r>
      <w:r w:rsidR="00850526" w:rsidRPr="00693B1E">
        <w:rPr>
          <w:rFonts w:ascii="宋体" w:hAnsi="宋体" w:cs="宋体" w:hint="eastAsia"/>
          <w:color w:val="212121"/>
          <w:sz w:val="28"/>
          <w:szCs w:val="20"/>
        </w:rPr>
        <w:t>以及</w:t>
      </w:r>
      <w:r w:rsidR="008F13EC" w:rsidRPr="00693B1E">
        <w:rPr>
          <w:rFonts w:ascii="宋体" w:hAnsi="宋体" w:cs="宋体"/>
          <w:color w:val="212121"/>
          <w:sz w:val="28"/>
          <w:szCs w:val="20"/>
        </w:rPr>
        <w:t>MSCI</w:t>
      </w:r>
      <w:r w:rsidR="008F13EC" w:rsidRPr="00693B1E">
        <w:rPr>
          <w:rFonts w:ascii="宋体" w:hAnsi="宋体" w:cs="宋体" w:hint="eastAsia"/>
          <w:color w:val="212121"/>
          <w:sz w:val="28"/>
          <w:szCs w:val="20"/>
        </w:rPr>
        <w:t>对冲基金指数，他们从</w:t>
      </w:r>
      <w:r w:rsidR="008F13EC" w:rsidRPr="00693B1E">
        <w:rPr>
          <w:rFonts w:ascii="宋体" w:hAnsi="宋体" w:cs="宋体"/>
          <w:color w:val="212121"/>
          <w:sz w:val="28"/>
          <w:szCs w:val="20"/>
        </w:rPr>
        <w:t>2003</w:t>
      </w:r>
      <w:r w:rsidR="008F13EC" w:rsidRPr="00693B1E">
        <w:rPr>
          <w:rFonts w:ascii="宋体" w:hAnsi="宋体" w:cs="宋体" w:hint="eastAsia"/>
          <w:color w:val="212121"/>
          <w:sz w:val="28"/>
          <w:szCs w:val="20"/>
        </w:rPr>
        <w:t>开始每年发布</w:t>
      </w:r>
      <w:r w:rsidR="00850526" w:rsidRPr="00693B1E">
        <w:rPr>
          <w:rFonts w:ascii="宋体" w:hAnsi="宋体" w:cs="宋体" w:hint="eastAsia"/>
          <w:color w:val="212121"/>
          <w:sz w:val="28"/>
          <w:szCs w:val="20"/>
        </w:rPr>
        <w:t>研究</w:t>
      </w:r>
      <w:r w:rsidR="008F13EC" w:rsidRPr="00693B1E">
        <w:rPr>
          <w:rFonts w:ascii="宋体" w:hAnsi="宋体" w:cs="宋体" w:hint="eastAsia"/>
          <w:color w:val="212121"/>
          <w:sz w:val="28"/>
          <w:szCs w:val="20"/>
        </w:rPr>
        <w:t>报告</w:t>
      </w:r>
      <w:r w:rsidR="00F53F97">
        <w:rPr>
          <w:rFonts w:ascii="宋体" w:hAnsi="宋体" w:cs="宋体" w:hint="eastAsia"/>
          <w:color w:val="212121"/>
          <w:sz w:val="28"/>
          <w:szCs w:val="20"/>
        </w:rPr>
        <w:t>，公布</w:t>
      </w:r>
      <w:r w:rsidR="00984F40">
        <w:rPr>
          <w:rFonts w:ascii="宋体" w:hAnsi="宋体" w:cs="宋体" w:hint="eastAsia"/>
          <w:color w:val="212121"/>
          <w:sz w:val="28"/>
          <w:szCs w:val="20"/>
        </w:rPr>
        <w:t>对冲基金规模。这个报告通常每年第一个季度发布，已经</w:t>
      </w:r>
      <w:r w:rsidR="008F13EC" w:rsidRPr="00693B1E">
        <w:rPr>
          <w:rFonts w:ascii="宋体" w:hAnsi="宋体" w:cs="宋体" w:hint="eastAsia"/>
          <w:color w:val="212121"/>
          <w:sz w:val="28"/>
          <w:szCs w:val="20"/>
        </w:rPr>
        <w:t>成为广泛</w:t>
      </w:r>
      <w:r w:rsidR="00850526" w:rsidRPr="00693B1E">
        <w:rPr>
          <w:rFonts w:ascii="宋体" w:hAnsi="宋体" w:cs="宋体" w:hint="eastAsia"/>
          <w:color w:val="212121"/>
          <w:sz w:val="28"/>
          <w:szCs w:val="20"/>
        </w:rPr>
        <w:t>认可的行业指标。我们将</w:t>
      </w:r>
      <w:r w:rsidR="008F13EC" w:rsidRPr="00693B1E">
        <w:rPr>
          <w:rFonts w:ascii="宋体" w:hAnsi="宋体" w:cs="宋体"/>
          <w:color w:val="212121"/>
          <w:sz w:val="28"/>
          <w:szCs w:val="20"/>
        </w:rPr>
        <w:t>2008</w:t>
      </w:r>
      <w:r w:rsidR="008F13EC" w:rsidRPr="00693B1E">
        <w:rPr>
          <w:rFonts w:ascii="宋体" w:hAnsi="宋体" w:cs="宋体" w:hint="eastAsia"/>
          <w:color w:val="212121"/>
          <w:sz w:val="28"/>
          <w:szCs w:val="20"/>
        </w:rPr>
        <w:t>年的</w:t>
      </w:r>
      <w:r w:rsidR="00850526" w:rsidRPr="00693B1E">
        <w:rPr>
          <w:rFonts w:ascii="宋体" w:hAnsi="宋体" w:cs="宋体" w:hint="eastAsia"/>
          <w:color w:val="212121"/>
          <w:sz w:val="28"/>
          <w:szCs w:val="20"/>
        </w:rPr>
        <w:t>研究</w:t>
      </w:r>
      <w:r w:rsidR="008F13EC" w:rsidRPr="00693B1E">
        <w:rPr>
          <w:rFonts w:ascii="宋体" w:hAnsi="宋体" w:cs="宋体" w:hint="eastAsia"/>
          <w:color w:val="212121"/>
          <w:sz w:val="28"/>
          <w:szCs w:val="20"/>
        </w:rPr>
        <w:t>报告</w:t>
      </w:r>
      <w:r w:rsidR="00850526" w:rsidRPr="00693B1E">
        <w:rPr>
          <w:rFonts w:ascii="宋体" w:hAnsi="宋体" w:cs="宋体" w:hint="eastAsia"/>
          <w:color w:val="212121"/>
          <w:sz w:val="28"/>
          <w:szCs w:val="20"/>
        </w:rPr>
        <w:t>结论附在了本书附录中。</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50526"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在截止</w:t>
      </w:r>
      <w:r w:rsidR="008F13EC" w:rsidRPr="00693B1E">
        <w:rPr>
          <w:rFonts w:ascii="宋体" w:hAnsi="宋体" w:cs="宋体"/>
          <w:color w:val="212121"/>
          <w:sz w:val="28"/>
          <w:szCs w:val="20"/>
        </w:rPr>
        <w:t>2007</w:t>
      </w:r>
      <w:r w:rsidR="008F13EC" w:rsidRPr="00693B1E">
        <w:rPr>
          <w:rFonts w:ascii="宋体" w:hAnsi="宋体" w:cs="宋体" w:hint="eastAsia"/>
          <w:color w:val="212121"/>
          <w:sz w:val="28"/>
          <w:szCs w:val="20"/>
        </w:rPr>
        <w:t>年</w:t>
      </w:r>
      <w:r w:rsidRPr="00693B1E">
        <w:rPr>
          <w:rFonts w:ascii="宋体" w:hAnsi="宋体" w:cs="宋体" w:hint="eastAsia"/>
          <w:color w:val="212121"/>
          <w:sz w:val="28"/>
          <w:szCs w:val="20"/>
        </w:rPr>
        <w:t>底的</w:t>
      </w:r>
      <w:r w:rsidR="008F13EC" w:rsidRPr="00693B1E">
        <w:rPr>
          <w:rFonts w:ascii="宋体" w:hAnsi="宋体" w:cs="宋体" w:hint="eastAsia"/>
          <w:color w:val="212121"/>
          <w:sz w:val="28"/>
          <w:szCs w:val="20"/>
        </w:rPr>
        <w:t>报告</w:t>
      </w:r>
      <w:r w:rsidRPr="00693B1E">
        <w:rPr>
          <w:rFonts w:ascii="宋体" w:hAnsi="宋体" w:cs="宋体" w:hint="eastAsia"/>
          <w:color w:val="212121"/>
          <w:sz w:val="28"/>
          <w:szCs w:val="20"/>
        </w:rPr>
        <w:t>中</w:t>
      </w:r>
      <w:r w:rsidR="008F13EC" w:rsidRPr="00693B1E">
        <w:rPr>
          <w:rFonts w:ascii="宋体" w:hAnsi="宋体" w:cs="宋体" w:hint="eastAsia"/>
          <w:color w:val="212121"/>
          <w:sz w:val="28"/>
          <w:szCs w:val="20"/>
        </w:rPr>
        <w:t>，</w:t>
      </w:r>
      <w:proofErr w:type="spellStart"/>
      <w:r w:rsidR="008F13EC" w:rsidRPr="00693B1E">
        <w:rPr>
          <w:rFonts w:ascii="宋体" w:hAnsi="宋体" w:cs="宋体"/>
          <w:color w:val="212121"/>
          <w:sz w:val="28"/>
          <w:szCs w:val="20"/>
        </w:rPr>
        <w:t>PerTrac</w:t>
      </w:r>
      <w:proofErr w:type="spellEnd"/>
      <w:r w:rsidR="008F13EC" w:rsidRPr="00693B1E">
        <w:rPr>
          <w:rFonts w:ascii="宋体" w:hAnsi="宋体" w:cs="宋体" w:hint="eastAsia"/>
          <w:color w:val="212121"/>
          <w:sz w:val="28"/>
          <w:szCs w:val="20"/>
        </w:rPr>
        <w:t>发现</w:t>
      </w:r>
      <w:r w:rsidRPr="00693B1E">
        <w:rPr>
          <w:rFonts w:ascii="宋体" w:hAnsi="宋体" w:cs="宋体" w:hint="eastAsia"/>
          <w:color w:val="212121"/>
          <w:sz w:val="28"/>
          <w:szCs w:val="20"/>
        </w:rPr>
        <w:t>，</w:t>
      </w:r>
      <w:r w:rsidR="008F13EC" w:rsidRPr="00693B1E">
        <w:rPr>
          <w:rFonts w:ascii="宋体" w:hAnsi="宋体" w:cs="宋体" w:hint="eastAsia"/>
          <w:color w:val="212121"/>
          <w:sz w:val="28"/>
          <w:szCs w:val="20"/>
        </w:rPr>
        <w:t>尽管数据库之间有</w:t>
      </w:r>
      <w:r w:rsidRPr="00693B1E">
        <w:rPr>
          <w:rFonts w:ascii="宋体" w:hAnsi="宋体" w:cs="宋体" w:hint="eastAsia"/>
          <w:color w:val="212121"/>
          <w:sz w:val="28"/>
          <w:szCs w:val="20"/>
        </w:rPr>
        <w:t>数据重叠</w:t>
      </w:r>
      <w:r w:rsidR="008F13EC" w:rsidRPr="00693B1E">
        <w:rPr>
          <w:rFonts w:ascii="宋体" w:hAnsi="宋体" w:cs="宋体" w:hint="eastAsia"/>
          <w:color w:val="212121"/>
          <w:sz w:val="28"/>
          <w:szCs w:val="20"/>
        </w:rPr>
        <w:t>的现象，而且这种现象还在</w:t>
      </w:r>
      <w:r w:rsidRPr="00693B1E">
        <w:rPr>
          <w:rFonts w:ascii="宋体" w:hAnsi="宋体" w:cs="宋体" w:hint="eastAsia"/>
          <w:color w:val="212121"/>
          <w:sz w:val="28"/>
          <w:szCs w:val="20"/>
        </w:rPr>
        <w:t>继续</w:t>
      </w:r>
      <w:r w:rsidR="008F13EC" w:rsidRPr="00693B1E">
        <w:rPr>
          <w:rFonts w:ascii="宋体" w:hAnsi="宋体" w:cs="宋体" w:hint="eastAsia"/>
          <w:color w:val="212121"/>
          <w:sz w:val="28"/>
          <w:szCs w:val="20"/>
        </w:rPr>
        <w:t>扩大，</w:t>
      </w:r>
      <w:r w:rsidRPr="00693B1E">
        <w:rPr>
          <w:rFonts w:ascii="宋体" w:hAnsi="宋体" w:cs="宋体" w:hint="eastAsia"/>
          <w:color w:val="212121"/>
          <w:sz w:val="28"/>
          <w:szCs w:val="20"/>
        </w:rPr>
        <w:t>但是，</w:t>
      </w:r>
      <w:r w:rsidR="008F13EC" w:rsidRPr="00693B1E">
        <w:rPr>
          <w:rFonts w:ascii="宋体" w:hAnsi="宋体" w:cs="宋体" w:hint="eastAsia"/>
          <w:color w:val="212121"/>
          <w:sz w:val="28"/>
          <w:szCs w:val="20"/>
        </w:rPr>
        <w:t>很少对冲基金会对</w:t>
      </w:r>
      <w:r w:rsidRPr="00693B1E">
        <w:rPr>
          <w:rFonts w:ascii="宋体" w:hAnsi="宋体" w:cs="宋体" w:hint="eastAsia"/>
          <w:color w:val="212121"/>
          <w:sz w:val="28"/>
          <w:szCs w:val="20"/>
        </w:rPr>
        <w:t>超过</w:t>
      </w:r>
      <w:r w:rsidR="008F13EC" w:rsidRPr="00693B1E">
        <w:rPr>
          <w:rFonts w:ascii="宋体" w:hAnsi="宋体" w:cs="宋体"/>
          <w:color w:val="212121"/>
          <w:sz w:val="28"/>
          <w:szCs w:val="20"/>
        </w:rPr>
        <w:t>2</w:t>
      </w:r>
      <w:r w:rsidRPr="00693B1E">
        <w:rPr>
          <w:rFonts w:ascii="宋体" w:hAnsi="宋体" w:cs="宋体" w:hint="eastAsia"/>
          <w:color w:val="212121"/>
          <w:sz w:val="28"/>
          <w:szCs w:val="20"/>
        </w:rPr>
        <w:t>到</w:t>
      </w:r>
      <w:r w:rsidR="008F13EC" w:rsidRPr="00693B1E">
        <w:rPr>
          <w:rFonts w:ascii="宋体" w:hAnsi="宋体" w:cs="宋体"/>
          <w:color w:val="212121"/>
          <w:sz w:val="28"/>
          <w:szCs w:val="20"/>
        </w:rPr>
        <w:t>3</w:t>
      </w:r>
      <w:r w:rsidR="008F13EC" w:rsidRPr="00693B1E">
        <w:rPr>
          <w:rFonts w:ascii="宋体" w:hAnsi="宋体" w:cs="宋体" w:hint="eastAsia"/>
          <w:color w:val="212121"/>
          <w:sz w:val="28"/>
          <w:szCs w:val="20"/>
        </w:rPr>
        <w:t>个以上的数据库</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数据，只有一个对冲基金</w:t>
      </w:r>
      <w:r w:rsidR="00984F40">
        <w:rPr>
          <w:rFonts w:ascii="宋体" w:hAnsi="宋体" w:cs="宋体" w:hint="eastAsia"/>
          <w:color w:val="212121"/>
          <w:sz w:val="28"/>
          <w:szCs w:val="20"/>
        </w:rPr>
        <w:t>同时</w:t>
      </w:r>
      <w:r w:rsidR="008F13EC" w:rsidRPr="00693B1E">
        <w:rPr>
          <w:rFonts w:ascii="宋体" w:hAnsi="宋体" w:cs="宋体" w:hint="eastAsia"/>
          <w:color w:val="212121"/>
          <w:sz w:val="28"/>
          <w:szCs w:val="20"/>
        </w:rPr>
        <w:t>向</w:t>
      </w:r>
      <w:r w:rsidR="008F13EC" w:rsidRPr="00693B1E">
        <w:rPr>
          <w:rFonts w:ascii="宋体" w:hAnsi="宋体" w:cs="宋体"/>
          <w:color w:val="212121"/>
          <w:sz w:val="28"/>
          <w:szCs w:val="20"/>
        </w:rPr>
        <w:t>11</w:t>
      </w:r>
      <w:r w:rsidR="008F13EC" w:rsidRPr="00693B1E">
        <w:rPr>
          <w:rFonts w:ascii="宋体" w:hAnsi="宋体" w:cs="宋体" w:hint="eastAsia"/>
          <w:color w:val="212121"/>
          <w:sz w:val="28"/>
          <w:szCs w:val="20"/>
        </w:rPr>
        <w:t>个数据库</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数据。实际上，</w:t>
      </w:r>
      <w:r w:rsidR="00984F40" w:rsidRPr="00693B1E">
        <w:rPr>
          <w:rFonts w:ascii="宋体" w:hAnsi="宋体" w:cs="宋体" w:hint="eastAsia"/>
          <w:color w:val="212121"/>
          <w:sz w:val="28"/>
          <w:szCs w:val="20"/>
        </w:rPr>
        <w:t>在全部</w:t>
      </w:r>
      <w:r w:rsidR="00984F40" w:rsidRPr="00693B1E">
        <w:rPr>
          <w:rFonts w:ascii="宋体" w:hAnsi="宋体" w:cs="宋体"/>
          <w:color w:val="212121"/>
          <w:sz w:val="28"/>
          <w:szCs w:val="20"/>
        </w:rPr>
        <w:t>11</w:t>
      </w:r>
      <w:r w:rsidR="00984F40">
        <w:rPr>
          <w:rFonts w:ascii="宋体" w:hAnsi="宋体" w:cs="宋体" w:hint="eastAsia"/>
          <w:color w:val="212121"/>
          <w:sz w:val="28"/>
          <w:szCs w:val="20"/>
        </w:rPr>
        <w:t>个数据库</w:t>
      </w:r>
      <w:r w:rsidR="00984F40" w:rsidRPr="00693B1E">
        <w:rPr>
          <w:rFonts w:ascii="宋体" w:hAnsi="宋体" w:cs="宋体" w:hint="eastAsia"/>
          <w:color w:val="212121"/>
          <w:sz w:val="28"/>
          <w:szCs w:val="20"/>
        </w:rPr>
        <w:t>的</w:t>
      </w:r>
      <w:r w:rsidR="00984F40" w:rsidRPr="00693B1E">
        <w:rPr>
          <w:rFonts w:ascii="宋体" w:hAnsi="宋体" w:cs="宋体"/>
          <w:color w:val="212121"/>
          <w:sz w:val="28"/>
          <w:szCs w:val="20"/>
        </w:rPr>
        <w:t>12</w:t>
      </w:r>
      <w:r w:rsidR="00984F40" w:rsidRPr="00693B1E">
        <w:rPr>
          <w:rFonts w:ascii="宋体" w:hAnsi="宋体" w:cs="宋体" w:hint="eastAsia"/>
          <w:color w:val="212121"/>
          <w:sz w:val="28"/>
          <w:szCs w:val="20"/>
        </w:rPr>
        <w:t>，</w:t>
      </w:r>
      <w:r w:rsidR="00984F40" w:rsidRPr="00693B1E">
        <w:rPr>
          <w:rFonts w:ascii="宋体" w:hAnsi="宋体" w:cs="宋体"/>
          <w:color w:val="212121"/>
          <w:sz w:val="28"/>
          <w:szCs w:val="20"/>
        </w:rPr>
        <w:t>000</w:t>
      </w:r>
      <w:r w:rsidR="00984F40" w:rsidRPr="00693B1E">
        <w:rPr>
          <w:rFonts w:ascii="宋体" w:hAnsi="宋体" w:cs="宋体" w:hint="eastAsia"/>
          <w:color w:val="212121"/>
          <w:sz w:val="28"/>
          <w:szCs w:val="20"/>
        </w:rPr>
        <w:t>个样本</w:t>
      </w:r>
      <w:r w:rsidR="00984F40">
        <w:rPr>
          <w:rFonts w:ascii="宋体" w:hAnsi="宋体" w:cs="宋体" w:hint="eastAsia"/>
          <w:color w:val="212121"/>
          <w:sz w:val="28"/>
          <w:szCs w:val="20"/>
        </w:rPr>
        <w:t>中的</w:t>
      </w:r>
      <w:r w:rsidR="008F13EC" w:rsidRPr="00693B1E">
        <w:rPr>
          <w:rFonts w:ascii="宋体" w:hAnsi="宋体" w:cs="宋体" w:hint="eastAsia"/>
          <w:color w:val="212121"/>
          <w:sz w:val="28"/>
          <w:szCs w:val="20"/>
        </w:rPr>
        <w:t>绝大数对冲基金和</w:t>
      </w:r>
      <w:r w:rsidR="00984F40">
        <w:rPr>
          <w:rFonts w:ascii="宋体" w:hAnsi="宋体" w:cs="宋体" w:hint="eastAsia"/>
          <w:color w:val="212121"/>
          <w:sz w:val="28"/>
          <w:szCs w:val="20"/>
        </w:rPr>
        <w:t>FOF</w:t>
      </w:r>
      <w:r w:rsidR="008F13EC" w:rsidRPr="00693B1E">
        <w:rPr>
          <w:rFonts w:ascii="宋体" w:hAnsi="宋体" w:cs="宋体" w:hint="eastAsia"/>
          <w:color w:val="212121"/>
          <w:sz w:val="28"/>
          <w:szCs w:val="20"/>
        </w:rPr>
        <w:t>，</w:t>
      </w:r>
      <w:r w:rsidR="00984F40">
        <w:rPr>
          <w:rFonts w:ascii="宋体" w:hAnsi="宋体" w:cs="宋体" w:hint="eastAsia"/>
          <w:color w:val="212121"/>
          <w:sz w:val="28"/>
          <w:szCs w:val="20"/>
        </w:rPr>
        <w:t>只向一个数据库</w:t>
      </w:r>
      <w:r w:rsidR="003F3A4E"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w:t>
      </w:r>
      <w:r w:rsidR="008F13EC"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color w:val="212121"/>
          <w:sz w:val="28"/>
          <w:szCs w:val="20"/>
        </w:rPr>
        <w:t>2007</w:t>
      </w:r>
      <w:r w:rsidRPr="00693B1E">
        <w:rPr>
          <w:rFonts w:ascii="宋体" w:hAnsi="宋体" w:cs="宋体" w:hint="eastAsia"/>
          <w:color w:val="212121"/>
          <w:sz w:val="28"/>
          <w:szCs w:val="20"/>
        </w:rPr>
        <w:t>年</w:t>
      </w:r>
      <w:r w:rsidR="003F3A4E" w:rsidRPr="00693B1E">
        <w:rPr>
          <w:rFonts w:ascii="宋体" w:hAnsi="宋体" w:cs="宋体" w:hint="eastAsia"/>
          <w:color w:val="212121"/>
          <w:sz w:val="28"/>
          <w:szCs w:val="20"/>
        </w:rPr>
        <w:t>的</w:t>
      </w:r>
      <w:r w:rsidRPr="00693B1E">
        <w:rPr>
          <w:rFonts w:ascii="宋体" w:hAnsi="宋体" w:cs="宋体" w:hint="eastAsia"/>
          <w:color w:val="212121"/>
          <w:sz w:val="28"/>
          <w:szCs w:val="20"/>
        </w:rPr>
        <w:t>研究报告发现，新</w:t>
      </w:r>
      <w:r w:rsidR="003F3A4E" w:rsidRPr="00693B1E">
        <w:rPr>
          <w:rFonts w:ascii="宋体" w:hAnsi="宋体" w:cs="宋体" w:hint="eastAsia"/>
          <w:color w:val="212121"/>
          <w:sz w:val="28"/>
          <w:szCs w:val="20"/>
        </w:rPr>
        <w:t>发行</w:t>
      </w:r>
      <w:r w:rsidRPr="00693B1E">
        <w:rPr>
          <w:rFonts w:ascii="宋体" w:hAnsi="宋体" w:cs="宋体" w:hint="eastAsia"/>
          <w:color w:val="212121"/>
          <w:sz w:val="28"/>
          <w:szCs w:val="20"/>
        </w:rPr>
        <w:t>的对冲基金数量</w:t>
      </w:r>
      <w:r w:rsidR="003F3A4E" w:rsidRPr="00693B1E">
        <w:rPr>
          <w:rFonts w:ascii="宋体" w:hAnsi="宋体" w:cs="宋体" w:hint="eastAsia"/>
          <w:color w:val="212121"/>
          <w:sz w:val="28"/>
          <w:szCs w:val="20"/>
        </w:rPr>
        <w:t>在</w:t>
      </w:r>
      <w:r w:rsidRPr="00693B1E">
        <w:rPr>
          <w:rFonts w:ascii="宋体" w:hAnsi="宋体" w:cs="宋体" w:hint="eastAsia"/>
          <w:color w:val="212121"/>
          <w:sz w:val="28"/>
          <w:szCs w:val="20"/>
        </w:rPr>
        <w:t>减少，尽管这个现象非常有意思，但是我们并不</w:t>
      </w:r>
      <w:r w:rsidR="003F3A4E" w:rsidRPr="00693B1E">
        <w:rPr>
          <w:rFonts w:ascii="宋体" w:hAnsi="宋体" w:cs="宋体" w:hint="eastAsia"/>
          <w:color w:val="212121"/>
          <w:sz w:val="28"/>
          <w:szCs w:val="20"/>
        </w:rPr>
        <w:t>清楚到底</w:t>
      </w:r>
      <w:r w:rsidRPr="00693B1E">
        <w:rPr>
          <w:rFonts w:ascii="宋体" w:hAnsi="宋体" w:cs="宋体" w:hint="eastAsia"/>
          <w:color w:val="212121"/>
          <w:sz w:val="28"/>
          <w:szCs w:val="20"/>
        </w:rPr>
        <w:t>有多少对冲基金没有参加统计。</w:t>
      </w:r>
      <w:proofErr w:type="spellStart"/>
      <w:r w:rsidR="003F3A4E" w:rsidRPr="00693B1E">
        <w:rPr>
          <w:rFonts w:ascii="宋体" w:hAnsi="宋体" w:cs="宋体" w:hint="eastAsia"/>
          <w:color w:val="212121"/>
          <w:sz w:val="28"/>
          <w:szCs w:val="20"/>
        </w:rPr>
        <w:t>PerTrac</w:t>
      </w:r>
      <w:proofErr w:type="spellEnd"/>
      <w:r w:rsidR="003F3A4E" w:rsidRPr="00693B1E">
        <w:rPr>
          <w:rFonts w:ascii="宋体" w:hAnsi="宋体" w:cs="宋体" w:hint="eastAsia"/>
          <w:color w:val="212121"/>
          <w:sz w:val="28"/>
          <w:szCs w:val="20"/>
        </w:rPr>
        <w:t>的一个雇员</w:t>
      </w:r>
      <w:r w:rsidR="00984F40">
        <w:rPr>
          <w:rFonts w:ascii="宋体" w:hAnsi="宋体" w:cs="宋体" w:hint="eastAsia"/>
          <w:color w:val="212121"/>
          <w:sz w:val="28"/>
          <w:szCs w:val="20"/>
        </w:rPr>
        <w:t>梅雷迪斯.琼斯（</w:t>
      </w:r>
      <w:r w:rsidRPr="00693B1E">
        <w:rPr>
          <w:rFonts w:ascii="宋体" w:hAnsi="宋体" w:cs="宋体"/>
          <w:color w:val="212121"/>
          <w:sz w:val="28"/>
          <w:szCs w:val="20"/>
        </w:rPr>
        <w:t>Meredith Jones</w:t>
      </w:r>
      <w:r w:rsidR="00984F40">
        <w:rPr>
          <w:rFonts w:ascii="宋体" w:hAnsi="宋体" w:cs="宋体" w:hint="eastAsia"/>
          <w:color w:val="212121"/>
          <w:sz w:val="28"/>
          <w:szCs w:val="20"/>
        </w:rPr>
        <w:t>）解释道</w:t>
      </w:r>
      <w:r w:rsidRPr="00693B1E">
        <w:rPr>
          <w:rFonts w:ascii="宋体" w:hAnsi="宋体" w:cs="宋体" w:hint="eastAsia"/>
          <w:color w:val="212121"/>
          <w:sz w:val="28"/>
          <w:szCs w:val="20"/>
        </w:rPr>
        <w:t>，</w:t>
      </w:r>
      <w:r w:rsidR="003F3A4E" w:rsidRPr="00693B1E">
        <w:rPr>
          <w:rFonts w:ascii="宋体" w:hAnsi="宋体" w:cs="宋体" w:hint="eastAsia"/>
          <w:color w:val="212121"/>
          <w:sz w:val="28"/>
          <w:szCs w:val="20"/>
        </w:rPr>
        <w:t>考虑到</w:t>
      </w:r>
      <w:r w:rsidRPr="00693B1E">
        <w:rPr>
          <w:rFonts w:ascii="宋体" w:hAnsi="宋体" w:cs="宋体" w:hint="eastAsia"/>
          <w:color w:val="212121"/>
          <w:sz w:val="28"/>
          <w:szCs w:val="20"/>
        </w:rPr>
        <w:t>早期</w:t>
      </w:r>
      <w:r w:rsidR="003F3A4E" w:rsidRPr="00693B1E">
        <w:rPr>
          <w:rFonts w:ascii="宋体" w:hAnsi="宋体" w:cs="宋体" w:hint="eastAsia"/>
          <w:color w:val="212121"/>
          <w:sz w:val="28"/>
          <w:szCs w:val="20"/>
        </w:rPr>
        <w:t>特别大的</w:t>
      </w:r>
      <w:r w:rsidRPr="00693B1E">
        <w:rPr>
          <w:rFonts w:ascii="宋体" w:hAnsi="宋体" w:cs="宋体" w:hint="eastAsia"/>
          <w:color w:val="212121"/>
          <w:sz w:val="28"/>
          <w:szCs w:val="20"/>
        </w:rPr>
        <w:t>对冲基金</w:t>
      </w:r>
      <w:r w:rsidR="00984F40">
        <w:rPr>
          <w:rFonts w:ascii="宋体" w:hAnsi="宋体" w:cs="宋体" w:hint="eastAsia"/>
          <w:color w:val="212121"/>
          <w:sz w:val="28"/>
          <w:szCs w:val="20"/>
        </w:rPr>
        <w:t>发行</w:t>
      </w:r>
      <w:r w:rsidR="003F3A4E" w:rsidRPr="00693B1E">
        <w:rPr>
          <w:rFonts w:ascii="宋体" w:hAnsi="宋体" w:cs="宋体" w:hint="eastAsia"/>
          <w:color w:val="212121"/>
          <w:sz w:val="28"/>
          <w:szCs w:val="20"/>
        </w:rPr>
        <w:t>增长率</w:t>
      </w:r>
      <w:r w:rsidRPr="00693B1E">
        <w:rPr>
          <w:rFonts w:ascii="宋体" w:hAnsi="宋体" w:cs="宋体" w:hint="eastAsia"/>
          <w:color w:val="212121"/>
          <w:sz w:val="28"/>
          <w:szCs w:val="20"/>
        </w:rPr>
        <w:t>，当这个行业</w:t>
      </w:r>
      <w:r w:rsidR="003F3A4E" w:rsidRPr="00693B1E">
        <w:rPr>
          <w:rFonts w:ascii="宋体" w:hAnsi="宋体" w:cs="宋体" w:hint="eastAsia"/>
          <w:color w:val="212121"/>
          <w:sz w:val="28"/>
          <w:szCs w:val="20"/>
        </w:rPr>
        <w:t>逐步</w:t>
      </w:r>
      <w:r w:rsidRPr="00693B1E">
        <w:rPr>
          <w:rFonts w:ascii="宋体" w:hAnsi="宋体" w:cs="宋体" w:hint="eastAsia"/>
          <w:color w:val="212121"/>
          <w:sz w:val="28"/>
          <w:szCs w:val="20"/>
        </w:rPr>
        <w:t>成熟</w:t>
      </w:r>
      <w:r w:rsidR="003F3A4E" w:rsidRPr="00693B1E">
        <w:rPr>
          <w:rFonts w:ascii="宋体" w:hAnsi="宋体" w:cs="宋体" w:hint="eastAsia"/>
          <w:color w:val="212121"/>
          <w:sz w:val="28"/>
          <w:szCs w:val="20"/>
        </w:rPr>
        <w:t>时，</w:t>
      </w:r>
      <w:r w:rsidRPr="00693B1E">
        <w:rPr>
          <w:rFonts w:ascii="宋体" w:hAnsi="宋体" w:cs="宋体" w:hint="eastAsia"/>
          <w:color w:val="212121"/>
          <w:sz w:val="28"/>
          <w:szCs w:val="20"/>
        </w:rPr>
        <w:t>新对冲基金成立的速度</w:t>
      </w:r>
      <w:r w:rsidR="003F3A4E" w:rsidRPr="00693B1E">
        <w:rPr>
          <w:rFonts w:ascii="宋体" w:hAnsi="宋体" w:cs="宋体" w:hint="eastAsia"/>
          <w:color w:val="212121"/>
          <w:sz w:val="28"/>
          <w:szCs w:val="20"/>
        </w:rPr>
        <w:t>下降似乎是必然的</w:t>
      </w:r>
      <w:r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她说，</w:t>
      </w:r>
      <w:r w:rsidRPr="00693B1E">
        <w:rPr>
          <w:rFonts w:ascii="宋体" w:hAnsi="宋体" w:cs="宋体"/>
          <w:color w:val="212121"/>
          <w:sz w:val="28"/>
          <w:szCs w:val="20"/>
        </w:rPr>
        <w:t>“</w:t>
      </w:r>
      <w:r w:rsidRPr="00693B1E">
        <w:rPr>
          <w:rFonts w:ascii="宋体" w:hAnsi="宋体" w:cs="宋体" w:hint="eastAsia"/>
          <w:color w:val="212121"/>
          <w:sz w:val="28"/>
          <w:szCs w:val="20"/>
        </w:rPr>
        <w:t>新的对冲基金建立速度下降</w:t>
      </w:r>
      <w:r w:rsidR="00003C63" w:rsidRPr="00693B1E">
        <w:rPr>
          <w:rFonts w:ascii="宋体" w:hAnsi="宋体" w:cs="宋体" w:hint="eastAsia"/>
          <w:color w:val="212121"/>
          <w:sz w:val="28"/>
          <w:szCs w:val="20"/>
        </w:rPr>
        <w:t>，</w:t>
      </w:r>
      <w:r w:rsidRPr="00693B1E">
        <w:rPr>
          <w:rFonts w:ascii="宋体" w:hAnsi="宋体" w:cs="宋体" w:hint="eastAsia"/>
          <w:color w:val="212121"/>
          <w:sz w:val="28"/>
          <w:szCs w:val="20"/>
        </w:rPr>
        <w:t>反映出资产流向</w:t>
      </w:r>
      <w:r w:rsidR="00003C63" w:rsidRPr="00693B1E">
        <w:rPr>
          <w:rFonts w:ascii="宋体" w:hAnsi="宋体" w:cs="宋体" w:hint="eastAsia"/>
          <w:color w:val="212121"/>
          <w:sz w:val="28"/>
          <w:szCs w:val="20"/>
        </w:rPr>
        <w:t>了</w:t>
      </w:r>
      <w:r w:rsidRPr="00693B1E">
        <w:rPr>
          <w:rFonts w:ascii="宋体" w:hAnsi="宋体" w:cs="宋体" w:hint="eastAsia"/>
          <w:color w:val="212121"/>
          <w:sz w:val="28"/>
          <w:szCs w:val="20"/>
        </w:rPr>
        <w:t>知名的对冲基金和</w:t>
      </w:r>
      <w:r w:rsidR="00B07B58" w:rsidRPr="00693B1E">
        <w:rPr>
          <w:rFonts w:ascii="宋体" w:hAnsi="宋体" w:cs="宋体" w:hint="eastAsia"/>
          <w:color w:val="212121"/>
          <w:sz w:val="28"/>
          <w:szCs w:val="20"/>
        </w:rPr>
        <w:t>FOF</w:t>
      </w:r>
      <w:r w:rsidRPr="00693B1E">
        <w:rPr>
          <w:rFonts w:ascii="宋体" w:hAnsi="宋体" w:cs="宋体" w:hint="eastAsia"/>
          <w:color w:val="212121"/>
          <w:sz w:val="28"/>
          <w:szCs w:val="20"/>
        </w:rPr>
        <w:t>，这会阻止一些新的对冲基金进入市场。</w:t>
      </w:r>
      <w:r w:rsidRPr="00693B1E">
        <w:rPr>
          <w:rFonts w:ascii="宋体" w:hAnsi="宋体" w:cs="宋体"/>
          <w:color w:val="212121"/>
          <w:sz w:val="28"/>
          <w:szCs w:val="20"/>
        </w:rPr>
        <w:t>”</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4F3E13" w:rsidRPr="00693B1E" w:rsidRDefault="004F3E13" w:rsidP="00AE719F">
      <w:pPr>
        <w:spacing w:beforeLines="50" w:before="120" w:afterLines="50" w:after="120" w:line="240" w:lineRule="auto"/>
        <w:rPr>
          <w:sz w:val="36"/>
        </w:rPr>
      </w:pPr>
    </w:p>
    <w:p w:rsidR="00A412D5" w:rsidRPr="00693B1E" w:rsidRDefault="00A412D5" w:rsidP="00AE719F">
      <w:pPr>
        <w:spacing w:beforeLines="50" w:before="120" w:afterLines="50" w:after="120" w:line="240" w:lineRule="auto"/>
        <w:rPr>
          <w:b/>
          <w:sz w:val="36"/>
          <w:u w:val="single"/>
        </w:rPr>
      </w:pPr>
      <w:r w:rsidRPr="00693B1E">
        <w:rPr>
          <w:rFonts w:hint="eastAsia"/>
          <w:b/>
          <w:sz w:val="36"/>
          <w:u w:val="single"/>
        </w:rPr>
        <w:t>报告薄弱</w:t>
      </w:r>
    </w:p>
    <w:p w:rsidR="00A412D5" w:rsidRPr="00693B1E" w:rsidRDefault="00A412D5"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ind w:firstLineChars="150" w:firstLine="420"/>
        <w:rPr>
          <w:rFonts w:ascii="inherit" w:eastAsia="Times New Roman" w:hAnsi="inherit" w:cs="Courier New"/>
          <w:color w:val="212121"/>
          <w:sz w:val="28"/>
          <w:szCs w:val="20"/>
        </w:rPr>
      </w:pPr>
      <w:r w:rsidRPr="00693B1E">
        <w:rPr>
          <w:rFonts w:ascii="宋体" w:hAnsi="宋体" w:cs="宋体" w:hint="eastAsia"/>
          <w:color w:val="212121"/>
          <w:sz w:val="28"/>
          <w:szCs w:val="20"/>
        </w:rPr>
        <w:t>除了对冲基金行业的</w:t>
      </w:r>
      <w:r w:rsidR="004A3BF1" w:rsidRPr="00693B1E">
        <w:rPr>
          <w:rFonts w:ascii="宋体" w:hAnsi="宋体" w:cs="宋体" w:hint="eastAsia"/>
          <w:color w:val="212121"/>
          <w:sz w:val="28"/>
          <w:szCs w:val="20"/>
        </w:rPr>
        <w:t>数据</w:t>
      </w:r>
      <w:r w:rsidRPr="00693B1E">
        <w:rPr>
          <w:rFonts w:ascii="宋体" w:hAnsi="宋体" w:cs="宋体" w:hint="eastAsia"/>
          <w:color w:val="212121"/>
          <w:sz w:val="28"/>
          <w:szCs w:val="20"/>
        </w:rPr>
        <w:t>报告问题，</w:t>
      </w:r>
      <w:r w:rsidR="00AA704F" w:rsidRPr="00693B1E">
        <w:rPr>
          <w:rFonts w:ascii="宋体" w:hAnsi="宋体" w:cs="宋体" w:hint="eastAsia"/>
          <w:color w:val="212121"/>
          <w:sz w:val="28"/>
          <w:szCs w:val="20"/>
        </w:rPr>
        <w:t>还有</w:t>
      </w:r>
      <w:r w:rsidR="00984F40">
        <w:rPr>
          <w:rFonts w:ascii="宋体" w:hAnsi="宋体" w:cs="宋体" w:hint="eastAsia"/>
          <w:color w:val="212121"/>
          <w:sz w:val="28"/>
          <w:szCs w:val="20"/>
        </w:rPr>
        <w:t>第二个</w:t>
      </w:r>
      <w:r w:rsidR="004A3BF1" w:rsidRPr="00693B1E">
        <w:rPr>
          <w:rFonts w:ascii="宋体" w:hAnsi="宋体" w:cs="宋体" w:hint="eastAsia"/>
          <w:color w:val="212121"/>
          <w:sz w:val="28"/>
          <w:szCs w:val="20"/>
        </w:rPr>
        <w:t>衡量市场规模</w:t>
      </w:r>
      <w:r w:rsidR="00AA704F" w:rsidRPr="00693B1E">
        <w:rPr>
          <w:rFonts w:ascii="宋体" w:hAnsi="宋体" w:cs="宋体" w:hint="eastAsia"/>
          <w:color w:val="212121"/>
          <w:sz w:val="28"/>
          <w:szCs w:val="20"/>
        </w:rPr>
        <w:t>的</w:t>
      </w:r>
      <w:r w:rsidR="00984F40">
        <w:rPr>
          <w:rFonts w:ascii="宋体" w:hAnsi="宋体" w:cs="宋体" w:hint="eastAsia"/>
          <w:color w:val="212121"/>
          <w:sz w:val="28"/>
          <w:szCs w:val="20"/>
        </w:rPr>
        <w:t>瑕疵</w:t>
      </w:r>
      <w:r w:rsidRPr="00693B1E">
        <w:rPr>
          <w:rFonts w:ascii="宋体" w:hAnsi="宋体" w:cs="宋体" w:hint="eastAsia"/>
          <w:color w:val="212121"/>
          <w:sz w:val="28"/>
          <w:szCs w:val="20"/>
        </w:rPr>
        <w:t>，</w:t>
      </w:r>
      <w:r w:rsidR="00984F40">
        <w:rPr>
          <w:rFonts w:ascii="宋体" w:hAnsi="宋体" w:cs="宋体" w:hint="eastAsia"/>
          <w:color w:val="212121"/>
          <w:sz w:val="28"/>
          <w:szCs w:val="20"/>
        </w:rPr>
        <w:t>市场规模是大众和行业刊物在</w:t>
      </w:r>
      <w:r w:rsidR="00AA704F" w:rsidRPr="00693B1E">
        <w:rPr>
          <w:rFonts w:ascii="宋体" w:hAnsi="宋体" w:cs="宋体" w:hint="eastAsia"/>
          <w:color w:val="212121"/>
          <w:sz w:val="28"/>
          <w:szCs w:val="20"/>
        </w:rPr>
        <w:t>估算行业资产规模时</w:t>
      </w:r>
      <w:r w:rsidR="00984F40">
        <w:rPr>
          <w:rFonts w:ascii="宋体" w:hAnsi="宋体" w:cs="宋体" w:hint="eastAsia"/>
          <w:color w:val="212121"/>
          <w:sz w:val="28"/>
          <w:szCs w:val="20"/>
        </w:rPr>
        <w:t>会用到的。简单的说</w:t>
      </w:r>
      <w:r w:rsidRPr="00693B1E">
        <w:rPr>
          <w:rFonts w:ascii="宋体" w:hAnsi="宋体" w:cs="宋体" w:hint="eastAsia"/>
          <w:color w:val="212121"/>
          <w:sz w:val="28"/>
          <w:szCs w:val="20"/>
        </w:rPr>
        <w:t>，</w:t>
      </w:r>
      <w:r w:rsidR="00AA704F" w:rsidRPr="00693B1E">
        <w:rPr>
          <w:rFonts w:ascii="宋体" w:hAnsi="宋体" w:cs="宋体" w:hint="eastAsia"/>
          <w:color w:val="212121"/>
          <w:sz w:val="28"/>
          <w:szCs w:val="20"/>
        </w:rPr>
        <w:t>就是</w:t>
      </w:r>
      <w:r w:rsidR="004A3BF1" w:rsidRPr="00693B1E">
        <w:rPr>
          <w:rFonts w:ascii="宋体" w:hAnsi="宋体" w:cs="宋体" w:hint="eastAsia"/>
          <w:color w:val="212121"/>
          <w:sz w:val="28"/>
          <w:szCs w:val="20"/>
        </w:rPr>
        <w:t>没有考虑</w:t>
      </w:r>
      <w:r w:rsidRPr="00693B1E">
        <w:rPr>
          <w:rFonts w:ascii="宋体" w:hAnsi="宋体" w:cs="宋体" w:hint="eastAsia"/>
          <w:color w:val="212121"/>
          <w:sz w:val="28"/>
          <w:szCs w:val="20"/>
        </w:rPr>
        <w:t>杠杆，因此数字可能</w:t>
      </w:r>
      <w:r w:rsidR="004A3BF1" w:rsidRPr="00693B1E">
        <w:rPr>
          <w:rFonts w:ascii="宋体" w:hAnsi="宋体" w:cs="宋体" w:hint="eastAsia"/>
          <w:color w:val="212121"/>
          <w:sz w:val="28"/>
          <w:szCs w:val="20"/>
        </w:rPr>
        <w:t>差</w:t>
      </w:r>
      <w:r w:rsidRPr="00693B1E">
        <w:rPr>
          <w:rFonts w:ascii="宋体" w:hAnsi="宋体" w:cs="宋体" w:hint="eastAsia"/>
          <w:color w:val="212121"/>
          <w:sz w:val="28"/>
          <w:szCs w:val="20"/>
        </w:rPr>
        <w:t>十</w:t>
      </w:r>
      <w:r w:rsidR="004A3BF1" w:rsidRPr="00693B1E">
        <w:rPr>
          <w:rFonts w:ascii="宋体" w:hAnsi="宋体" w:cs="宋体" w:hint="eastAsia"/>
          <w:color w:val="212121"/>
          <w:sz w:val="28"/>
          <w:szCs w:val="20"/>
        </w:rPr>
        <w:t>倍以上</w:t>
      </w:r>
      <w:r w:rsidRPr="00693B1E">
        <w:rPr>
          <w:rFonts w:ascii="宋体" w:hAnsi="宋体" w:cs="宋体" w:hint="eastAsia"/>
          <w:color w:val="212121"/>
          <w:sz w:val="28"/>
          <w:szCs w:val="20"/>
        </w:rPr>
        <w:t>。</w:t>
      </w:r>
    </w:p>
    <w:p w:rsidR="004A3BF1" w:rsidRPr="00693B1E" w:rsidRDefault="004A3BF1"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4A3BF1" w:rsidP="00AE719F">
      <w:pPr>
        <w:pStyle w:val="HTML"/>
        <w:shd w:val="clear" w:color="auto" w:fill="FFFFFF"/>
        <w:spacing w:beforeLines="50" w:before="120" w:afterLines="50" w:after="120"/>
        <w:ind w:firstLineChars="150" w:firstLine="540"/>
        <w:rPr>
          <w:rFonts w:ascii="inherit" w:hAnsi="inherit"/>
          <w:color w:val="212121"/>
          <w:sz w:val="28"/>
        </w:rPr>
      </w:pPr>
      <w:r w:rsidRPr="00693B1E">
        <w:rPr>
          <w:rFonts w:ascii="Calibri" w:eastAsia="宋体" w:hAnsi="Calibri" w:cs="Times New Roman" w:hint="eastAsia"/>
          <w:sz w:val="36"/>
          <w:szCs w:val="22"/>
        </w:rPr>
        <w:t>“</w:t>
      </w:r>
      <w:r w:rsidR="00A412D5" w:rsidRPr="00693B1E">
        <w:rPr>
          <w:rFonts w:ascii="宋体" w:eastAsia="宋体" w:hAnsi="宋体" w:cs="宋体" w:hint="eastAsia"/>
          <w:color w:val="212121"/>
          <w:sz w:val="28"/>
        </w:rPr>
        <w:t>总资产</w:t>
      </w:r>
      <w:r w:rsidRPr="00693B1E">
        <w:rPr>
          <w:rFonts w:ascii="宋体" w:eastAsia="宋体" w:hAnsi="宋体" w:cs="Times New Roman" w:hint="eastAsia"/>
          <w:color w:val="212121"/>
          <w:sz w:val="28"/>
        </w:rPr>
        <w:t>”</w:t>
      </w:r>
      <w:r w:rsidR="00AA704F" w:rsidRPr="00693B1E">
        <w:rPr>
          <w:rFonts w:ascii="宋体" w:eastAsia="宋体" w:hAnsi="宋体" w:cs="Times New Roman" w:hint="eastAsia"/>
          <w:color w:val="212121"/>
          <w:sz w:val="28"/>
        </w:rPr>
        <w:t>这个</w:t>
      </w:r>
      <w:r w:rsidR="00A412D5" w:rsidRPr="00693B1E">
        <w:rPr>
          <w:rFonts w:ascii="宋体" w:eastAsia="宋体" w:hAnsi="宋体" w:cs="宋体" w:hint="eastAsia"/>
          <w:color w:val="212121"/>
          <w:sz w:val="28"/>
        </w:rPr>
        <w:t>数字，实际上是基金的</w:t>
      </w:r>
      <w:r w:rsidR="00E95704" w:rsidRPr="00693B1E">
        <w:rPr>
          <w:rFonts w:ascii="宋体" w:eastAsia="宋体" w:hAnsi="宋体" w:cs="宋体" w:hint="eastAsia"/>
          <w:color w:val="212121"/>
          <w:sz w:val="28"/>
        </w:rPr>
        <w:t>权益</w:t>
      </w:r>
      <w:r w:rsidR="004548AC" w:rsidRPr="00693B1E">
        <w:rPr>
          <w:rFonts w:ascii="宋体" w:eastAsia="宋体" w:hAnsi="宋体" w:cs="宋体" w:hint="eastAsia"/>
          <w:color w:val="212121"/>
          <w:sz w:val="28"/>
        </w:rPr>
        <w:t>总和</w:t>
      </w:r>
      <w:r w:rsidR="00A412D5" w:rsidRPr="00693B1E">
        <w:rPr>
          <w:rFonts w:ascii="宋体" w:eastAsia="宋体" w:hAnsi="宋体" w:cs="宋体" w:hint="eastAsia"/>
          <w:color w:val="212121"/>
          <w:sz w:val="28"/>
        </w:rPr>
        <w:t>，而不是投资的总资产。加</w:t>
      </w:r>
      <w:r w:rsidR="00FB2EFE" w:rsidRPr="00693B1E">
        <w:rPr>
          <w:rFonts w:ascii="宋体" w:eastAsia="宋体" w:hAnsi="宋体" w:cs="宋体" w:hint="eastAsia"/>
          <w:color w:val="212121"/>
          <w:sz w:val="28"/>
        </w:rPr>
        <w:t>上</w:t>
      </w:r>
      <w:r w:rsidR="00A41B6C" w:rsidRPr="00693B1E">
        <w:rPr>
          <w:rFonts w:ascii="宋体" w:eastAsia="宋体" w:hAnsi="宋体" w:cs="宋体" w:hint="eastAsia"/>
          <w:color w:val="212121"/>
          <w:sz w:val="28"/>
        </w:rPr>
        <w:t>杠杆后的基金经理的总</w:t>
      </w:r>
      <w:r w:rsidR="00B825B7">
        <w:rPr>
          <w:rFonts w:ascii="宋体" w:eastAsia="宋体" w:hAnsi="宋体" w:cs="宋体" w:hint="eastAsia"/>
          <w:color w:val="212121"/>
          <w:sz w:val="28"/>
        </w:rPr>
        <w:t>风险</w:t>
      </w:r>
      <w:r w:rsidR="00A41B6C" w:rsidRPr="00693B1E">
        <w:rPr>
          <w:rFonts w:ascii="宋体" w:eastAsia="宋体" w:hAnsi="宋体" w:cs="宋体" w:hint="eastAsia"/>
          <w:color w:val="212121"/>
          <w:sz w:val="28"/>
        </w:rPr>
        <w:t>敞口</w:t>
      </w:r>
      <w:r w:rsidR="00FB2EFE" w:rsidRPr="00693B1E">
        <w:rPr>
          <w:rFonts w:ascii="宋体" w:eastAsia="宋体" w:hAnsi="宋体" w:cs="宋体" w:hint="eastAsia"/>
          <w:color w:val="212121"/>
          <w:sz w:val="28"/>
        </w:rPr>
        <w:t>，</w:t>
      </w:r>
      <w:r w:rsidR="007376D8" w:rsidRPr="00693B1E">
        <w:rPr>
          <w:rFonts w:ascii="宋体" w:eastAsia="宋体" w:hAnsi="宋体" w:cs="宋体" w:hint="eastAsia"/>
          <w:color w:val="212121"/>
          <w:sz w:val="28"/>
        </w:rPr>
        <w:t>才能</w:t>
      </w:r>
      <w:r w:rsidR="00A412D5" w:rsidRPr="00693B1E">
        <w:rPr>
          <w:rFonts w:ascii="宋体" w:eastAsia="宋体" w:hAnsi="宋体" w:cs="宋体" w:hint="eastAsia"/>
          <w:color w:val="212121"/>
          <w:sz w:val="28"/>
        </w:rPr>
        <w:t>真正代表</w:t>
      </w:r>
      <w:r w:rsidR="00AA704F" w:rsidRPr="00693B1E">
        <w:rPr>
          <w:rFonts w:ascii="宋体" w:eastAsia="宋体" w:hAnsi="宋体" w:cs="宋体" w:hint="eastAsia"/>
          <w:color w:val="212121"/>
          <w:sz w:val="28"/>
        </w:rPr>
        <w:t>风险资产总额。</w:t>
      </w:r>
      <w:r w:rsidR="00A412D5" w:rsidRPr="00693B1E">
        <w:rPr>
          <w:rFonts w:ascii="宋体" w:eastAsia="宋体" w:hAnsi="宋体" w:cs="宋体" w:hint="eastAsia"/>
          <w:color w:val="212121"/>
          <w:sz w:val="28"/>
        </w:rPr>
        <w:t>对冲基金经理</w:t>
      </w:r>
      <w:r w:rsidR="00E95704" w:rsidRPr="00693B1E">
        <w:rPr>
          <w:rFonts w:ascii="宋体" w:eastAsia="宋体" w:hAnsi="宋体" w:cs="宋体" w:hint="eastAsia"/>
          <w:color w:val="212121"/>
          <w:sz w:val="28"/>
        </w:rPr>
        <w:t>会将每支基金的“权益”</w:t>
      </w:r>
      <w:r w:rsidR="00A412D5" w:rsidRPr="00693B1E">
        <w:rPr>
          <w:rFonts w:ascii="宋体" w:eastAsia="宋体" w:hAnsi="宋体" w:cs="宋体" w:hint="eastAsia"/>
          <w:color w:val="212121"/>
          <w:sz w:val="28"/>
        </w:rPr>
        <w:t>发布</w:t>
      </w:r>
      <w:r w:rsidR="00E95704" w:rsidRPr="00693B1E">
        <w:rPr>
          <w:rFonts w:ascii="宋体" w:eastAsia="宋体" w:hAnsi="宋体" w:cs="宋体" w:hint="eastAsia"/>
          <w:color w:val="212121"/>
          <w:sz w:val="28"/>
        </w:rPr>
        <w:t>并</w:t>
      </w:r>
      <w:r w:rsidR="00A412D5" w:rsidRPr="00693B1E">
        <w:rPr>
          <w:rFonts w:ascii="宋体" w:eastAsia="宋体" w:hAnsi="宋体" w:cs="宋体" w:hint="eastAsia"/>
          <w:color w:val="212121"/>
          <w:sz w:val="28"/>
        </w:rPr>
        <w:t>通知投资者。</w:t>
      </w:r>
    </w:p>
    <w:p w:rsidR="00A412D5" w:rsidRPr="00693B1E" w:rsidRDefault="00A412D5" w:rsidP="00AE719F">
      <w:pPr>
        <w:spacing w:beforeLines="50" w:before="120" w:afterLines="50" w:after="120" w:line="240" w:lineRule="auto"/>
        <w:rPr>
          <w:rFonts w:ascii="宋体" w:hAnsi="宋体" w:cs="宋体"/>
          <w:b/>
          <w:color w:val="000000"/>
          <w:sz w:val="28"/>
          <w:szCs w:val="20"/>
        </w:rPr>
      </w:pPr>
      <w:r w:rsidRPr="00693B1E">
        <w:rPr>
          <w:sz w:val="36"/>
        </w:rPr>
        <w:br/>
      </w:r>
      <w:r w:rsidRPr="00693B1E">
        <w:rPr>
          <w:rFonts w:ascii="宋体" w:hAnsi="宋体" w:cs="宋体"/>
          <w:b/>
          <w:color w:val="000000"/>
          <w:sz w:val="28"/>
          <w:szCs w:val="20"/>
        </w:rPr>
        <w:t>杠</w:t>
      </w:r>
      <w:r w:rsidRPr="00693B1E">
        <w:rPr>
          <w:rFonts w:ascii="宋体" w:hAnsi="宋体" w:cs="宋体" w:hint="eastAsia"/>
          <w:b/>
          <w:color w:val="000000"/>
          <w:sz w:val="28"/>
          <w:szCs w:val="20"/>
        </w:rPr>
        <w:t>杆</w:t>
      </w:r>
    </w:p>
    <w:p w:rsidR="00A412D5" w:rsidRPr="00693B1E" w:rsidRDefault="00A412D5" w:rsidP="00AE719F">
      <w:pPr>
        <w:pStyle w:val="HTML"/>
        <w:shd w:val="clear" w:color="auto" w:fill="FFFFFF"/>
        <w:spacing w:beforeLines="50" w:before="120" w:afterLines="50" w:after="120"/>
        <w:rPr>
          <w:rFonts w:ascii="Calibri" w:eastAsia="宋体" w:hAnsi="Calibri" w:cs="Times New Roman"/>
          <w:sz w:val="36"/>
          <w:szCs w:val="22"/>
          <w:u w:val="single"/>
        </w:rPr>
      </w:pPr>
    </w:p>
    <w:p w:rsidR="007376D8" w:rsidRPr="00693B1E" w:rsidRDefault="00E95704"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基金经理一般在</w:t>
      </w:r>
      <w:r w:rsidR="00CE3990" w:rsidRPr="00693B1E">
        <w:rPr>
          <w:rFonts w:ascii="宋体" w:eastAsia="宋体" w:hAnsi="宋体" w:cs="宋体" w:hint="eastAsia"/>
          <w:color w:val="212121"/>
          <w:sz w:val="28"/>
        </w:rPr>
        <w:t>多/</w:t>
      </w:r>
      <w:r w:rsidR="00B825B7">
        <w:rPr>
          <w:rFonts w:ascii="宋体" w:eastAsia="宋体" w:hAnsi="宋体" w:cs="宋体" w:hint="eastAsia"/>
          <w:color w:val="212121"/>
          <w:sz w:val="28"/>
        </w:rPr>
        <w:t>空</w:t>
      </w:r>
      <w:r w:rsidR="001B5E71">
        <w:rPr>
          <w:rFonts w:ascii="宋体" w:eastAsia="宋体" w:hAnsi="宋体" w:cs="宋体" w:hint="eastAsia"/>
          <w:color w:val="212121"/>
          <w:sz w:val="28"/>
        </w:rPr>
        <w:t>股权</w:t>
      </w:r>
      <w:r w:rsidRPr="00693B1E">
        <w:rPr>
          <w:rFonts w:ascii="宋体" w:eastAsia="宋体" w:hAnsi="宋体" w:cs="宋体" w:hint="eastAsia"/>
          <w:color w:val="212121"/>
          <w:sz w:val="28"/>
        </w:rPr>
        <w:t>交易中使用的</w:t>
      </w:r>
      <w:r w:rsidR="00A412D5" w:rsidRPr="00693B1E">
        <w:rPr>
          <w:rFonts w:ascii="宋体" w:eastAsia="宋体" w:hAnsi="宋体" w:cs="宋体" w:hint="eastAsia"/>
          <w:color w:val="212121"/>
          <w:sz w:val="28"/>
        </w:rPr>
        <w:t>杠杆范围</w:t>
      </w:r>
      <w:r w:rsidR="007376D8" w:rsidRPr="00693B1E">
        <w:rPr>
          <w:rFonts w:ascii="宋体" w:eastAsia="宋体" w:hAnsi="宋体" w:cs="宋体" w:hint="eastAsia"/>
          <w:color w:val="212121"/>
          <w:sz w:val="28"/>
        </w:rPr>
        <w:t>是</w:t>
      </w:r>
      <w:r w:rsidRPr="00693B1E">
        <w:rPr>
          <w:rFonts w:ascii="宋体" w:eastAsia="宋体" w:hAnsi="宋体" w:cs="宋体" w:hint="eastAsia"/>
          <w:color w:val="212121"/>
          <w:sz w:val="28"/>
        </w:rPr>
        <w:t>合伙</w:t>
      </w:r>
      <w:r w:rsidR="001B5E71">
        <w:rPr>
          <w:rFonts w:ascii="宋体" w:eastAsia="宋体" w:hAnsi="宋体" w:cs="宋体" w:hint="eastAsia"/>
          <w:color w:val="212121"/>
          <w:sz w:val="28"/>
        </w:rPr>
        <w:t>人</w:t>
      </w:r>
      <w:r w:rsidR="00A412D5" w:rsidRPr="00693B1E">
        <w:rPr>
          <w:rFonts w:ascii="宋体" w:eastAsia="宋体" w:hAnsi="宋体" w:cs="宋体" w:hint="eastAsia"/>
          <w:color w:val="212121"/>
          <w:sz w:val="28"/>
        </w:rPr>
        <w:t>资本</w:t>
      </w:r>
      <w:r w:rsidR="007376D8" w:rsidRPr="00693B1E">
        <w:rPr>
          <w:rFonts w:ascii="宋体" w:eastAsia="宋体" w:hAnsi="宋体" w:cs="宋体" w:hint="eastAsia"/>
          <w:color w:val="212121"/>
          <w:sz w:val="28"/>
        </w:rPr>
        <w:t>的1到1.5倍</w:t>
      </w:r>
      <w:r w:rsidR="00A412D5" w:rsidRPr="00693B1E">
        <w:rPr>
          <w:rFonts w:ascii="宋体" w:eastAsia="宋体" w:hAnsi="宋体" w:cs="宋体" w:hint="eastAsia"/>
          <w:color w:val="212121"/>
          <w:sz w:val="28"/>
        </w:rPr>
        <w:t>，</w:t>
      </w:r>
      <w:r w:rsidRPr="00693B1E">
        <w:rPr>
          <w:rFonts w:ascii="宋体" w:eastAsia="宋体" w:hAnsi="宋体" w:cs="宋体" w:hint="eastAsia"/>
          <w:color w:val="212121"/>
          <w:sz w:val="28"/>
        </w:rPr>
        <w:t>也</w:t>
      </w:r>
      <w:r w:rsidR="007376D8" w:rsidRPr="00693B1E">
        <w:rPr>
          <w:rFonts w:ascii="宋体" w:eastAsia="宋体" w:hAnsi="宋体" w:cs="宋体" w:hint="eastAsia"/>
          <w:color w:val="212121"/>
          <w:sz w:val="28"/>
        </w:rPr>
        <w:t>就是</w:t>
      </w:r>
      <w:r w:rsidR="00A412D5" w:rsidRPr="00693B1E">
        <w:rPr>
          <w:rFonts w:ascii="Times New Roman" w:hAnsi="Times New Roman" w:cs="Times New Roman"/>
          <w:color w:val="212121"/>
          <w:sz w:val="28"/>
        </w:rPr>
        <w:t>50</w:t>
      </w:r>
      <w:r w:rsidR="00A412D5" w:rsidRPr="00693B1E">
        <w:rPr>
          <w:rFonts w:ascii="宋体" w:eastAsia="宋体" w:hAnsi="宋体" w:cs="宋体" w:hint="eastAsia"/>
          <w:color w:val="212121"/>
          <w:sz w:val="28"/>
        </w:rPr>
        <w:t>％的杠杆。换句话说，一个拥有</w:t>
      </w:r>
      <w:r w:rsidR="00A412D5" w:rsidRPr="00693B1E">
        <w:rPr>
          <w:rFonts w:ascii="Times New Roman" w:hAnsi="Times New Roman" w:cs="Times New Roman"/>
          <w:color w:val="212121"/>
          <w:sz w:val="28"/>
        </w:rPr>
        <w:t>1.00</w:t>
      </w:r>
      <w:r w:rsidR="00A412D5" w:rsidRPr="00693B1E">
        <w:rPr>
          <w:rFonts w:ascii="宋体" w:eastAsia="宋体" w:hAnsi="宋体" w:cs="宋体" w:hint="eastAsia"/>
          <w:color w:val="212121"/>
          <w:sz w:val="28"/>
        </w:rPr>
        <w:t>美元资本（或股权）的经理</w:t>
      </w:r>
      <w:r w:rsidR="007376D8" w:rsidRPr="00693B1E">
        <w:rPr>
          <w:rFonts w:ascii="宋体" w:eastAsia="宋体" w:hAnsi="宋体" w:cs="宋体" w:hint="eastAsia"/>
          <w:color w:val="212121"/>
          <w:sz w:val="28"/>
        </w:rPr>
        <w:t>可以</w:t>
      </w:r>
      <w:r w:rsidR="00A412D5" w:rsidRPr="00693B1E">
        <w:rPr>
          <w:rFonts w:ascii="宋体" w:eastAsia="宋体" w:hAnsi="宋体" w:cs="宋体" w:hint="eastAsia"/>
          <w:color w:val="212121"/>
          <w:sz w:val="28"/>
        </w:rPr>
        <w:t>投资</w:t>
      </w:r>
      <w:r w:rsidR="00A412D5" w:rsidRPr="00693B1E">
        <w:rPr>
          <w:rFonts w:ascii="inherit" w:hAnsi="inherit" w:hint="eastAsia"/>
          <w:color w:val="212121"/>
          <w:sz w:val="28"/>
        </w:rPr>
        <w:t>1.50</w:t>
      </w:r>
      <w:r w:rsidRPr="00693B1E">
        <w:rPr>
          <w:rFonts w:ascii="inherit" w:eastAsia="宋体" w:hAnsi="inherit" w:hint="eastAsia"/>
          <w:color w:val="212121"/>
          <w:sz w:val="28"/>
        </w:rPr>
        <w:t>美元</w:t>
      </w:r>
      <w:r w:rsidR="00A412D5" w:rsidRPr="00693B1E">
        <w:rPr>
          <w:rFonts w:ascii="宋体" w:eastAsia="宋体" w:hAnsi="宋体" w:cs="宋体" w:hint="eastAsia"/>
          <w:color w:val="212121"/>
          <w:sz w:val="28"/>
        </w:rPr>
        <w:t>的资产，许多</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策略</w:t>
      </w:r>
      <w:r w:rsidR="007C6DFF" w:rsidRPr="00693B1E">
        <w:rPr>
          <w:rFonts w:ascii="宋体" w:eastAsia="宋体" w:hAnsi="宋体" w:cs="宋体" w:hint="eastAsia"/>
          <w:color w:val="212121"/>
          <w:sz w:val="28"/>
        </w:rPr>
        <w:t>可以</w:t>
      </w:r>
      <w:r w:rsidR="00A412D5" w:rsidRPr="00693B1E">
        <w:rPr>
          <w:rFonts w:ascii="宋体" w:eastAsia="宋体" w:hAnsi="宋体" w:cs="宋体" w:hint="eastAsia"/>
          <w:color w:val="212121"/>
          <w:sz w:val="28"/>
        </w:rPr>
        <w:t>采用更高水平的杠杆，在一些情况下大于</w:t>
      </w:r>
      <w:r w:rsidR="00A412D5" w:rsidRPr="00693B1E">
        <w:rPr>
          <w:rFonts w:ascii="Times New Roman" w:hAnsi="Times New Roman" w:cs="Times New Roman"/>
          <w:color w:val="212121"/>
          <w:sz w:val="28"/>
        </w:rPr>
        <w:t>200-250</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7376D8"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例如，一个</w:t>
      </w:r>
      <w:r w:rsidR="007C6DFF" w:rsidRPr="00693B1E">
        <w:rPr>
          <w:rFonts w:ascii="宋体" w:eastAsia="宋体" w:hAnsi="宋体" w:cs="宋体" w:hint="eastAsia"/>
          <w:color w:val="212121"/>
          <w:sz w:val="28"/>
        </w:rPr>
        <w:t>多</w:t>
      </w:r>
      <w:r w:rsidR="00CE3990" w:rsidRPr="00693B1E">
        <w:rPr>
          <w:rFonts w:ascii="宋体" w:eastAsia="宋体" w:hAnsi="宋体" w:cs="宋体" w:hint="eastAsia"/>
          <w:color w:val="212121"/>
          <w:sz w:val="28"/>
        </w:rPr>
        <w:t>/</w:t>
      </w:r>
      <w:r w:rsidR="001B5E71">
        <w:rPr>
          <w:rFonts w:ascii="宋体" w:eastAsia="宋体" w:hAnsi="宋体" w:cs="宋体" w:hint="eastAsia"/>
          <w:color w:val="212121"/>
          <w:sz w:val="28"/>
        </w:rPr>
        <w:t>空股权</w:t>
      </w:r>
      <w:r w:rsidRPr="00693B1E">
        <w:rPr>
          <w:rFonts w:ascii="宋体" w:eastAsia="宋体" w:hAnsi="宋体" w:cs="宋体" w:hint="eastAsia"/>
          <w:color w:val="212121"/>
          <w:sz w:val="28"/>
        </w:rPr>
        <w:t>对冲基金，</w:t>
      </w:r>
      <w:r w:rsidR="007C6DFF" w:rsidRPr="00693B1E">
        <w:rPr>
          <w:rFonts w:ascii="宋体" w:eastAsia="宋体" w:hAnsi="宋体" w:cs="宋体" w:hint="eastAsia"/>
          <w:color w:val="212121"/>
          <w:sz w:val="28"/>
        </w:rPr>
        <w:t>有限合伙人股权</w:t>
      </w:r>
      <w:r w:rsidRPr="00693B1E">
        <w:rPr>
          <w:rFonts w:ascii="宋体" w:eastAsia="宋体" w:hAnsi="宋体" w:cs="宋体" w:hint="eastAsia"/>
          <w:color w:val="212121"/>
          <w:sz w:val="28"/>
        </w:rPr>
        <w:t>有</w:t>
      </w:r>
      <w:r w:rsidRPr="00693B1E">
        <w:rPr>
          <w:rFonts w:ascii="Times New Roman" w:hAnsi="Times New Roman" w:cs="Times New Roman"/>
          <w:color w:val="212121"/>
          <w:sz w:val="28"/>
        </w:rPr>
        <w:t>1</w:t>
      </w:r>
      <w:r w:rsidRPr="00693B1E">
        <w:rPr>
          <w:rFonts w:ascii="宋体" w:eastAsia="宋体" w:hAnsi="宋体" w:cs="宋体" w:hint="eastAsia"/>
          <w:color w:val="212121"/>
          <w:sz w:val="28"/>
        </w:rPr>
        <w:t>亿美元</w:t>
      </w:r>
      <w:r w:rsidR="007C6DFF" w:rsidRPr="00693B1E">
        <w:rPr>
          <w:rFonts w:ascii="宋体" w:eastAsia="宋体" w:hAnsi="宋体" w:cs="宋体" w:hint="eastAsia"/>
          <w:color w:val="212121"/>
          <w:sz w:val="28"/>
        </w:rPr>
        <w:t>，</w:t>
      </w:r>
      <w:r w:rsidRPr="00693B1E">
        <w:rPr>
          <w:rFonts w:ascii="宋体" w:eastAsia="宋体" w:hAnsi="宋体" w:cs="宋体" w:hint="eastAsia"/>
          <w:color w:val="212121"/>
          <w:sz w:val="28"/>
        </w:rPr>
        <w:t>可能</w:t>
      </w:r>
      <w:r w:rsidR="00E95704" w:rsidRPr="00693B1E">
        <w:rPr>
          <w:rFonts w:ascii="宋体" w:eastAsia="宋体" w:hAnsi="宋体" w:cs="宋体" w:hint="eastAsia"/>
          <w:color w:val="212121"/>
          <w:sz w:val="28"/>
        </w:rPr>
        <w:t>会投资</w:t>
      </w:r>
      <w:r w:rsidRPr="00693B1E">
        <w:rPr>
          <w:rFonts w:ascii="Times New Roman" w:hAnsi="Times New Roman" w:cs="Times New Roman"/>
          <w:color w:val="212121"/>
          <w:sz w:val="28"/>
        </w:rPr>
        <w:t>1</w:t>
      </w:r>
      <w:r w:rsidRPr="00693B1E">
        <w:rPr>
          <w:rFonts w:ascii="宋体" w:eastAsia="宋体" w:hAnsi="宋体" w:cs="宋体" w:hint="eastAsia"/>
          <w:color w:val="212121"/>
          <w:sz w:val="28"/>
        </w:rPr>
        <w:t>亿美元的</w:t>
      </w:r>
      <w:r w:rsidR="00E95704" w:rsidRPr="00693B1E">
        <w:rPr>
          <w:rFonts w:ascii="宋体" w:eastAsia="宋体" w:hAnsi="宋体" w:cs="宋体" w:hint="eastAsia"/>
          <w:color w:val="212121"/>
          <w:sz w:val="28"/>
        </w:rPr>
        <w:t>多头</w:t>
      </w:r>
      <w:r w:rsidRPr="00693B1E">
        <w:rPr>
          <w:rFonts w:ascii="宋体" w:eastAsia="宋体" w:hAnsi="宋体" w:cs="宋体" w:hint="eastAsia"/>
          <w:color w:val="212121"/>
          <w:sz w:val="28"/>
        </w:rPr>
        <w:t>证券和</w:t>
      </w:r>
      <w:r w:rsidRPr="00693B1E">
        <w:rPr>
          <w:rFonts w:ascii="inherit" w:hAnsi="inherit" w:hint="eastAsia"/>
          <w:color w:val="212121"/>
          <w:sz w:val="28"/>
        </w:rPr>
        <w:t>8000</w:t>
      </w:r>
      <w:r w:rsidRPr="00693B1E">
        <w:rPr>
          <w:rFonts w:ascii="宋体" w:eastAsia="宋体" w:hAnsi="宋体" w:cs="宋体" w:hint="eastAsia"/>
          <w:color w:val="212121"/>
          <w:sz w:val="28"/>
        </w:rPr>
        <w:t>万美元</w:t>
      </w:r>
      <w:r w:rsidR="00E95704" w:rsidRPr="00693B1E">
        <w:rPr>
          <w:rFonts w:ascii="宋体" w:eastAsia="宋体" w:hAnsi="宋体" w:cs="宋体" w:hint="eastAsia"/>
          <w:color w:val="212121"/>
          <w:sz w:val="28"/>
        </w:rPr>
        <w:t>的空头</w:t>
      </w:r>
      <w:r w:rsidRPr="00693B1E">
        <w:rPr>
          <w:rFonts w:ascii="宋体" w:eastAsia="宋体" w:hAnsi="宋体" w:cs="宋体" w:hint="eastAsia"/>
          <w:color w:val="212121"/>
          <w:sz w:val="28"/>
        </w:rPr>
        <w:t>。总</w:t>
      </w:r>
      <w:r w:rsidR="00E95704" w:rsidRPr="00693B1E">
        <w:rPr>
          <w:rFonts w:ascii="宋体" w:eastAsia="宋体" w:hAnsi="宋体" w:cs="宋体" w:hint="eastAsia"/>
          <w:color w:val="212121"/>
          <w:sz w:val="28"/>
        </w:rPr>
        <w:t>敞口</w:t>
      </w:r>
      <w:r w:rsidRPr="00693B1E">
        <w:rPr>
          <w:rFonts w:ascii="宋体" w:eastAsia="宋体" w:hAnsi="宋体" w:cs="宋体" w:hint="eastAsia"/>
          <w:color w:val="212121"/>
          <w:sz w:val="28"/>
        </w:rPr>
        <w:t>为</w:t>
      </w:r>
      <w:r w:rsidRPr="00693B1E">
        <w:rPr>
          <w:rFonts w:ascii="Times New Roman" w:hAnsi="Times New Roman" w:cs="Times New Roman"/>
          <w:color w:val="212121"/>
          <w:sz w:val="28"/>
        </w:rPr>
        <w:t>1.8</w:t>
      </w:r>
      <w:r w:rsidRPr="00693B1E">
        <w:rPr>
          <w:rFonts w:ascii="宋体" w:eastAsia="宋体" w:hAnsi="宋体" w:cs="宋体" w:hint="eastAsia"/>
          <w:color w:val="212121"/>
          <w:sz w:val="28"/>
        </w:rPr>
        <w:t>亿美元，而</w:t>
      </w:r>
      <w:proofErr w:type="gramStart"/>
      <w:r w:rsidRPr="00693B1E">
        <w:rPr>
          <w:rFonts w:ascii="宋体" w:eastAsia="宋体" w:hAnsi="宋体" w:cs="宋体" w:hint="eastAsia"/>
          <w:color w:val="212121"/>
          <w:sz w:val="28"/>
        </w:rPr>
        <w:t>净</w:t>
      </w:r>
      <w:r w:rsidR="007C6DFF" w:rsidRPr="00693B1E">
        <w:rPr>
          <w:rFonts w:ascii="宋体" w:eastAsia="宋体" w:hAnsi="宋体" w:cs="宋体" w:hint="eastAsia"/>
          <w:color w:val="212121"/>
          <w:sz w:val="28"/>
        </w:rPr>
        <w:t>风险</w:t>
      </w:r>
      <w:proofErr w:type="gramEnd"/>
      <w:r w:rsidR="00E95704" w:rsidRPr="00693B1E">
        <w:rPr>
          <w:rFonts w:ascii="宋体" w:eastAsia="宋体" w:hAnsi="宋体" w:cs="宋体" w:hint="eastAsia"/>
          <w:color w:val="212121"/>
          <w:sz w:val="28"/>
        </w:rPr>
        <w:t>敞口只有</w:t>
      </w:r>
      <w:r w:rsidRPr="00693B1E">
        <w:rPr>
          <w:rFonts w:ascii="Times New Roman" w:hAnsi="Times New Roman" w:cs="Times New Roman"/>
          <w:color w:val="212121"/>
          <w:sz w:val="28"/>
        </w:rPr>
        <w:t>2000</w:t>
      </w:r>
      <w:r w:rsidRPr="00693B1E">
        <w:rPr>
          <w:rFonts w:ascii="宋体" w:eastAsia="宋体" w:hAnsi="宋体" w:cs="宋体" w:hint="eastAsia"/>
          <w:color w:val="212121"/>
          <w:sz w:val="28"/>
        </w:rPr>
        <w:t>万美元。</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E95704"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那么，</w:t>
      </w:r>
      <w:r w:rsidR="00A412D5" w:rsidRPr="00693B1E">
        <w:rPr>
          <w:rFonts w:ascii="宋体" w:eastAsia="宋体" w:hAnsi="宋体" w:cs="宋体" w:hint="eastAsia"/>
          <w:color w:val="212121"/>
          <w:sz w:val="28"/>
        </w:rPr>
        <w:t>总资本</w:t>
      </w:r>
      <w:r w:rsidR="00395D1C" w:rsidRPr="00693B1E">
        <w:rPr>
          <w:rFonts w:ascii="宋体" w:eastAsia="宋体" w:hAnsi="宋体" w:cs="宋体" w:hint="eastAsia"/>
          <w:color w:val="212121"/>
          <w:sz w:val="28"/>
        </w:rPr>
        <w:t>是</w:t>
      </w:r>
      <w:r w:rsidR="00A412D5" w:rsidRPr="00693B1E">
        <w:rPr>
          <w:rFonts w:ascii="宋体" w:eastAsia="宋体" w:hAnsi="宋体" w:cs="宋体" w:hint="eastAsia"/>
          <w:color w:val="212121"/>
          <w:sz w:val="28"/>
        </w:rPr>
        <w:t>如何计算</w:t>
      </w:r>
      <w:r w:rsidR="00395D1C" w:rsidRPr="00693B1E">
        <w:rPr>
          <w:rFonts w:ascii="宋体" w:eastAsia="宋体" w:hAnsi="宋体" w:cs="宋体" w:hint="eastAsia"/>
          <w:color w:val="212121"/>
          <w:sz w:val="28"/>
        </w:rPr>
        <w:t>并</w:t>
      </w:r>
      <w:r w:rsidR="00A412D5" w:rsidRPr="00693B1E">
        <w:rPr>
          <w:rFonts w:ascii="宋体" w:eastAsia="宋体" w:hAnsi="宋体" w:cs="宋体" w:hint="eastAsia"/>
          <w:color w:val="212121"/>
          <w:sz w:val="28"/>
        </w:rPr>
        <w:t>报告给投资者</w:t>
      </w:r>
      <w:r w:rsidR="007C6DFF" w:rsidRPr="00693B1E">
        <w:rPr>
          <w:rFonts w:ascii="宋体" w:eastAsia="宋体" w:hAnsi="宋体" w:cs="宋体" w:hint="eastAsia"/>
          <w:color w:val="212121"/>
          <w:sz w:val="28"/>
        </w:rPr>
        <w:t>和外部</w:t>
      </w:r>
      <w:r w:rsidR="00A412D5" w:rsidRPr="00693B1E">
        <w:rPr>
          <w:rFonts w:ascii="宋体" w:eastAsia="宋体" w:hAnsi="宋体" w:cs="宋体" w:hint="eastAsia"/>
          <w:color w:val="212121"/>
          <w:sz w:val="28"/>
        </w:rPr>
        <w:t>数据库</w:t>
      </w:r>
      <w:r w:rsidR="007C6DFF"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经理报告了</w:t>
      </w:r>
      <w:r w:rsidR="00A412D5" w:rsidRPr="00693B1E">
        <w:rPr>
          <w:rFonts w:ascii="Times New Roman" w:hAnsi="Times New Roman" w:cs="Times New Roman"/>
          <w:color w:val="212121"/>
          <w:sz w:val="28"/>
        </w:rPr>
        <w:t>1</w:t>
      </w:r>
      <w:r w:rsidR="007C6DFF" w:rsidRPr="00693B1E">
        <w:rPr>
          <w:rFonts w:ascii="宋体" w:eastAsia="宋体" w:hAnsi="宋体" w:cs="宋体" w:hint="eastAsia"/>
          <w:color w:val="212121"/>
          <w:sz w:val="28"/>
        </w:rPr>
        <w:t>亿美元的合伙</w:t>
      </w:r>
      <w:r w:rsidR="00A412D5" w:rsidRPr="00693B1E">
        <w:rPr>
          <w:rFonts w:ascii="宋体" w:eastAsia="宋体" w:hAnsi="宋体" w:cs="宋体" w:hint="eastAsia"/>
          <w:color w:val="212121"/>
          <w:sz w:val="28"/>
        </w:rPr>
        <w:t>资本，但</w:t>
      </w:r>
      <w:r w:rsidRPr="00693B1E">
        <w:rPr>
          <w:rFonts w:ascii="宋体" w:eastAsia="宋体" w:hAnsi="宋体" w:cs="宋体" w:hint="eastAsia"/>
          <w:color w:val="212121"/>
          <w:sz w:val="28"/>
        </w:rPr>
        <w:t>实际</w:t>
      </w:r>
      <w:r w:rsidR="00A412D5" w:rsidRPr="00693B1E">
        <w:rPr>
          <w:rFonts w:ascii="宋体" w:eastAsia="宋体" w:hAnsi="宋体" w:cs="宋体" w:hint="eastAsia"/>
          <w:color w:val="212121"/>
          <w:sz w:val="28"/>
        </w:rPr>
        <w:t>可用</w:t>
      </w:r>
      <w:r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交易资产</w:t>
      </w:r>
      <w:r w:rsidR="007C6DFF" w:rsidRPr="00693B1E">
        <w:rPr>
          <w:rFonts w:ascii="宋体" w:eastAsia="宋体" w:hAnsi="宋体" w:cs="宋体" w:hint="eastAsia"/>
          <w:color w:val="212121"/>
          <w:sz w:val="28"/>
        </w:rPr>
        <w:t>可达</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亿美元。风险资本实际上是</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亿美元。实际上，</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经理</w:t>
      </w:r>
      <w:r w:rsidR="007C6DFF" w:rsidRPr="00693B1E">
        <w:rPr>
          <w:rFonts w:ascii="宋体" w:eastAsia="宋体" w:hAnsi="宋体" w:cs="宋体" w:hint="eastAsia"/>
          <w:color w:val="212121"/>
          <w:sz w:val="28"/>
        </w:rPr>
        <w:t>须评估</w:t>
      </w:r>
      <w:r w:rsidR="001B5E71">
        <w:rPr>
          <w:rFonts w:ascii="宋体" w:eastAsia="宋体" w:hAnsi="宋体" w:cs="宋体" w:hint="eastAsia"/>
          <w:color w:val="212121"/>
          <w:sz w:val="28"/>
        </w:rPr>
        <w:t>的</w:t>
      </w:r>
      <w:r w:rsidR="007C6DFF" w:rsidRPr="00693B1E">
        <w:rPr>
          <w:rFonts w:ascii="宋体" w:eastAsia="宋体" w:hAnsi="宋体" w:cs="宋体" w:hint="eastAsia"/>
          <w:color w:val="212121"/>
          <w:sz w:val="28"/>
        </w:rPr>
        <w:t>投资组合波动性</w:t>
      </w:r>
      <w:r w:rsidRPr="00693B1E">
        <w:rPr>
          <w:rFonts w:ascii="宋体" w:eastAsia="宋体" w:hAnsi="宋体" w:cs="宋体" w:hint="eastAsia"/>
          <w:color w:val="212121"/>
          <w:sz w:val="28"/>
        </w:rPr>
        <w:t>市场</w:t>
      </w:r>
      <w:r w:rsidR="001B5E71">
        <w:rPr>
          <w:rFonts w:ascii="宋体" w:eastAsia="宋体" w:hAnsi="宋体" w:cs="宋体" w:hint="eastAsia"/>
          <w:color w:val="212121"/>
          <w:sz w:val="28"/>
        </w:rPr>
        <w:t>风险</w:t>
      </w:r>
      <w:r w:rsidR="007C6DFF" w:rsidRPr="00693B1E">
        <w:rPr>
          <w:rFonts w:ascii="宋体" w:eastAsia="宋体" w:hAnsi="宋体" w:cs="宋体" w:hint="eastAsia"/>
          <w:color w:val="212121"/>
          <w:sz w:val="28"/>
        </w:rPr>
        <w:t>是</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亿美元，而不是</w:t>
      </w:r>
      <w:r w:rsidR="00A412D5" w:rsidRPr="00693B1E">
        <w:rPr>
          <w:rFonts w:ascii="Times New Roman" w:hAnsi="Times New Roman" w:cs="Times New Roman"/>
          <w:color w:val="212121"/>
          <w:sz w:val="28"/>
        </w:rPr>
        <w:t>1</w:t>
      </w:r>
      <w:r w:rsidR="00A412D5" w:rsidRPr="00693B1E">
        <w:rPr>
          <w:rFonts w:ascii="宋体" w:eastAsia="宋体" w:hAnsi="宋体" w:cs="宋体" w:hint="eastAsia"/>
          <w:color w:val="212121"/>
          <w:sz w:val="28"/>
        </w:rPr>
        <w:t>亿美元的资产。对于每</w:t>
      </w:r>
      <w:r w:rsidR="00A412D5" w:rsidRPr="00693B1E">
        <w:rPr>
          <w:rFonts w:ascii="Times New Roman" w:hAnsi="Times New Roman" w:cs="Times New Roman"/>
          <w:color w:val="212121"/>
          <w:sz w:val="28"/>
        </w:rPr>
        <w:t xml:space="preserve"> </w:t>
      </w:r>
      <w:r w:rsidR="00A412D5" w:rsidRPr="00693B1E">
        <w:rPr>
          <w:rFonts w:ascii="inherit" w:hAnsi="inherit" w:hint="eastAsia"/>
          <w:color w:val="212121"/>
          <w:sz w:val="28"/>
        </w:rPr>
        <w:t>1</w:t>
      </w:r>
      <w:r w:rsidR="001B5E71">
        <w:rPr>
          <w:rFonts w:ascii="inherit" w:hAnsi="inherit" w:hint="eastAsia"/>
          <w:color w:val="212121"/>
          <w:sz w:val="28"/>
        </w:rPr>
        <w:t>美元的</w:t>
      </w:r>
      <w:r w:rsidR="00A412D5" w:rsidRPr="00693B1E">
        <w:rPr>
          <w:rFonts w:ascii="宋体" w:eastAsia="宋体" w:hAnsi="宋体" w:cs="宋体" w:hint="eastAsia"/>
          <w:color w:val="212121"/>
          <w:sz w:val="28"/>
        </w:rPr>
        <w:t>价格移动，将有一个</w:t>
      </w:r>
      <w:r w:rsidR="00A412D5" w:rsidRPr="00693B1E">
        <w:rPr>
          <w:rFonts w:ascii="Times New Roman" w:hAnsi="Times New Roman" w:cs="Times New Roman"/>
          <w:color w:val="212121"/>
          <w:sz w:val="28"/>
        </w:rPr>
        <w:t>1.80</w:t>
      </w:r>
      <w:r w:rsidR="001B5E71">
        <w:rPr>
          <w:rFonts w:ascii="Times New Roman" w:hAnsi="Times New Roman" w:cs="Times New Roman"/>
          <w:color w:val="212121"/>
          <w:sz w:val="28"/>
        </w:rPr>
        <w:t>美元的</w:t>
      </w:r>
      <w:r w:rsidR="00A412D5" w:rsidRPr="00693B1E">
        <w:rPr>
          <w:rFonts w:ascii="宋体" w:eastAsia="宋体" w:hAnsi="宋体" w:cs="宋体" w:hint="eastAsia"/>
          <w:color w:val="212121"/>
          <w:sz w:val="28"/>
        </w:rPr>
        <w:t>投资组合价格</w:t>
      </w:r>
      <w:r w:rsidR="007C6DFF" w:rsidRPr="00693B1E">
        <w:rPr>
          <w:rFonts w:ascii="宋体" w:eastAsia="宋体" w:hAnsi="宋体" w:cs="宋体" w:hint="eastAsia"/>
          <w:color w:val="212121"/>
          <w:sz w:val="28"/>
        </w:rPr>
        <w:t>在变动</w:t>
      </w:r>
      <w:r w:rsidR="00A412D5" w:rsidRPr="00693B1E">
        <w:rPr>
          <w:rFonts w:ascii="宋体" w:eastAsia="宋体" w:hAnsi="宋体" w:cs="宋体" w:hint="eastAsia"/>
          <w:color w:val="212121"/>
          <w:sz w:val="28"/>
        </w:rPr>
        <w:t>。在</w:t>
      </w:r>
      <w:r w:rsidR="00A412D5" w:rsidRPr="00693B1E">
        <w:rPr>
          <w:rFonts w:ascii="inherit" w:hAnsi="inherit" w:hint="eastAsia"/>
          <w:color w:val="212121"/>
          <w:sz w:val="28"/>
        </w:rPr>
        <w:t>2008</w:t>
      </w:r>
      <w:r w:rsidR="00A412D5" w:rsidRPr="00693B1E">
        <w:rPr>
          <w:rFonts w:ascii="宋体" w:eastAsia="宋体" w:hAnsi="宋体" w:cs="宋体" w:hint="eastAsia"/>
          <w:color w:val="212121"/>
          <w:sz w:val="28"/>
        </w:rPr>
        <w:t>年，</w:t>
      </w:r>
      <w:r w:rsidR="00053A97" w:rsidRPr="00693B1E">
        <w:rPr>
          <w:rFonts w:ascii="宋体" w:eastAsia="宋体" w:hAnsi="宋体" w:cs="宋体" w:hint="eastAsia"/>
          <w:color w:val="212121"/>
          <w:sz w:val="28"/>
        </w:rPr>
        <w:t>当创纪录的赎回发生时，</w:t>
      </w:r>
      <w:r w:rsidR="00A412D5" w:rsidRPr="00693B1E">
        <w:rPr>
          <w:rFonts w:ascii="宋体" w:eastAsia="宋体" w:hAnsi="宋体" w:cs="宋体" w:hint="eastAsia"/>
          <w:color w:val="212121"/>
          <w:sz w:val="28"/>
        </w:rPr>
        <w:t>投资者</w:t>
      </w:r>
      <w:r w:rsidR="00053A97" w:rsidRPr="00693B1E">
        <w:rPr>
          <w:rFonts w:ascii="宋体" w:eastAsia="宋体" w:hAnsi="宋体" w:cs="宋体" w:hint="eastAsia"/>
          <w:color w:val="212121"/>
          <w:sz w:val="28"/>
        </w:rPr>
        <w:t>都看到了杠杆的巨大影响</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lastRenderedPageBreak/>
        <w:t>从低到高</w:t>
      </w:r>
      <w:r w:rsidR="0061063E" w:rsidRPr="00693B1E">
        <w:rPr>
          <w:rFonts w:ascii="宋体" w:eastAsia="宋体" w:hAnsi="宋体" w:cs="宋体" w:hint="eastAsia"/>
          <w:color w:val="212121"/>
          <w:sz w:val="28"/>
        </w:rPr>
        <w:t>的杠杆</w:t>
      </w:r>
      <w:proofErr w:type="gramStart"/>
      <w:r w:rsidR="0061063E" w:rsidRPr="00693B1E">
        <w:rPr>
          <w:rFonts w:ascii="宋体" w:eastAsia="宋体" w:hAnsi="宋体" w:cs="宋体" w:hint="eastAsia"/>
          <w:color w:val="212121"/>
          <w:sz w:val="28"/>
        </w:rPr>
        <w:t>率规模</w:t>
      </w:r>
      <w:proofErr w:type="gramEnd"/>
      <w:r w:rsidR="0061063E" w:rsidRPr="00693B1E">
        <w:rPr>
          <w:rFonts w:ascii="宋体" w:eastAsia="宋体" w:hAnsi="宋体" w:cs="宋体" w:hint="eastAsia"/>
          <w:color w:val="212121"/>
          <w:sz w:val="28"/>
        </w:rPr>
        <w:t>内</w:t>
      </w:r>
      <w:r w:rsidRPr="00693B1E">
        <w:rPr>
          <w:rFonts w:ascii="宋体" w:eastAsia="宋体" w:hAnsi="宋体" w:cs="宋体" w:hint="eastAsia"/>
          <w:color w:val="212121"/>
          <w:sz w:val="28"/>
        </w:rPr>
        <w:t>，</w:t>
      </w:r>
      <w:r w:rsidR="00CE3990" w:rsidRPr="00693B1E">
        <w:rPr>
          <w:rFonts w:ascii="宋体" w:eastAsia="宋体" w:hAnsi="宋体" w:cs="宋体" w:hint="eastAsia"/>
          <w:color w:val="212121"/>
          <w:sz w:val="28"/>
        </w:rPr>
        <w:t>多/</w:t>
      </w:r>
      <w:r w:rsidR="001B5E71">
        <w:rPr>
          <w:rFonts w:ascii="宋体" w:eastAsia="宋体" w:hAnsi="宋体" w:cs="宋体" w:hint="eastAsia"/>
          <w:color w:val="212121"/>
          <w:sz w:val="28"/>
        </w:rPr>
        <w:t>空</w:t>
      </w:r>
      <w:r w:rsidR="0061063E" w:rsidRPr="00693B1E">
        <w:rPr>
          <w:rFonts w:ascii="宋体" w:eastAsia="宋体" w:hAnsi="宋体" w:cs="宋体" w:hint="eastAsia"/>
          <w:color w:val="212121"/>
          <w:sz w:val="28"/>
        </w:rPr>
        <w:t>股权</w:t>
      </w:r>
      <w:r w:rsidR="00053A97" w:rsidRPr="00693B1E">
        <w:rPr>
          <w:rFonts w:ascii="宋体" w:eastAsia="宋体" w:hAnsi="宋体" w:cs="宋体" w:hint="eastAsia"/>
          <w:color w:val="212121"/>
          <w:sz w:val="28"/>
        </w:rPr>
        <w:t>基金经理</w:t>
      </w:r>
      <w:r w:rsidR="0061063E" w:rsidRPr="00693B1E">
        <w:rPr>
          <w:rFonts w:ascii="宋体" w:eastAsia="宋体" w:hAnsi="宋体" w:cs="宋体" w:hint="eastAsia"/>
          <w:color w:val="212121"/>
          <w:sz w:val="28"/>
        </w:rPr>
        <w:t>对</w:t>
      </w:r>
      <w:r w:rsidRPr="00693B1E">
        <w:rPr>
          <w:rFonts w:ascii="宋体" w:eastAsia="宋体" w:hAnsi="宋体" w:cs="宋体" w:hint="eastAsia"/>
          <w:color w:val="212121"/>
          <w:sz w:val="28"/>
        </w:rPr>
        <w:t>杠杆</w:t>
      </w:r>
      <w:r w:rsidR="0061063E" w:rsidRPr="00693B1E">
        <w:rPr>
          <w:rFonts w:ascii="宋体" w:eastAsia="宋体" w:hAnsi="宋体" w:cs="宋体" w:hint="eastAsia"/>
          <w:color w:val="212121"/>
          <w:sz w:val="28"/>
        </w:rPr>
        <w:t>的使用还是相对稳健的</w:t>
      </w:r>
      <w:r w:rsidRPr="00693B1E">
        <w:rPr>
          <w:rFonts w:ascii="宋体" w:eastAsia="宋体" w:hAnsi="宋体" w:cs="宋体" w:hint="eastAsia"/>
          <w:color w:val="212121"/>
          <w:sz w:val="28"/>
        </w:rPr>
        <w:t>。固定收益套利和衍生</w:t>
      </w:r>
      <w:r w:rsidR="0061063E" w:rsidRPr="00693B1E">
        <w:rPr>
          <w:rFonts w:ascii="宋体" w:eastAsia="宋体" w:hAnsi="宋体" w:cs="宋体" w:hint="eastAsia"/>
          <w:color w:val="212121"/>
          <w:sz w:val="28"/>
        </w:rPr>
        <w:t>品</w:t>
      </w:r>
      <w:r w:rsidRPr="00693B1E">
        <w:rPr>
          <w:rFonts w:ascii="宋体" w:eastAsia="宋体" w:hAnsi="宋体" w:cs="宋体" w:hint="eastAsia"/>
          <w:color w:val="212121"/>
          <w:sz w:val="28"/>
        </w:rPr>
        <w:t>策略通常使用更高水平的杠杆，通常超过实际</w:t>
      </w:r>
      <w:r w:rsidR="0061063E" w:rsidRPr="00693B1E">
        <w:rPr>
          <w:rFonts w:ascii="宋体" w:eastAsia="宋体" w:hAnsi="宋体" w:cs="宋体" w:hint="eastAsia"/>
          <w:color w:val="212121"/>
          <w:sz w:val="28"/>
        </w:rPr>
        <w:t>股权</w:t>
      </w:r>
      <w:r w:rsidR="0061063E" w:rsidRPr="00693B1E">
        <w:rPr>
          <w:rFonts w:ascii="Times New Roman" w:eastAsia="宋体" w:hAnsi="Times New Roman" w:cs="Times New Roman" w:hint="eastAsia"/>
          <w:color w:val="212121"/>
          <w:sz w:val="28"/>
        </w:rPr>
        <w:t>投资</w:t>
      </w:r>
      <w:r w:rsidRPr="00693B1E">
        <w:rPr>
          <w:rFonts w:ascii="宋体" w:eastAsia="宋体" w:hAnsi="宋体" w:cs="宋体" w:hint="eastAsia"/>
          <w:color w:val="212121"/>
          <w:sz w:val="28"/>
        </w:rPr>
        <w:t>的</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倍。</w:t>
      </w:r>
      <w:r w:rsidR="001B5E71">
        <w:rPr>
          <w:rFonts w:ascii="宋体" w:eastAsia="宋体" w:hAnsi="宋体" w:cs="宋体" w:hint="eastAsia"/>
          <w:color w:val="212121"/>
          <w:sz w:val="28"/>
        </w:rPr>
        <w:t>而抵押贷款支持债券</w:t>
      </w:r>
      <w:r w:rsidR="0061063E" w:rsidRPr="00693B1E">
        <w:rPr>
          <w:rFonts w:ascii="宋体" w:eastAsia="宋体" w:hAnsi="宋体" w:cs="宋体" w:hint="eastAsia"/>
          <w:color w:val="212121"/>
          <w:sz w:val="28"/>
        </w:rPr>
        <w:t>使用</w:t>
      </w:r>
      <w:r w:rsidR="001B5E71">
        <w:rPr>
          <w:rFonts w:ascii="宋体" w:eastAsia="宋体" w:hAnsi="宋体" w:cs="宋体" w:hint="eastAsia"/>
          <w:color w:val="212121"/>
          <w:sz w:val="28"/>
        </w:rPr>
        <w:t>的杠杆率</w:t>
      </w:r>
      <w:r w:rsidR="0061063E" w:rsidRPr="00693B1E">
        <w:rPr>
          <w:rFonts w:ascii="宋体" w:eastAsia="宋体" w:hAnsi="宋体" w:cs="宋体" w:hint="eastAsia"/>
          <w:color w:val="212121"/>
          <w:sz w:val="28"/>
        </w:rPr>
        <w:t>更高</w:t>
      </w:r>
      <w:r w:rsidR="001B5E71">
        <w:rPr>
          <w:rFonts w:ascii="宋体" w:eastAsia="宋体" w:hAnsi="宋体" w:cs="宋体" w:hint="eastAsia"/>
          <w:color w:val="212121"/>
          <w:sz w:val="28"/>
        </w:rPr>
        <w:t>。</w:t>
      </w:r>
      <w:r w:rsidRPr="00693B1E">
        <w:rPr>
          <w:rFonts w:ascii="宋体" w:eastAsia="宋体" w:hAnsi="宋体" w:cs="宋体" w:hint="eastAsia"/>
          <w:color w:val="212121"/>
          <w:sz w:val="28"/>
        </w:rPr>
        <w:t>而许多其他套利策略，包括可</w:t>
      </w:r>
      <w:r w:rsidR="0061063E" w:rsidRPr="00693B1E">
        <w:rPr>
          <w:rFonts w:ascii="宋体" w:eastAsia="宋体" w:hAnsi="宋体" w:cs="宋体" w:hint="eastAsia"/>
          <w:color w:val="212121"/>
          <w:sz w:val="28"/>
        </w:rPr>
        <w:t>转债</w:t>
      </w:r>
      <w:r w:rsidRPr="00693B1E">
        <w:rPr>
          <w:rFonts w:ascii="宋体" w:eastAsia="宋体" w:hAnsi="宋体" w:cs="宋体" w:hint="eastAsia"/>
          <w:color w:val="212121"/>
          <w:sz w:val="28"/>
        </w:rPr>
        <w:t>套利</w:t>
      </w:r>
      <w:r w:rsidR="0061063E" w:rsidRPr="00693B1E">
        <w:rPr>
          <w:rFonts w:ascii="宋体" w:eastAsia="宋体" w:hAnsi="宋体" w:cs="宋体" w:hint="eastAsia"/>
          <w:color w:val="212121"/>
          <w:sz w:val="28"/>
        </w:rPr>
        <w:t>策略</w:t>
      </w:r>
      <w:r w:rsidRPr="00693B1E">
        <w:rPr>
          <w:rFonts w:ascii="宋体" w:eastAsia="宋体" w:hAnsi="宋体" w:cs="宋体" w:hint="eastAsia"/>
          <w:color w:val="212121"/>
          <w:sz w:val="28"/>
        </w:rPr>
        <w:t>和公司债券套利</w:t>
      </w:r>
      <w:r w:rsidR="0061063E" w:rsidRPr="00693B1E">
        <w:rPr>
          <w:rFonts w:ascii="宋体" w:eastAsia="宋体" w:hAnsi="宋体" w:cs="宋体" w:hint="eastAsia"/>
          <w:color w:val="212121"/>
          <w:sz w:val="28"/>
        </w:rPr>
        <w:t>策略</w:t>
      </w:r>
      <w:r w:rsidRPr="00693B1E">
        <w:rPr>
          <w:rFonts w:ascii="宋体" w:eastAsia="宋体" w:hAnsi="宋体" w:cs="宋体" w:hint="eastAsia"/>
          <w:color w:val="212121"/>
          <w:sz w:val="28"/>
        </w:rPr>
        <w:t>，使用</w:t>
      </w:r>
      <w:r w:rsidR="0061063E" w:rsidRPr="00693B1E">
        <w:rPr>
          <w:rFonts w:ascii="宋体" w:eastAsia="宋体" w:hAnsi="宋体" w:cs="宋体" w:hint="eastAsia"/>
          <w:color w:val="212121"/>
          <w:sz w:val="28"/>
        </w:rPr>
        <w:t>的</w:t>
      </w:r>
      <w:r w:rsidRPr="00693B1E">
        <w:rPr>
          <w:rFonts w:ascii="宋体" w:eastAsia="宋体" w:hAnsi="宋体" w:cs="宋体" w:hint="eastAsia"/>
          <w:color w:val="212121"/>
          <w:sz w:val="28"/>
        </w:rPr>
        <w:t>杠杆</w:t>
      </w:r>
      <w:r w:rsidR="0061063E" w:rsidRPr="00693B1E">
        <w:rPr>
          <w:rFonts w:ascii="宋体" w:eastAsia="宋体" w:hAnsi="宋体" w:cs="宋体" w:hint="eastAsia"/>
          <w:color w:val="212121"/>
          <w:sz w:val="28"/>
        </w:rPr>
        <w:t>率通常是</w:t>
      </w:r>
      <w:r w:rsidRPr="00693B1E">
        <w:rPr>
          <w:rFonts w:ascii="宋体" w:eastAsia="宋体" w:hAnsi="宋体" w:cs="宋体" w:hint="eastAsia"/>
          <w:color w:val="212121"/>
          <w:sz w:val="28"/>
        </w:rPr>
        <w:t>二到</w:t>
      </w:r>
      <w:r w:rsidR="00053A97" w:rsidRPr="00693B1E">
        <w:rPr>
          <w:rFonts w:ascii="宋体" w:eastAsia="宋体" w:hAnsi="宋体" w:cs="宋体" w:hint="eastAsia"/>
          <w:color w:val="212121"/>
          <w:sz w:val="28"/>
        </w:rPr>
        <w:t>四</w:t>
      </w:r>
      <w:r w:rsidR="0061063E" w:rsidRPr="00693B1E">
        <w:rPr>
          <w:rFonts w:ascii="宋体" w:eastAsia="宋体" w:hAnsi="宋体" w:cs="宋体" w:hint="eastAsia"/>
          <w:color w:val="212121"/>
          <w:sz w:val="28"/>
        </w:rPr>
        <w:t>倍</w:t>
      </w:r>
      <w:r w:rsidR="00053A97" w:rsidRPr="00693B1E">
        <w:rPr>
          <w:rFonts w:ascii="宋体" w:eastAsia="宋体" w:hAnsi="宋体" w:cs="宋体" w:hint="eastAsia"/>
          <w:color w:val="212121"/>
          <w:sz w:val="28"/>
        </w:rPr>
        <w:t>。杠杆用于提高</w:t>
      </w:r>
      <w:r w:rsidR="001B5E71">
        <w:rPr>
          <w:rFonts w:ascii="宋体" w:eastAsia="宋体" w:hAnsi="宋体" w:cs="宋体" w:hint="eastAsia"/>
          <w:color w:val="212121"/>
          <w:sz w:val="28"/>
        </w:rPr>
        <w:t>收益、期限</w:t>
      </w:r>
      <w:r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如果我们使用</w:t>
      </w:r>
      <w:r w:rsidRPr="00693B1E">
        <w:rPr>
          <w:rFonts w:ascii="Times New Roman" w:hAnsi="Times New Roman" w:cs="Times New Roman"/>
          <w:color w:val="212121"/>
          <w:sz w:val="28"/>
        </w:rPr>
        <w:t>2007</w:t>
      </w:r>
      <w:r w:rsidRPr="00693B1E">
        <w:rPr>
          <w:rFonts w:ascii="宋体" w:eastAsia="宋体" w:hAnsi="宋体" w:cs="宋体" w:hint="eastAsia"/>
          <w:color w:val="212121"/>
          <w:sz w:val="28"/>
        </w:rPr>
        <w:t>年的</w:t>
      </w:r>
      <w:proofErr w:type="spellStart"/>
      <w:r w:rsidRPr="00693B1E">
        <w:rPr>
          <w:rFonts w:ascii="Times New Roman" w:hAnsi="Times New Roman" w:cs="Times New Roman"/>
          <w:color w:val="212121"/>
          <w:sz w:val="28"/>
        </w:rPr>
        <w:t>PerTrac</w:t>
      </w:r>
      <w:proofErr w:type="spellEnd"/>
      <w:r w:rsidR="0014771A" w:rsidRPr="00693B1E">
        <w:rPr>
          <w:rFonts w:ascii="Times New Roman" w:eastAsia="宋体" w:hAnsi="Times New Roman" w:cs="Times New Roman" w:hint="eastAsia"/>
          <w:color w:val="212121"/>
          <w:sz w:val="28"/>
        </w:rPr>
        <w:t>报告</w:t>
      </w:r>
      <w:r w:rsidRPr="00693B1E">
        <w:rPr>
          <w:rFonts w:ascii="宋体" w:eastAsia="宋体" w:hAnsi="宋体" w:cs="宋体" w:hint="eastAsia"/>
          <w:color w:val="212121"/>
          <w:sz w:val="28"/>
        </w:rPr>
        <w:t>结果</w:t>
      </w:r>
      <w:r w:rsidR="00700FA3" w:rsidRPr="00693B1E">
        <w:rPr>
          <w:rFonts w:ascii="宋体" w:eastAsia="宋体" w:hAnsi="宋体" w:cs="宋体" w:hint="eastAsia"/>
          <w:color w:val="212121"/>
          <w:sz w:val="28"/>
        </w:rPr>
        <w:t>来看</w:t>
      </w:r>
      <w:r w:rsidR="001B5E71">
        <w:rPr>
          <w:rFonts w:ascii="宋体" w:eastAsia="宋体" w:hAnsi="宋体" w:cs="宋体" w:hint="eastAsia"/>
          <w:color w:val="212121"/>
          <w:sz w:val="28"/>
        </w:rPr>
        <w:t>对冲基金的规模，权益</w:t>
      </w:r>
      <w:r w:rsidRPr="00693B1E">
        <w:rPr>
          <w:rFonts w:ascii="宋体" w:eastAsia="宋体" w:hAnsi="宋体" w:cs="宋体" w:hint="eastAsia"/>
          <w:color w:val="212121"/>
          <w:sz w:val="28"/>
        </w:rPr>
        <w:t>资本是</w:t>
      </w:r>
      <w:r w:rsidRPr="00693B1E">
        <w:rPr>
          <w:rFonts w:ascii="Times New Roman" w:hAnsi="Times New Roman" w:cs="Times New Roman"/>
          <w:color w:val="212121"/>
          <w:sz w:val="28"/>
        </w:rPr>
        <w:t>2</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美元，而</w:t>
      </w:r>
      <w:r w:rsidR="00700FA3" w:rsidRPr="00693B1E">
        <w:rPr>
          <w:rFonts w:ascii="宋体" w:eastAsia="宋体" w:hAnsi="宋体" w:cs="宋体" w:hint="eastAsia"/>
          <w:color w:val="212121"/>
          <w:sz w:val="28"/>
        </w:rPr>
        <w:t>对冲基金行业的</w:t>
      </w:r>
      <w:r w:rsidRPr="00693B1E">
        <w:rPr>
          <w:rFonts w:ascii="宋体" w:eastAsia="宋体" w:hAnsi="宋体" w:cs="宋体" w:hint="eastAsia"/>
          <w:color w:val="212121"/>
          <w:sz w:val="28"/>
        </w:rPr>
        <w:t>实际资产总额被大大低估。</w:t>
      </w:r>
      <w:proofErr w:type="gramStart"/>
      <w:r w:rsidRPr="00693B1E">
        <w:rPr>
          <w:rFonts w:ascii="宋体" w:eastAsia="宋体" w:hAnsi="宋体" w:cs="宋体" w:hint="eastAsia"/>
          <w:color w:val="212121"/>
          <w:sz w:val="28"/>
        </w:rPr>
        <w:t>当</w:t>
      </w:r>
      <w:r w:rsidR="0014771A" w:rsidRPr="00693B1E">
        <w:rPr>
          <w:rFonts w:ascii="宋体" w:eastAsia="宋体" w:hAnsi="宋体" w:cs="宋体" w:hint="eastAsia"/>
          <w:color w:val="212121"/>
          <w:sz w:val="28"/>
        </w:rPr>
        <w:t>考虑</w:t>
      </w:r>
      <w:r w:rsidRPr="00693B1E">
        <w:rPr>
          <w:rFonts w:ascii="宋体" w:eastAsia="宋体" w:hAnsi="宋体" w:cs="宋体" w:hint="eastAsia"/>
          <w:color w:val="212121"/>
          <w:sz w:val="28"/>
        </w:rPr>
        <w:t>总</w:t>
      </w:r>
      <w:proofErr w:type="gramEnd"/>
      <w:r w:rsidRPr="00693B1E">
        <w:rPr>
          <w:rFonts w:ascii="宋体" w:eastAsia="宋体" w:hAnsi="宋体" w:cs="宋体" w:hint="eastAsia"/>
          <w:color w:val="212121"/>
          <w:sz w:val="28"/>
        </w:rPr>
        <w:t>投资</w:t>
      </w:r>
      <w:r w:rsidR="0014771A" w:rsidRPr="00693B1E">
        <w:rPr>
          <w:rFonts w:ascii="宋体" w:eastAsia="宋体" w:hAnsi="宋体" w:cs="宋体" w:hint="eastAsia"/>
          <w:color w:val="212121"/>
          <w:sz w:val="28"/>
        </w:rPr>
        <w:t>规模</w:t>
      </w:r>
      <w:r w:rsidR="00700FA3" w:rsidRPr="00693B1E">
        <w:rPr>
          <w:rFonts w:ascii="宋体" w:eastAsia="宋体" w:hAnsi="宋体" w:cs="宋体" w:hint="eastAsia"/>
          <w:color w:val="212121"/>
          <w:sz w:val="28"/>
        </w:rPr>
        <w:t>时</w:t>
      </w:r>
      <w:r w:rsidRPr="00693B1E">
        <w:rPr>
          <w:rFonts w:ascii="宋体" w:eastAsia="宋体" w:hAnsi="宋体" w:cs="宋体" w:hint="eastAsia"/>
          <w:color w:val="212121"/>
          <w:sz w:val="28"/>
        </w:rPr>
        <w:t>，这个数字可能超过了</w:t>
      </w:r>
      <w:r w:rsidRPr="00693B1E">
        <w:rPr>
          <w:rFonts w:ascii="Times New Roman" w:hAnsi="Times New Roman" w:cs="Times New Roman"/>
          <w:color w:val="212121"/>
          <w:sz w:val="28"/>
        </w:rPr>
        <w:t>10</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w:t>
      </w:r>
      <w:r w:rsidR="0014771A" w:rsidRPr="00693B1E">
        <w:rPr>
          <w:rFonts w:ascii="宋体" w:eastAsia="宋体" w:hAnsi="宋体" w:cs="宋体" w:hint="eastAsia"/>
          <w:color w:val="212121"/>
          <w:sz w:val="28"/>
        </w:rPr>
        <w:t>与</w:t>
      </w:r>
      <w:r w:rsidR="00700FA3" w:rsidRPr="00693B1E">
        <w:rPr>
          <w:rFonts w:ascii="inherit" w:hAnsi="inherit" w:hint="eastAsia"/>
          <w:color w:val="212121"/>
          <w:sz w:val="28"/>
        </w:rPr>
        <w:t>2008</w:t>
      </w:r>
      <w:r w:rsidR="00700FA3" w:rsidRPr="00693B1E">
        <w:rPr>
          <w:rFonts w:ascii="宋体" w:eastAsia="宋体" w:hAnsi="宋体" w:cs="宋体" w:hint="eastAsia"/>
          <w:color w:val="212121"/>
          <w:sz w:val="28"/>
        </w:rPr>
        <w:t>年</w:t>
      </w:r>
      <w:r w:rsidR="00003C01">
        <w:rPr>
          <w:rFonts w:ascii="宋体" w:eastAsia="宋体" w:hAnsi="宋体" w:cs="宋体" w:hint="eastAsia"/>
          <w:color w:val="212121"/>
          <w:sz w:val="28"/>
        </w:rPr>
        <w:t>去杠杆</w:t>
      </w:r>
      <w:r w:rsidR="00700FA3" w:rsidRPr="00693B1E">
        <w:rPr>
          <w:rFonts w:ascii="宋体" w:eastAsia="宋体" w:hAnsi="宋体" w:cs="宋体" w:hint="eastAsia"/>
          <w:color w:val="212121"/>
          <w:sz w:val="28"/>
        </w:rPr>
        <w:t>开始</w:t>
      </w:r>
      <w:r w:rsidR="004F685E" w:rsidRPr="00693B1E">
        <w:rPr>
          <w:rFonts w:ascii="宋体" w:eastAsia="宋体" w:hAnsi="宋体" w:cs="宋体" w:hint="eastAsia"/>
          <w:color w:val="212121"/>
          <w:sz w:val="28"/>
        </w:rPr>
        <w:t>之前，</w:t>
      </w:r>
      <w:r w:rsidR="00003C01">
        <w:rPr>
          <w:rFonts w:ascii="宋体" w:eastAsia="宋体" w:hAnsi="宋体" w:cs="宋体" w:hint="eastAsia"/>
          <w:color w:val="212121"/>
          <w:sz w:val="28"/>
        </w:rPr>
        <w:t>约</w:t>
      </w:r>
      <w:r w:rsidRPr="00693B1E">
        <w:rPr>
          <w:rFonts w:ascii="Times New Roman" w:hAnsi="Times New Roman" w:cs="Times New Roman"/>
          <w:color w:val="212121"/>
          <w:sz w:val="28"/>
        </w:rPr>
        <w:t>11.5</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w:t>
      </w:r>
      <w:r w:rsidR="00086EA3">
        <w:rPr>
          <w:rStyle w:val="a8"/>
          <w:rFonts w:ascii="宋体" w:eastAsia="宋体" w:hAnsi="宋体" w:cs="宋体"/>
          <w:color w:val="212121"/>
          <w:sz w:val="28"/>
        </w:rPr>
        <w:footnoteReference w:id="2"/>
      </w:r>
      <w:r w:rsidR="0014771A" w:rsidRPr="00693B1E">
        <w:rPr>
          <w:rFonts w:ascii="宋体" w:eastAsia="宋体" w:hAnsi="宋体" w:cs="宋体" w:hint="eastAsia"/>
          <w:color w:val="212121"/>
          <w:sz w:val="28"/>
        </w:rPr>
        <w:t>的</w:t>
      </w:r>
      <w:r w:rsidR="00003C01">
        <w:rPr>
          <w:rFonts w:ascii="宋体" w:eastAsia="宋体" w:hAnsi="宋体" w:cs="宋体" w:hint="eastAsia"/>
          <w:color w:val="212121"/>
          <w:sz w:val="28"/>
        </w:rPr>
        <w:t>共同基金资产</w:t>
      </w:r>
      <w:r w:rsidR="0014771A" w:rsidRPr="00693B1E">
        <w:rPr>
          <w:rFonts w:ascii="宋体" w:eastAsia="宋体" w:hAnsi="宋体" w:cs="宋体" w:hint="eastAsia"/>
          <w:color w:val="212121"/>
          <w:sz w:val="28"/>
        </w:rPr>
        <w:t>规模相当</w:t>
      </w:r>
      <w:r w:rsidRPr="00693B1E">
        <w:rPr>
          <w:rFonts w:ascii="宋体" w:eastAsia="宋体" w:hAnsi="宋体" w:cs="宋体" w:hint="eastAsia"/>
          <w:color w:val="212121"/>
          <w:sz w:val="28"/>
        </w:rPr>
        <w:t>。</w:t>
      </w:r>
    </w:p>
    <w:p w:rsidR="007376D8" w:rsidRPr="00693B1E" w:rsidRDefault="007376D8" w:rsidP="00AE719F">
      <w:pPr>
        <w:spacing w:beforeLines="50" w:before="120" w:afterLines="50" w:after="120" w:line="240" w:lineRule="auto"/>
        <w:rPr>
          <w:rFonts w:ascii="宋体" w:hAnsi="宋体" w:cs="宋体"/>
          <w:b/>
          <w:color w:val="000000"/>
          <w:sz w:val="28"/>
          <w:szCs w:val="20"/>
        </w:rPr>
      </w:pPr>
    </w:p>
    <w:p w:rsidR="007376D8" w:rsidRPr="00693B1E" w:rsidRDefault="00A412D5" w:rsidP="00AE719F">
      <w:pPr>
        <w:spacing w:beforeLines="50" w:before="120" w:afterLines="50" w:after="120" w:line="240" w:lineRule="auto"/>
        <w:rPr>
          <w:rFonts w:ascii="宋体" w:hAnsi="宋体" w:cs="宋体"/>
          <w:b/>
          <w:color w:val="000000"/>
          <w:sz w:val="28"/>
          <w:szCs w:val="20"/>
        </w:rPr>
      </w:pPr>
      <w:r w:rsidRPr="00693B1E">
        <w:rPr>
          <w:rFonts w:ascii="宋体" w:hAnsi="宋体" w:cs="宋体" w:hint="eastAsia"/>
          <w:b/>
          <w:color w:val="000000"/>
          <w:sz w:val="28"/>
          <w:szCs w:val="20"/>
        </w:rPr>
        <w:t>风险管理</w:t>
      </w:r>
    </w:p>
    <w:p w:rsidR="007376D8" w:rsidRPr="00003C01" w:rsidRDefault="007376D8" w:rsidP="00AE719F">
      <w:pPr>
        <w:spacing w:beforeLines="50" w:before="120" w:afterLines="50" w:after="120" w:line="240" w:lineRule="auto"/>
        <w:rPr>
          <w:rFonts w:ascii="宋体" w:hAnsi="宋体" w:cs="宋体"/>
          <w:b/>
          <w:color w:val="000000"/>
          <w:szCs w:val="20"/>
        </w:rPr>
      </w:pPr>
    </w:p>
    <w:p w:rsidR="00A412D5" w:rsidRPr="00003C01" w:rsidRDefault="00A412D5" w:rsidP="00AE719F">
      <w:pPr>
        <w:spacing w:beforeLines="50" w:before="120" w:afterLines="50" w:after="120" w:line="240" w:lineRule="auto"/>
        <w:ind w:firstLineChars="200" w:firstLine="560"/>
        <w:rPr>
          <w:rFonts w:ascii="宋体" w:hAnsi="宋体" w:cs="宋体"/>
          <w:b/>
          <w:color w:val="000000"/>
          <w:szCs w:val="20"/>
        </w:rPr>
      </w:pPr>
      <w:r w:rsidRPr="00003C01">
        <w:rPr>
          <w:rFonts w:ascii="宋体" w:hAnsi="宋体" w:cs="宋体" w:hint="eastAsia"/>
          <w:color w:val="212121"/>
          <w:sz w:val="28"/>
        </w:rPr>
        <w:t>风险管理者关注系统性风险</w:t>
      </w:r>
      <w:r w:rsidR="00021A3E" w:rsidRPr="00003C01">
        <w:rPr>
          <w:rFonts w:ascii="宋体" w:hAnsi="宋体" w:cs="宋体" w:hint="eastAsia"/>
          <w:color w:val="212121"/>
          <w:sz w:val="28"/>
        </w:rPr>
        <w:t>、</w:t>
      </w:r>
      <w:r w:rsidRPr="00003C01">
        <w:rPr>
          <w:rFonts w:ascii="宋体" w:hAnsi="宋体" w:cs="宋体" w:hint="eastAsia"/>
          <w:color w:val="212121"/>
          <w:sz w:val="28"/>
        </w:rPr>
        <w:t>波动性</w:t>
      </w:r>
      <w:r w:rsidR="00315928" w:rsidRPr="00003C01">
        <w:rPr>
          <w:rFonts w:ascii="宋体" w:hAnsi="宋体" w:cs="宋体" w:hint="eastAsia"/>
          <w:color w:val="212121"/>
          <w:sz w:val="28"/>
        </w:rPr>
        <w:t>以及杠杆</w:t>
      </w:r>
      <w:r w:rsidRPr="00003C01">
        <w:rPr>
          <w:rFonts w:ascii="宋体" w:hAnsi="宋体" w:cs="宋体" w:hint="eastAsia"/>
          <w:color w:val="212121"/>
          <w:sz w:val="28"/>
        </w:rPr>
        <w:t>，</w:t>
      </w:r>
      <w:r w:rsidR="00315928" w:rsidRPr="00003C01">
        <w:rPr>
          <w:rFonts w:ascii="宋体" w:hAnsi="宋体" w:cs="宋体" w:hint="eastAsia"/>
          <w:color w:val="212121"/>
          <w:sz w:val="28"/>
        </w:rPr>
        <w:t>他们</w:t>
      </w:r>
      <w:r w:rsidR="00D659BC" w:rsidRPr="00003C01">
        <w:rPr>
          <w:rFonts w:ascii="宋体" w:hAnsi="宋体" w:cs="宋体" w:hint="eastAsia"/>
          <w:color w:val="212121"/>
          <w:sz w:val="28"/>
        </w:rPr>
        <w:t>总是</w:t>
      </w:r>
      <w:r w:rsidRPr="00003C01">
        <w:rPr>
          <w:rFonts w:ascii="宋体" w:hAnsi="宋体" w:cs="宋体" w:hint="eastAsia"/>
          <w:color w:val="212121"/>
          <w:sz w:val="28"/>
        </w:rPr>
        <w:t>评估投资组合</w:t>
      </w:r>
      <w:r w:rsidR="00D659BC" w:rsidRPr="00003C01">
        <w:rPr>
          <w:rFonts w:ascii="宋体" w:hAnsi="宋体" w:cs="宋体" w:hint="eastAsia"/>
          <w:color w:val="212121"/>
          <w:sz w:val="28"/>
        </w:rPr>
        <w:t>资产</w:t>
      </w:r>
      <w:r w:rsidRPr="00003C01">
        <w:rPr>
          <w:rFonts w:ascii="宋体" w:hAnsi="宋体" w:cs="宋体" w:hint="eastAsia"/>
          <w:color w:val="212121"/>
          <w:sz w:val="28"/>
        </w:rPr>
        <w:t>的</w:t>
      </w:r>
      <w:r w:rsidR="00D659BC" w:rsidRPr="00003C01">
        <w:rPr>
          <w:rFonts w:ascii="宋体" w:hAnsi="宋体" w:cs="宋体" w:hint="eastAsia"/>
          <w:color w:val="212121"/>
          <w:sz w:val="28"/>
        </w:rPr>
        <w:t>总风险敞口和</w:t>
      </w:r>
      <w:proofErr w:type="gramStart"/>
      <w:r w:rsidR="00D659BC" w:rsidRPr="00003C01">
        <w:rPr>
          <w:rFonts w:ascii="宋体" w:hAnsi="宋体" w:cs="宋体" w:hint="eastAsia"/>
          <w:color w:val="212121"/>
          <w:sz w:val="28"/>
        </w:rPr>
        <w:t>净风险</w:t>
      </w:r>
      <w:proofErr w:type="gramEnd"/>
      <w:r w:rsidR="00D659BC" w:rsidRPr="00003C01">
        <w:rPr>
          <w:rFonts w:ascii="宋体" w:hAnsi="宋体" w:cs="宋体" w:hint="eastAsia"/>
          <w:color w:val="212121"/>
          <w:sz w:val="28"/>
        </w:rPr>
        <w:t>敞口</w:t>
      </w:r>
      <w:r w:rsidRPr="00003C01">
        <w:rPr>
          <w:rFonts w:ascii="宋体" w:hAnsi="宋体" w:cs="宋体" w:hint="eastAsia"/>
          <w:color w:val="212121"/>
          <w:sz w:val="28"/>
        </w:rPr>
        <w:t>。</w:t>
      </w:r>
      <w:r w:rsidR="00D659BC" w:rsidRPr="00003C01">
        <w:rPr>
          <w:rFonts w:ascii="宋体" w:hAnsi="宋体" w:cs="宋体" w:hint="eastAsia"/>
          <w:color w:val="212121"/>
          <w:sz w:val="28"/>
        </w:rPr>
        <w:t>拥有10</w:t>
      </w:r>
      <w:proofErr w:type="gramStart"/>
      <w:r w:rsidR="00D659BC" w:rsidRPr="00003C01">
        <w:rPr>
          <w:rFonts w:ascii="宋体" w:hAnsi="宋体" w:cs="宋体" w:hint="eastAsia"/>
          <w:color w:val="212121"/>
          <w:sz w:val="28"/>
        </w:rPr>
        <w:t>万亿</w:t>
      </w:r>
      <w:proofErr w:type="gramEnd"/>
      <w:r w:rsidR="00D659BC" w:rsidRPr="00003C01">
        <w:rPr>
          <w:rFonts w:ascii="宋体" w:hAnsi="宋体" w:cs="宋体" w:hint="eastAsia"/>
          <w:color w:val="212121"/>
          <w:sz w:val="28"/>
        </w:rPr>
        <w:t>美元</w:t>
      </w:r>
      <w:r w:rsidR="00565655" w:rsidRPr="00003C01">
        <w:rPr>
          <w:rFonts w:ascii="宋体" w:hAnsi="宋体" w:cs="宋体" w:hint="eastAsia"/>
          <w:color w:val="212121"/>
          <w:sz w:val="28"/>
        </w:rPr>
        <w:t>的对冲基金</w:t>
      </w:r>
      <w:r w:rsidR="00D659BC" w:rsidRPr="00003C01">
        <w:rPr>
          <w:rFonts w:ascii="宋体" w:hAnsi="宋体" w:cs="宋体" w:hint="eastAsia"/>
          <w:color w:val="212121"/>
          <w:sz w:val="28"/>
        </w:rPr>
        <w:t>资产，连同表外项目，如衍生工具，掉期交易，特殊目的实体</w:t>
      </w:r>
      <w:r w:rsidR="00003C01">
        <w:rPr>
          <w:rFonts w:ascii="宋体" w:hAnsi="宋体" w:cs="宋体" w:hint="eastAsia"/>
          <w:color w:val="212121"/>
          <w:sz w:val="28"/>
        </w:rPr>
        <w:t>---</w:t>
      </w:r>
      <w:r w:rsidR="00565655" w:rsidRPr="00003C01">
        <w:rPr>
          <w:rFonts w:ascii="宋体" w:hAnsi="宋体" w:cs="宋体" w:hint="eastAsia"/>
          <w:color w:val="212121"/>
          <w:sz w:val="28"/>
        </w:rPr>
        <w:t>它又包括担保债务</w:t>
      </w:r>
      <w:r w:rsidR="00003C01">
        <w:rPr>
          <w:rFonts w:ascii="宋体" w:hAnsi="宋体" w:cs="宋体" w:hint="eastAsia"/>
          <w:color w:val="212121"/>
          <w:sz w:val="28"/>
        </w:rPr>
        <w:t>证券</w:t>
      </w:r>
      <w:r w:rsidR="00565655" w:rsidRPr="00003C01">
        <w:rPr>
          <w:rFonts w:ascii="宋体" w:hAnsi="宋体" w:cs="宋体" w:hint="eastAsia"/>
          <w:color w:val="212121"/>
          <w:sz w:val="28"/>
        </w:rPr>
        <w:t>（CDO</w:t>
      </w:r>
      <w:r w:rsidR="00565655" w:rsidRPr="00003C01">
        <w:rPr>
          <w:rFonts w:ascii="宋体" w:hAnsi="宋体" w:cs="宋体"/>
          <w:color w:val="212121"/>
          <w:sz w:val="28"/>
        </w:rPr>
        <w:t>）</w:t>
      </w:r>
      <w:r w:rsidR="00565655" w:rsidRPr="00003C01">
        <w:rPr>
          <w:rFonts w:ascii="宋体" w:hAnsi="宋体" w:cs="宋体" w:hint="eastAsia"/>
          <w:color w:val="212121"/>
          <w:sz w:val="28"/>
        </w:rPr>
        <w:t>和</w:t>
      </w:r>
      <w:r w:rsidR="00003C01">
        <w:rPr>
          <w:rFonts w:ascii="宋体" w:hAnsi="宋体" w:cs="宋体" w:hint="eastAsia"/>
          <w:color w:val="212121"/>
          <w:sz w:val="28"/>
        </w:rPr>
        <w:t>担保贷款证券</w:t>
      </w:r>
      <w:r w:rsidR="00565655" w:rsidRPr="00003C01">
        <w:rPr>
          <w:rFonts w:ascii="宋体" w:hAnsi="宋体" w:cs="宋体" w:hint="eastAsia"/>
          <w:color w:val="212121"/>
          <w:sz w:val="28"/>
        </w:rPr>
        <w:t>（CLO），</w:t>
      </w:r>
      <w:r w:rsidRPr="00003C01">
        <w:rPr>
          <w:rFonts w:ascii="宋体" w:hAnsi="宋体" w:cs="宋体" w:hint="eastAsia"/>
          <w:color w:val="212121"/>
          <w:sz w:val="28"/>
        </w:rPr>
        <w:t>市场风险和波动性肯定大于</w:t>
      </w:r>
      <w:r w:rsidR="00003C01">
        <w:rPr>
          <w:rFonts w:ascii="Times New Roman" w:hAnsi="Times New Roman" w:hint="eastAsia"/>
          <w:color w:val="212121"/>
          <w:sz w:val="28"/>
        </w:rPr>
        <w:t>“</w:t>
      </w:r>
      <w:r w:rsidR="00315928" w:rsidRPr="00003C01">
        <w:rPr>
          <w:rFonts w:ascii="宋体" w:hAnsi="宋体" w:cs="宋体" w:hint="eastAsia"/>
          <w:color w:val="212121"/>
          <w:sz w:val="28"/>
        </w:rPr>
        <w:t>市场</w:t>
      </w:r>
      <w:r w:rsidR="00565655" w:rsidRPr="00003C01">
        <w:rPr>
          <w:rFonts w:ascii="宋体" w:hAnsi="宋体" w:cs="宋体" w:hint="eastAsia"/>
          <w:color w:val="212121"/>
          <w:sz w:val="28"/>
        </w:rPr>
        <w:t>接受</w:t>
      </w:r>
      <w:r w:rsidR="00003C01">
        <w:rPr>
          <w:rFonts w:ascii="Times New Roman" w:hAnsi="Times New Roman" w:hint="eastAsia"/>
          <w:color w:val="212121"/>
          <w:sz w:val="28"/>
        </w:rPr>
        <w:t>”</w:t>
      </w:r>
      <w:r w:rsidRPr="00003C01">
        <w:rPr>
          <w:rFonts w:ascii="宋体" w:hAnsi="宋体" w:cs="宋体" w:hint="eastAsia"/>
          <w:color w:val="212121"/>
          <w:sz w:val="28"/>
        </w:rPr>
        <w:t>的</w:t>
      </w:r>
      <w:r w:rsidRPr="00003C01">
        <w:rPr>
          <w:rFonts w:ascii="Times New Roman" w:hAnsi="Times New Roman"/>
          <w:color w:val="212121"/>
          <w:sz w:val="28"/>
        </w:rPr>
        <w:t>1.5</w:t>
      </w:r>
      <w:r w:rsidR="00003C01">
        <w:rPr>
          <w:rFonts w:ascii="Times New Roman" w:hAnsi="Times New Roman"/>
          <w:color w:val="212121"/>
          <w:sz w:val="28"/>
        </w:rPr>
        <w:t>万</w:t>
      </w:r>
      <w:r w:rsidR="00315928" w:rsidRPr="00003C01">
        <w:rPr>
          <w:rFonts w:ascii="宋体" w:hAnsi="宋体" w:cs="宋体" w:hint="eastAsia"/>
          <w:color w:val="212121"/>
          <w:sz w:val="28"/>
        </w:rPr>
        <w:t>到</w:t>
      </w:r>
      <w:r w:rsidRPr="00003C01">
        <w:rPr>
          <w:rFonts w:ascii="inherit" w:hAnsi="inherit" w:hint="eastAsia"/>
          <w:color w:val="212121"/>
          <w:sz w:val="28"/>
        </w:rPr>
        <w:t>2</w:t>
      </w:r>
      <w:proofErr w:type="gramStart"/>
      <w:r w:rsidRPr="00003C01">
        <w:rPr>
          <w:rFonts w:ascii="宋体" w:hAnsi="宋体" w:cs="宋体" w:hint="eastAsia"/>
          <w:color w:val="212121"/>
          <w:sz w:val="28"/>
        </w:rPr>
        <w:t>万亿</w:t>
      </w:r>
      <w:proofErr w:type="gramEnd"/>
      <w:r w:rsidR="00021A3E" w:rsidRPr="00003C01">
        <w:rPr>
          <w:rFonts w:ascii="宋体" w:hAnsi="宋体" w:cs="宋体" w:hint="eastAsia"/>
          <w:color w:val="212121"/>
          <w:sz w:val="28"/>
        </w:rPr>
        <w:t>美元</w:t>
      </w:r>
      <w:r w:rsidRPr="00003C01">
        <w:rPr>
          <w:rFonts w:ascii="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003C01" w:rsidP="00AE719F">
      <w:pPr>
        <w:pStyle w:val="HTML"/>
        <w:shd w:val="clear" w:color="auto" w:fill="FFFFFF"/>
        <w:spacing w:beforeLines="50" w:before="120" w:afterLines="50" w:after="120"/>
        <w:ind w:firstLineChars="150" w:firstLine="420"/>
        <w:rPr>
          <w:rFonts w:ascii="inherit" w:hAnsi="inherit"/>
          <w:color w:val="212121"/>
          <w:sz w:val="28"/>
        </w:rPr>
      </w:pPr>
      <w:r>
        <w:rPr>
          <w:rFonts w:ascii="宋体" w:eastAsia="宋体" w:hAnsi="宋体" w:cs="宋体" w:hint="eastAsia"/>
          <w:color w:val="212121"/>
          <w:sz w:val="28"/>
        </w:rPr>
        <w:t>当研究</w:t>
      </w:r>
      <w:r w:rsidR="00A412D5" w:rsidRPr="00693B1E">
        <w:rPr>
          <w:rFonts w:ascii="宋体" w:eastAsia="宋体" w:hAnsi="宋体" w:cs="宋体" w:hint="eastAsia"/>
          <w:color w:val="212121"/>
          <w:sz w:val="28"/>
        </w:rPr>
        <w:t>对冲基金行业的总规模</w:t>
      </w:r>
      <w:r w:rsidR="00565655" w:rsidRPr="00693B1E">
        <w:rPr>
          <w:rFonts w:ascii="宋体" w:eastAsia="宋体" w:hAnsi="宋体" w:cs="宋体" w:hint="eastAsia"/>
          <w:color w:val="212121"/>
          <w:sz w:val="28"/>
        </w:rPr>
        <w:t>时</w:t>
      </w:r>
      <w:r w:rsidR="00A412D5" w:rsidRPr="00693B1E">
        <w:rPr>
          <w:rFonts w:ascii="宋体" w:eastAsia="宋体" w:hAnsi="宋体" w:cs="宋体" w:hint="eastAsia"/>
          <w:color w:val="212121"/>
          <w:sz w:val="28"/>
        </w:rPr>
        <w:t>，正确</w:t>
      </w:r>
      <w:r w:rsidR="006F2596"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基准</w:t>
      </w:r>
      <w:r w:rsidR="006F2596" w:rsidRPr="00693B1E">
        <w:rPr>
          <w:rFonts w:ascii="宋体" w:eastAsia="宋体" w:hAnsi="宋体" w:cs="宋体" w:hint="eastAsia"/>
          <w:color w:val="212121"/>
          <w:sz w:val="28"/>
        </w:rPr>
        <w:t>应该</w:t>
      </w:r>
      <w:r>
        <w:rPr>
          <w:rFonts w:ascii="宋体" w:eastAsia="宋体" w:hAnsi="宋体" w:cs="宋体" w:hint="eastAsia"/>
          <w:color w:val="212121"/>
          <w:sz w:val="28"/>
        </w:rPr>
        <w:t>要</w:t>
      </w:r>
      <w:r w:rsidR="00A412D5" w:rsidRPr="00693B1E">
        <w:rPr>
          <w:rFonts w:ascii="宋体" w:eastAsia="宋体" w:hAnsi="宋体" w:cs="宋体" w:hint="eastAsia"/>
          <w:color w:val="212121"/>
          <w:sz w:val="28"/>
        </w:rPr>
        <w:t>考虑市场</w:t>
      </w:r>
      <w:r w:rsidR="00315928" w:rsidRPr="00693B1E">
        <w:rPr>
          <w:rFonts w:ascii="宋体" w:eastAsia="宋体" w:hAnsi="宋体" w:cs="宋体" w:hint="eastAsia"/>
          <w:color w:val="212121"/>
          <w:sz w:val="28"/>
        </w:rPr>
        <w:t>总</w:t>
      </w:r>
      <w:r w:rsidR="00A412D5" w:rsidRPr="00693B1E">
        <w:rPr>
          <w:rFonts w:ascii="宋体" w:eastAsia="宋体" w:hAnsi="宋体" w:cs="宋体" w:hint="eastAsia"/>
          <w:color w:val="212121"/>
          <w:sz w:val="28"/>
        </w:rPr>
        <w:t>风险，而不是总权益或</w:t>
      </w:r>
      <w:r w:rsidR="00A34D77" w:rsidRPr="00693B1E">
        <w:rPr>
          <w:rFonts w:ascii="宋体" w:eastAsia="宋体" w:hAnsi="宋体" w:cs="宋体" w:hint="eastAsia"/>
          <w:color w:val="212121"/>
          <w:sz w:val="28"/>
        </w:rPr>
        <w:t>基金</w:t>
      </w:r>
      <w:r>
        <w:rPr>
          <w:rFonts w:ascii="宋体" w:eastAsia="宋体" w:hAnsi="宋体" w:cs="宋体" w:hint="eastAsia"/>
          <w:color w:val="212121"/>
          <w:sz w:val="28"/>
        </w:rPr>
        <w:t>投资</w:t>
      </w:r>
      <w:r w:rsidR="00A412D5" w:rsidRPr="00693B1E">
        <w:rPr>
          <w:rFonts w:ascii="宋体" w:eastAsia="宋体" w:hAnsi="宋体" w:cs="宋体" w:hint="eastAsia"/>
          <w:color w:val="212121"/>
          <w:sz w:val="28"/>
        </w:rPr>
        <w:t>的总资产。换句话说，</w:t>
      </w:r>
      <w:r w:rsidR="001343D4" w:rsidRPr="00693B1E">
        <w:rPr>
          <w:rFonts w:ascii="Times New Roman" w:hAnsi="Times New Roman" w:cs="Times New Roman"/>
          <w:color w:val="212121"/>
          <w:sz w:val="28"/>
        </w:rPr>
        <w:t>2007</w:t>
      </w:r>
      <w:r w:rsidR="001343D4" w:rsidRPr="00693B1E">
        <w:rPr>
          <w:rFonts w:ascii="宋体" w:eastAsia="宋体" w:hAnsi="宋体" w:cs="宋体" w:hint="eastAsia"/>
          <w:color w:val="212121"/>
          <w:sz w:val="28"/>
        </w:rPr>
        <w:t>年，</w:t>
      </w:r>
      <w:r>
        <w:rPr>
          <w:rFonts w:ascii="宋体" w:eastAsia="宋体" w:hAnsi="宋体" w:cs="宋体" w:hint="eastAsia"/>
          <w:color w:val="212121"/>
          <w:sz w:val="28"/>
        </w:rPr>
        <w:t>当</w:t>
      </w:r>
      <w:r w:rsidR="008C6115" w:rsidRPr="00693B1E">
        <w:rPr>
          <w:rFonts w:ascii="宋体" w:eastAsia="宋体" w:hAnsi="宋体" w:cs="宋体" w:hint="eastAsia"/>
          <w:color w:val="212121"/>
          <w:sz w:val="28"/>
        </w:rPr>
        <w:t>对冲</w:t>
      </w:r>
      <w:r w:rsidR="00A412D5" w:rsidRPr="00693B1E">
        <w:rPr>
          <w:rFonts w:ascii="宋体" w:eastAsia="宋体" w:hAnsi="宋体" w:cs="宋体" w:hint="eastAsia"/>
          <w:color w:val="212121"/>
          <w:sz w:val="28"/>
        </w:rPr>
        <w:t>基金行业</w:t>
      </w:r>
      <w:r w:rsidR="001343D4" w:rsidRPr="00693B1E">
        <w:rPr>
          <w:rFonts w:ascii="宋体" w:eastAsia="宋体" w:hAnsi="宋体" w:cs="宋体" w:hint="eastAsia"/>
          <w:color w:val="212121"/>
          <w:sz w:val="28"/>
        </w:rPr>
        <w:t>的总权益</w:t>
      </w:r>
      <w:r>
        <w:rPr>
          <w:rFonts w:ascii="宋体" w:eastAsia="宋体" w:hAnsi="宋体" w:cs="宋体" w:hint="eastAsia"/>
          <w:color w:val="212121"/>
          <w:sz w:val="28"/>
        </w:rPr>
        <w:t>可能达到</w:t>
      </w:r>
      <w:r w:rsidR="00A412D5" w:rsidRPr="00693B1E">
        <w:rPr>
          <w:rFonts w:ascii="Times New Roman" w:hAnsi="Times New Roman" w:cs="Times New Roman"/>
          <w:color w:val="212121"/>
          <w:sz w:val="28"/>
        </w:rPr>
        <w:t>2</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w:t>
      </w:r>
      <w:r>
        <w:rPr>
          <w:rFonts w:ascii="宋体" w:eastAsia="宋体" w:hAnsi="宋体" w:cs="宋体" w:hint="eastAsia"/>
          <w:color w:val="212121"/>
          <w:sz w:val="28"/>
        </w:rPr>
        <w:t>时</w:t>
      </w:r>
      <w:r w:rsidR="00A412D5" w:rsidRPr="00693B1E">
        <w:rPr>
          <w:rFonts w:ascii="宋体" w:eastAsia="宋体" w:hAnsi="宋体" w:cs="宋体" w:hint="eastAsia"/>
          <w:color w:val="212121"/>
          <w:sz w:val="28"/>
        </w:rPr>
        <w:t>，</w:t>
      </w:r>
      <w:r w:rsidR="008C6115" w:rsidRPr="00693B1E">
        <w:rPr>
          <w:rFonts w:ascii="宋体" w:eastAsia="宋体" w:hAnsi="宋体" w:cs="宋体" w:hint="eastAsia"/>
          <w:color w:val="212121"/>
          <w:sz w:val="28"/>
        </w:rPr>
        <w:t>在</w:t>
      </w:r>
      <w:r w:rsidR="008C6115" w:rsidRPr="00693B1E">
        <w:rPr>
          <w:rFonts w:ascii="Times New Roman" w:hAnsi="Times New Roman" w:cs="Times New Roman"/>
          <w:color w:val="212121"/>
          <w:sz w:val="28"/>
        </w:rPr>
        <w:t>2007</w:t>
      </w:r>
      <w:r w:rsidR="008C6115" w:rsidRPr="00693B1E">
        <w:rPr>
          <w:rFonts w:ascii="宋体" w:eastAsia="宋体" w:hAnsi="宋体" w:cs="宋体" w:hint="eastAsia"/>
          <w:color w:val="212121"/>
          <w:sz w:val="28"/>
        </w:rPr>
        <w:t>年底</w:t>
      </w:r>
      <w:r w:rsidR="00A412D5" w:rsidRPr="00693B1E">
        <w:rPr>
          <w:rFonts w:ascii="宋体" w:eastAsia="宋体" w:hAnsi="宋体" w:cs="宋体" w:hint="eastAsia"/>
          <w:color w:val="212121"/>
          <w:sz w:val="28"/>
        </w:rPr>
        <w:t>行业</w:t>
      </w:r>
      <w:r w:rsidR="00551D91" w:rsidRPr="00693B1E">
        <w:rPr>
          <w:rFonts w:ascii="宋体" w:eastAsia="宋体" w:hAnsi="宋体" w:cs="宋体" w:hint="eastAsia"/>
          <w:color w:val="212121"/>
          <w:sz w:val="28"/>
        </w:rPr>
        <w:t>实际</w:t>
      </w:r>
      <w:r w:rsidR="00A412D5" w:rsidRPr="00693B1E">
        <w:rPr>
          <w:rFonts w:ascii="宋体" w:eastAsia="宋体" w:hAnsi="宋体" w:cs="宋体" w:hint="eastAsia"/>
          <w:color w:val="212121"/>
          <w:sz w:val="28"/>
        </w:rPr>
        <w:t>控制的资产</w:t>
      </w:r>
      <w:r>
        <w:rPr>
          <w:rFonts w:ascii="宋体" w:eastAsia="宋体" w:hAnsi="宋体" w:cs="宋体" w:hint="eastAsia"/>
          <w:color w:val="212121"/>
          <w:sz w:val="28"/>
        </w:rPr>
        <w:t>已</w:t>
      </w:r>
      <w:r w:rsidR="00A412D5" w:rsidRPr="00693B1E">
        <w:rPr>
          <w:rFonts w:ascii="宋体" w:eastAsia="宋体" w:hAnsi="宋体" w:cs="宋体" w:hint="eastAsia"/>
          <w:color w:val="212121"/>
          <w:sz w:val="28"/>
        </w:rPr>
        <w:t>超过</w:t>
      </w:r>
      <w:r w:rsidR="00A412D5" w:rsidRPr="00693B1E">
        <w:rPr>
          <w:rFonts w:ascii="Times New Roman" w:hAnsi="Times New Roman" w:cs="Times New Roman"/>
          <w:color w:val="212121"/>
          <w:sz w:val="28"/>
        </w:rPr>
        <w:t>10</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美元。这</w:t>
      </w:r>
      <w:r w:rsidR="00551D91" w:rsidRPr="00693B1E">
        <w:rPr>
          <w:rFonts w:ascii="宋体" w:eastAsia="宋体" w:hAnsi="宋体" w:cs="宋体" w:hint="eastAsia"/>
          <w:color w:val="212121"/>
          <w:sz w:val="28"/>
        </w:rPr>
        <w:t>还</w:t>
      </w:r>
      <w:r>
        <w:rPr>
          <w:rFonts w:ascii="宋体" w:eastAsia="宋体" w:hAnsi="宋体" w:cs="宋体" w:hint="eastAsia"/>
          <w:color w:val="212121"/>
          <w:sz w:val="28"/>
        </w:rPr>
        <w:t>只</w:t>
      </w:r>
      <w:r w:rsidR="008C6115" w:rsidRPr="00693B1E">
        <w:rPr>
          <w:rFonts w:ascii="宋体" w:eastAsia="宋体" w:hAnsi="宋体" w:cs="宋体" w:hint="eastAsia"/>
          <w:color w:val="212121"/>
          <w:sz w:val="28"/>
        </w:rPr>
        <w:t>是</w:t>
      </w:r>
      <w:r w:rsidR="00A412D5" w:rsidRPr="00693B1E">
        <w:rPr>
          <w:rFonts w:ascii="宋体" w:eastAsia="宋体" w:hAnsi="宋体" w:cs="宋体" w:hint="eastAsia"/>
          <w:color w:val="212121"/>
          <w:sz w:val="28"/>
        </w:rPr>
        <w:t>资产负债表</w:t>
      </w:r>
      <w:r w:rsidR="008C6115" w:rsidRPr="00693B1E">
        <w:rPr>
          <w:rFonts w:ascii="宋体" w:eastAsia="宋体" w:hAnsi="宋体" w:cs="宋体" w:hint="eastAsia"/>
          <w:color w:val="212121"/>
          <w:sz w:val="28"/>
        </w:rPr>
        <w:t>上</w:t>
      </w:r>
      <w:r w:rsidR="00A412D5" w:rsidRPr="00693B1E">
        <w:rPr>
          <w:rFonts w:ascii="宋体" w:eastAsia="宋体" w:hAnsi="宋体" w:cs="宋体" w:hint="eastAsia"/>
          <w:color w:val="212121"/>
          <w:sz w:val="28"/>
        </w:rPr>
        <w:t>的风险资本，不包括</w:t>
      </w:r>
      <w:r w:rsidR="008C6115" w:rsidRPr="00693B1E">
        <w:rPr>
          <w:rFonts w:ascii="宋体" w:eastAsia="宋体" w:hAnsi="宋体" w:cs="宋体" w:hint="eastAsia"/>
          <w:color w:val="212121"/>
          <w:sz w:val="28"/>
        </w:rPr>
        <w:t>表外</w:t>
      </w:r>
      <w:r w:rsidR="00A34D77" w:rsidRPr="00693B1E">
        <w:rPr>
          <w:rFonts w:ascii="宋体" w:eastAsia="宋体" w:hAnsi="宋体" w:cs="宋体" w:hint="eastAsia"/>
          <w:color w:val="212121"/>
          <w:sz w:val="28"/>
        </w:rPr>
        <w:t>使用</w:t>
      </w:r>
      <w:r w:rsidR="008C6115" w:rsidRPr="00693B1E">
        <w:rPr>
          <w:rFonts w:ascii="宋体" w:eastAsia="宋体" w:hAnsi="宋体" w:cs="宋体" w:hint="eastAsia"/>
          <w:color w:val="212121"/>
          <w:sz w:val="28"/>
        </w:rPr>
        <w:t>其他杠杆</w:t>
      </w:r>
      <w:r w:rsidR="00A34D77" w:rsidRPr="00693B1E">
        <w:rPr>
          <w:rFonts w:ascii="宋体" w:eastAsia="宋体" w:hAnsi="宋体" w:cs="宋体" w:hint="eastAsia"/>
          <w:color w:val="212121"/>
          <w:sz w:val="28"/>
        </w:rPr>
        <w:t>工具</w:t>
      </w:r>
      <w:r w:rsidR="008C6115"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衍生</w:t>
      </w:r>
      <w:r w:rsidR="008C6115" w:rsidRPr="00693B1E">
        <w:rPr>
          <w:rFonts w:ascii="宋体" w:eastAsia="宋体" w:hAnsi="宋体" w:cs="宋体" w:hint="eastAsia"/>
          <w:color w:val="212121"/>
          <w:sz w:val="28"/>
        </w:rPr>
        <w:t>品</w:t>
      </w:r>
      <w:r w:rsidR="00A412D5" w:rsidRPr="00693B1E">
        <w:rPr>
          <w:rFonts w:ascii="宋体" w:eastAsia="宋体" w:hAnsi="宋体" w:cs="宋体" w:hint="eastAsia"/>
          <w:color w:val="212121"/>
          <w:sz w:val="28"/>
        </w:rPr>
        <w:t>或信用违约掉期</w:t>
      </w:r>
      <w:r w:rsidR="008C6115" w:rsidRPr="00693B1E">
        <w:rPr>
          <w:rFonts w:ascii="宋体" w:eastAsia="宋体" w:hAnsi="宋体" w:cs="宋体" w:hint="eastAsia"/>
          <w:color w:val="212121"/>
          <w:sz w:val="28"/>
        </w:rPr>
        <w:t>产品</w:t>
      </w:r>
      <w:r w:rsidR="00A412D5" w:rsidRPr="00693B1E">
        <w:rPr>
          <w:rFonts w:ascii="宋体" w:eastAsia="宋体" w:hAnsi="宋体" w:cs="宋体" w:hint="eastAsia"/>
          <w:color w:val="212121"/>
          <w:sz w:val="28"/>
        </w:rPr>
        <w:t>。简而言之，对冲基金资产</w:t>
      </w:r>
      <w:r w:rsidR="00A34D77" w:rsidRPr="00693B1E">
        <w:rPr>
          <w:rFonts w:ascii="宋体" w:eastAsia="宋体" w:hAnsi="宋体" w:cs="宋体" w:hint="eastAsia"/>
          <w:color w:val="212121"/>
          <w:sz w:val="28"/>
        </w:rPr>
        <w:t>已</w:t>
      </w:r>
      <w:r w:rsidR="00A412D5" w:rsidRPr="00693B1E">
        <w:rPr>
          <w:rFonts w:ascii="宋体" w:eastAsia="宋体" w:hAnsi="宋体" w:cs="宋体" w:hint="eastAsia"/>
          <w:color w:val="212121"/>
          <w:sz w:val="28"/>
        </w:rPr>
        <w:t>变得非常</w:t>
      </w:r>
      <w:r w:rsidR="00A34D77" w:rsidRPr="00693B1E">
        <w:rPr>
          <w:rFonts w:ascii="宋体" w:eastAsia="宋体" w:hAnsi="宋体" w:cs="宋体" w:hint="eastAsia"/>
          <w:color w:val="212121"/>
          <w:sz w:val="28"/>
        </w:rPr>
        <w:t>庞大</w:t>
      </w:r>
      <w:r w:rsidR="00A412D5" w:rsidRPr="00693B1E">
        <w:rPr>
          <w:rFonts w:ascii="宋体" w:eastAsia="宋体" w:hAnsi="宋体" w:cs="宋体" w:hint="eastAsia"/>
          <w:color w:val="212121"/>
          <w:sz w:val="28"/>
        </w:rPr>
        <w:t>，</w:t>
      </w:r>
      <w:r w:rsidR="00A34D77" w:rsidRPr="00693B1E">
        <w:rPr>
          <w:rFonts w:ascii="宋体" w:eastAsia="宋体" w:hAnsi="宋体" w:cs="宋体" w:hint="eastAsia"/>
          <w:color w:val="212121"/>
          <w:sz w:val="28"/>
        </w:rPr>
        <w:t>绝不能再被视作</w:t>
      </w:r>
      <w:r w:rsidR="00A34D77" w:rsidRPr="00693B1E" w:rsidDel="00A34D77">
        <w:rPr>
          <w:rFonts w:ascii="宋体" w:eastAsia="宋体" w:hAnsi="宋体" w:cs="宋体" w:hint="eastAsia"/>
          <w:color w:val="212121"/>
          <w:sz w:val="28"/>
        </w:rPr>
        <w:t xml:space="preserve"> </w:t>
      </w:r>
      <w:r>
        <w:rPr>
          <w:rFonts w:asciiTheme="minorEastAsia" w:eastAsiaTheme="minorEastAsia" w:hAnsiTheme="minorEastAsia" w:cs="Times New Roman" w:hint="eastAsia"/>
          <w:color w:val="212121"/>
          <w:sz w:val="28"/>
        </w:rPr>
        <w:t>“</w:t>
      </w:r>
      <w:r w:rsidR="00A412D5" w:rsidRPr="00693B1E">
        <w:rPr>
          <w:rFonts w:ascii="宋体" w:eastAsia="宋体" w:hAnsi="宋体" w:cs="宋体" w:hint="eastAsia"/>
          <w:color w:val="212121"/>
          <w:sz w:val="28"/>
        </w:rPr>
        <w:t>家庭</w:t>
      </w:r>
      <w:r>
        <w:rPr>
          <w:rFonts w:ascii="宋体" w:eastAsia="宋体" w:hAnsi="宋体" w:cs="宋体" w:hint="eastAsia"/>
          <w:color w:val="212121"/>
          <w:sz w:val="28"/>
        </w:rPr>
        <w:t>作坊</w:t>
      </w:r>
      <w:r>
        <w:rPr>
          <w:rFonts w:asciiTheme="minorEastAsia" w:eastAsiaTheme="minorEastAsia" w:hAnsiTheme="minorEastAsia" w:cs="Times New Roman" w:hint="eastAsia"/>
          <w:color w:val="212121"/>
          <w:sz w:val="28"/>
        </w:rPr>
        <w:t>”</w:t>
      </w:r>
      <w:r w:rsidR="00A34D77" w:rsidRPr="00693B1E">
        <w:rPr>
          <w:rFonts w:ascii="Times New Roman" w:eastAsia="宋体" w:hAnsi="Times New Roman" w:cs="Times New Roman" w:hint="eastAsia"/>
          <w:color w:val="212121"/>
          <w:sz w:val="28"/>
        </w:rPr>
        <w:t>了</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3208E8" w:rsidP="00AE719F">
      <w:pPr>
        <w:pStyle w:val="HTML"/>
        <w:shd w:val="clear" w:color="auto" w:fill="FFFFFF"/>
        <w:spacing w:beforeLines="50" w:before="120" w:afterLines="50" w:after="120"/>
        <w:rPr>
          <w:rFonts w:ascii="inherit" w:hAnsi="inherit"/>
          <w:color w:val="212121"/>
          <w:sz w:val="28"/>
        </w:rPr>
      </w:pPr>
      <w:r>
        <w:rPr>
          <w:rFonts w:ascii="宋体" w:eastAsia="宋体" w:hAnsi="宋体" w:cs="宋体" w:hint="eastAsia"/>
          <w:color w:val="212121"/>
          <w:sz w:val="28"/>
        </w:rPr>
        <w:t>基于</w:t>
      </w:r>
      <w:r w:rsidR="00A412D5" w:rsidRPr="00693B1E">
        <w:rPr>
          <w:rFonts w:ascii="Times New Roman" w:hAnsi="Times New Roman" w:cs="Times New Roman"/>
          <w:color w:val="212121"/>
          <w:sz w:val="28"/>
        </w:rPr>
        <w:t>2007</w:t>
      </w:r>
      <w:r>
        <w:rPr>
          <w:rFonts w:ascii="宋体" w:eastAsia="宋体" w:hAnsi="宋体" w:cs="宋体" w:hint="eastAsia"/>
          <w:color w:val="212121"/>
          <w:sz w:val="28"/>
        </w:rPr>
        <w:t>年年度</w:t>
      </w:r>
      <w:r w:rsidR="00A412D5" w:rsidRPr="00693B1E">
        <w:rPr>
          <w:rFonts w:ascii="宋体" w:eastAsia="宋体" w:hAnsi="宋体" w:cs="宋体" w:hint="eastAsia"/>
          <w:color w:val="212121"/>
          <w:sz w:val="28"/>
        </w:rPr>
        <w:t>报告</w:t>
      </w:r>
      <w:r>
        <w:rPr>
          <w:rFonts w:ascii="宋体" w:eastAsia="宋体" w:hAnsi="宋体" w:cs="宋体" w:hint="eastAsia"/>
          <w:color w:val="212121"/>
          <w:sz w:val="28"/>
        </w:rPr>
        <w:t>的</w:t>
      </w:r>
      <w:r w:rsidR="00A412D5" w:rsidRPr="00693B1E">
        <w:rPr>
          <w:rFonts w:ascii="宋体" w:eastAsia="宋体" w:hAnsi="宋体" w:cs="宋体" w:hint="eastAsia"/>
          <w:color w:val="212121"/>
          <w:sz w:val="28"/>
        </w:rPr>
        <w:t>结果，</w:t>
      </w:r>
    </w:p>
    <w:p w:rsidR="008C6115" w:rsidRPr="00693B1E" w:rsidRDefault="008C6115"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8C611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lastRenderedPageBreak/>
        <w:t>2007</w:t>
      </w:r>
      <w:r w:rsidRPr="00693B1E">
        <w:rPr>
          <w:rFonts w:ascii="宋体" w:eastAsia="宋体" w:hAnsi="宋体" w:cs="宋体" w:hint="eastAsia"/>
          <w:color w:val="212121"/>
          <w:sz w:val="28"/>
        </w:rPr>
        <w:t>年</w:t>
      </w:r>
      <w:r w:rsidR="005231C2" w:rsidRPr="00693B1E">
        <w:rPr>
          <w:rFonts w:ascii="宋体" w:eastAsia="宋体" w:hAnsi="宋体" w:cs="宋体" w:hint="eastAsia"/>
          <w:color w:val="212121"/>
          <w:sz w:val="28"/>
        </w:rPr>
        <w:t>认定了</w:t>
      </w:r>
      <w:r w:rsidR="00A412D5" w:rsidRPr="00693B1E">
        <w:rPr>
          <w:rFonts w:ascii="Times New Roman" w:hAnsi="Times New Roman" w:cs="Times New Roman"/>
          <w:color w:val="212121"/>
          <w:sz w:val="28"/>
        </w:rPr>
        <w:t>15,250</w:t>
      </w:r>
      <w:r w:rsidR="00A34D77" w:rsidRPr="00693B1E">
        <w:rPr>
          <w:rFonts w:ascii="宋体" w:eastAsia="宋体" w:hAnsi="宋体" w:cs="宋体" w:hint="eastAsia"/>
          <w:color w:val="212121"/>
          <w:sz w:val="28"/>
        </w:rPr>
        <w:t>支</w:t>
      </w:r>
      <w:r w:rsidR="00A412D5" w:rsidRPr="00693B1E">
        <w:rPr>
          <w:rFonts w:ascii="宋体" w:eastAsia="宋体" w:hAnsi="宋体" w:cs="宋体" w:hint="eastAsia"/>
          <w:color w:val="212121"/>
          <w:sz w:val="28"/>
        </w:rPr>
        <w:t>单一</w:t>
      </w:r>
      <w:r w:rsidR="00FC366C" w:rsidRPr="00693B1E">
        <w:rPr>
          <w:rFonts w:ascii="宋体" w:eastAsia="宋体" w:hAnsi="宋体" w:cs="宋体" w:hint="eastAsia"/>
          <w:color w:val="212121"/>
          <w:sz w:val="28"/>
        </w:rPr>
        <w:t>经理的</w:t>
      </w:r>
      <w:r w:rsidRPr="00693B1E">
        <w:rPr>
          <w:rFonts w:ascii="宋体" w:eastAsia="宋体" w:hAnsi="宋体" w:cs="宋体" w:hint="eastAsia"/>
          <w:color w:val="212121"/>
          <w:sz w:val="28"/>
        </w:rPr>
        <w:t>对冲基金</w:t>
      </w:r>
      <w:r w:rsidR="00A412D5" w:rsidRPr="00693B1E">
        <w:rPr>
          <w:rFonts w:ascii="宋体" w:eastAsia="宋体" w:hAnsi="宋体" w:cs="宋体" w:hint="eastAsia"/>
          <w:color w:val="212121"/>
          <w:sz w:val="28"/>
        </w:rPr>
        <w:t>，以及</w:t>
      </w:r>
      <w:r w:rsidR="00A412D5" w:rsidRPr="00693B1E">
        <w:rPr>
          <w:rFonts w:ascii="Times New Roman" w:hAnsi="Times New Roman" w:cs="Times New Roman"/>
          <w:color w:val="212121"/>
          <w:sz w:val="28"/>
        </w:rPr>
        <w:t>7,400</w:t>
      </w:r>
      <w:r w:rsidR="00A34D77" w:rsidRPr="00693B1E">
        <w:rPr>
          <w:rFonts w:ascii="宋体" w:eastAsia="宋体" w:hAnsi="宋体" w:cs="宋体" w:hint="eastAsia"/>
          <w:color w:val="212121"/>
          <w:sz w:val="28"/>
        </w:rPr>
        <w:t>支</w:t>
      </w:r>
      <w:r w:rsidR="00B07B58" w:rsidRPr="00693B1E">
        <w:rPr>
          <w:rFonts w:ascii="宋体" w:eastAsia="宋体" w:hAnsi="宋体" w:cs="宋体" w:hint="eastAsia"/>
          <w:color w:val="212121"/>
          <w:sz w:val="28"/>
        </w:rPr>
        <w:t>FOF</w:t>
      </w:r>
      <w:r w:rsidR="00A34D77"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w:t>
      </w:r>
      <w:r w:rsidR="00A34D77" w:rsidRPr="00693B1E">
        <w:rPr>
          <w:rFonts w:ascii="宋体" w:eastAsia="宋体" w:hAnsi="宋体" w:cs="宋体" w:hint="eastAsia"/>
          <w:color w:val="212121"/>
          <w:sz w:val="28"/>
        </w:rPr>
        <w:t>相应的，2006年的数字是，</w:t>
      </w:r>
      <w:r w:rsidR="00A412D5" w:rsidRPr="00693B1E">
        <w:rPr>
          <w:rFonts w:ascii="Times New Roman" w:hAnsi="Times New Roman" w:cs="Times New Roman"/>
          <w:color w:val="212121"/>
          <w:sz w:val="28"/>
        </w:rPr>
        <w:t>13,675</w:t>
      </w:r>
      <w:r w:rsidR="00A34D77" w:rsidRPr="00693B1E">
        <w:rPr>
          <w:rFonts w:ascii="宋体" w:eastAsia="宋体" w:hAnsi="宋体" w:cs="宋体" w:hint="eastAsia"/>
          <w:color w:val="212121"/>
          <w:sz w:val="28"/>
        </w:rPr>
        <w:t>支</w:t>
      </w:r>
      <w:r w:rsidRPr="00693B1E">
        <w:rPr>
          <w:rFonts w:ascii="宋体" w:eastAsia="宋体" w:hAnsi="宋体" w:cs="宋体" w:hint="eastAsia"/>
          <w:color w:val="212121"/>
          <w:sz w:val="28"/>
        </w:rPr>
        <w:t>对冲基金</w:t>
      </w:r>
      <w:r w:rsidR="00FC366C" w:rsidRPr="00693B1E">
        <w:rPr>
          <w:rFonts w:ascii="宋体" w:eastAsia="宋体" w:hAnsi="宋体" w:cs="宋体" w:hint="eastAsia"/>
          <w:color w:val="212121"/>
          <w:sz w:val="28"/>
        </w:rPr>
        <w:t>和</w:t>
      </w:r>
      <w:r w:rsidR="00A412D5" w:rsidRPr="00693B1E">
        <w:rPr>
          <w:rFonts w:ascii="Times New Roman" w:hAnsi="Times New Roman" w:cs="Times New Roman"/>
          <w:color w:val="212121"/>
          <w:sz w:val="28"/>
        </w:rPr>
        <w:t>6,100</w:t>
      </w:r>
      <w:r w:rsidR="00A34D77" w:rsidRPr="00693B1E">
        <w:rPr>
          <w:rFonts w:ascii="Times New Roman" w:eastAsia="宋体" w:hAnsi="Times New Roman" w:cs="Times New Roman" w:hint="eastAsia"/>
          <w:color w:val="212121"/>
          <w:sz w:val="28"/>
        </w:rPr>
        <w:t>支</w:t>
      </w:r>
      <w:r w:rsidR="00A34D77" w:rsidRPr="00693B1E">
        <w:rPr>
          <w:rFonts w:ascii="Times New Roman" w:eastAsia="宋体" w:hAnsi="Times New Roman" w:cs="Times New Roman" w:hint="eastAsia"/>
          <w:color w:val="212121"/>
          <w:sz w:val="28"/>
        </w:rPr>
        <w:t>FOF</w:t>
      </w:r>
      <w:r w:rsidR="00A34D77" w:rsidRPr="00693B1E">
        <w:rPr>
          <w:rFonts w:ascii="Times New Roman" w:eastAsia="宋体" w:hAnsi="Times New Roman" w:cs="Times New Roman" w:hint="eastAsia"/>
          <w:color w:val="212121"/>
          <w:sz w:val="28"/>
        </w:rPr>
        <w:t>基金</w:t>
      </w:r>
      <w:r w:rsidR="00A412D5"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Times New Roman" w:hAnsi="Times New Roman" w:cs="Times New Roman"/>
          <w:color w:val="212121"/>
          <w:sz w:val="28"/>
        </w:rPr>
        <w:t>4,600</w:t>
      </w:r>
      <w:r w:rsidRPr="00693B1E">
        <w:rPr>
          <w:rFonts w:ascii="宋体" w:eastAsia="宋体" w:hAnsi="宋体" w:cs="宋体" w:hint="eastAsia"/>
          <w:color w:val="212121"/>
          <w:sz w:val="28"/>
        </w:rPr>
        <w:t>个</w:t>
      </w:r>
      <w:r w:rsidR="00E3072B">
        <w:rPr>
          <w:rFonts w:ascii="宋体" w:eastAsia="宋体" w:hAnsi="宋体" w:cs="宋体" w:hint="eastAsia"/>
          <w:color w:val="212121"/>
          <w:sz w:val="28"/>
        </w:rPr>
        <w:t>认定的一般</w:t>
      </w:r>
      <w:r w:rsidRPr="00693B1E">
        <w:rPr>
          <w:rFonts w:ascii="宋体" w:eastAsia="宋体" w:hAnsi="宋体" w:cs="宋体" w:hint="eastAsia"/>
          <w:color w:val="212121"/>
          <w:sz w:val="28"/>
        </w:rPr>
        <w:t>合伙</w:t>
      </w:r>
      <w:r w:rsidR="00FC366C" w:rsidRPr="00693B1E">
        <w:rPr>
          <w:rFonts w:ascii="宋体" w:eastAsia="宋体" w:hAnsi="宋体" w:cs="宋体" w:hint="eastAsia"/>
          <w:color w:val="212121"/>
          <w:sz w:val="28"/>
        </w:rPr>
        <w:t>人</w:t>
      </w:r>
      <w:r w:rsidRPr="00693B1E">
        <w:rPr>
          <w:rFonts w:ascii="宋体" w:eastAsia="宋体" w:hAnsi="宋体" w:cs="宋体" w:hint="eastAsia"/>
          <w:color w:val="212121"/>
          <w:sz w:val="28"/>
        </w:rPr>
        <w:t>，</w:t>
      </w:r>
      <w:r w:rsidR="00265C5F" w:rsidRPr="00693B1E">
        <w:rPr>
          <w:rFonts w:ascii="宋体" w:eastAsia="宋体" w:hAnsi="宋体" w:cs="宋体" w:hint="eastAsia"/>
          <w:color w:val="212121"/>
          <w:sz w:val="28"/>
        </w:rPr>
        <w:t>而</w:t>
      </w:r>
      <w:r w:rsidR="00FC366C" w:rsidRPr="00693B1E">
        <w:rPr>
          <w:rFonts w:ascii="inherit" w:hAnsi="inherit" w:hint="eastAsia"/>
          <w:color w:val="212121"/>
          <w:sz w:val="28"/>
        </w:rPr>
        <w:t>2006</w:t>
      </w:r>
      <w:r w:rsidR="00FC366C" w:rsidRPr="00693B1E">
        <w:rPr>
          <w:rFonts w:ascii="宋体" w:eastAsia="宋体" w:hAnsi="宋体" w:cs="宋体" w:hint="eastAsia"/>
          <w:color w:val="212121"/>
          <w:sz w:val="28"/>
        </w:rPr>
        <w:t>年</w:t>
      </w:r>
      <w:r w:rsidR="005231C2" w:rsidRPr="00693B1E">
        <w:rPr>
          <w:rFonts w:ascii="宋体" w:eastAsia="宋体" w:hAnsi="宋体" w:cs="宋体" w:hint="eastAsia"/>
          <w:color w:val="212121"/>
          <w:sz w:val="28"/>
        </w:rPr>
        <w:t>有</w:t>
      </w:r>
      <w:r w:rsidRPr="00693B1E">
        <w:rPr>
          <w:rFonts w:ascii="Times New Roman" w:hAnsi="Times New Roman" w:cs="Times New Roman"/>
          <w:color w:val="212121"/>
          <w:sz w:val="28"/>
        </w:rPr>
        <w:t>4,900</w:t>
      </w:r>
      <w:r w:rsidRPr="00693B1E">
        <w:rPr>
          <w:rFonts w:ascii="宋体" w:eastAsia="宋体" w:hAnsi="宋体" w:cs="宋体" w:hint="eastAsia"/>
          <w:color w:val="212121"/>
          <w:sz w:val="28"/>
        </w:rPr>
        <w:t>个。</w:t>
      </w:r>
    </w:p>
    <w:p w:rsidR="008C6115" w:rsidRPr="00693B1E" w:rsidRDefault="008C611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t>35</w:t>
      </w:r>
      <w:r w:rsidRPr="00693B1E">
        <w:rPr>
          <w:rFonts w:ascii="宋体" w:eastAsia="宋体" w:hAnsi="宋体" w:cs="宋体" w:hint="eastAsia"/>
          <w:color w:val="212121"/>
          <w:sz w:val="28"/>
        </w:rPr>
        <w:t>％的</w:t>
      </w:r>
      <w:r w:rsidR="00FC366C" w:rsidRPr="00693B1E">
        <w:rPr>
          <w:rFonts w:ascii="宋体" w:eastAsia="宋体" w:hAnsi="宋体" w:cs="宋体" w:hint="eastAsia"/>
          <w:color w:val="212121"/>
          <w:sz w:val="28"/>
        </w:rPr>
        <w:t>单一经理的</w:t>
      </w:r>
      <w:r w:rsidRPr="00693B1E">
        <w:rPr>
          <w:rFonts w:ascii="宋体" w:eastAsia="宋体" w:hAnsi="宋体" w:cs="宋体" w:hint="eastAsia"/>
          <w:color w:val="212121"/>
          <w:sz w:val="28"/>
        </w:rPr>
        <w:t>对冲基金是</w:t>
      </w:r>
      <w:r w:rsidR="00FC366C" w:rsidRPr="00693B1E">
        <w:rPr>
          <w:rFonts w:ascii="宋体" w:eastAsia="宋体" w:hAnsi="宋体" w:cs="宋体" w:hint="eastAsia"/>
          <w:color w:val="212121"/>
          <w:sz w:val="28"/>
        </w:rPr>
        <w:t>美国的在岸基金</w:t>
      </w:r>
      <w:r w:rsidRPr="00693B1E">
        <w:rPr>
          <w:rFonts w:ascii="宋体" w:eastAsia="宋体" w:hAnsi="宋体" w:cs="宋体" w:hint="eastAsia"/>
          <w:color w:val="212121"/>
          <w:sz w:val="28"/>
        </w:rPr>
        <w:t>，</w:t>
      </w:r>
      <w:r w:rsidR="00FC366C" w:rsidRPr="00693B1E">
        <w:rPr>
          <w:rFonts w:ascii="Times New Roman" w:hAnsi="Times New Roman" w:cs="Times New Roman"/>
          <w:color w:val="212121"/>
          <w:sz w:val="28"/>
        </w:rPr>
        <w:t xml:space="preserve"> </w:t>
      </w:r>
      <w:r w:rsidRPr="00693B1E">
        <w:rPr>
          <w:rFonts w:ascii="Times New Roman" w:hAnsi="Times New Roman" w:cs="Times New Roman"/>
          <w:color w:val="212121"/>
          <w:sz w:val="28"/>
        </w:rPr>
        <w:t>66</w:t>
      </w:r>
      <w:r w:rsidR="00E3072B">
        <w:rPr>
          <w:rFonts w:ascii="宋体" w:eastAsia="宋体" w:hAnsi="宋体" w:cs="宋体" w:hint="eastAsia"/>
          <w:color w:val="212121"/>
          <w:sz w:val="28"/>
        </w:rPr>
        <w:t>％是</w:t>
      </w:r>
      <w:r w:rsidRPr="00693B1E">
        <w:rPr>
          <w:rFonts w:ascii="宋体" w:eastAsia="宋体" w:hAnsi="宋体" w:cs="宋体" w:hint="eastAsia"/>
          <w:color w:val="212121"/>
          <w:sz w:val="28"/>
        </w:rPr>
        <w:t>离岸</w:t>
      </w:r>
      <w:r w:rsidR="00FC366C"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，与</w:t>
      </w:r>
      <w:r w:rsidRPr="00693B1E">
        <w:rPr>
          <w:rFonts w:ascii="Times New Roman" w:hAnsi="Times New Roman" w:cs="Times New Roman"/>
          <w:color w:val="212121"/>
          <w:sz w:val="28"/>
        </w:rPr>
        <w:t>2006</w:t>
      </w:r>
      <w:r w:rsidRPr="00693B1E">
        <w:rPr>
          <w:rFonts w:ascii="宋体" w:eastAsia="宋体" w:hAnsi="宋体" w:cs="宋体" w:hint="eastAsia"/>
          <w:color w:val="212121"/>
          <w:sz w:val="28"/>
        </w:rPr>
        <w:t>年基本不变。</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Times New Roman" w:hAnsi="Times New Roman" w:cs="Times New Roman"/>
          <w:color w:val="212121"/>
          <w:sz w:val="28"/>
        </w:rPr>
        <w:t>13</w:t>
      </w:r>
      <w:r w:rsidRPr="00693B1E">
        <w:rPr>
          <w:rFonts w:ascii="宋体" w:eastAsia="宋体" w:hAnsi="宋体" w:cs="宋体" w:hint="eastAsia"/>
          <w:color w:val="212121"/>
          <w:sz w:val="28"/>
        </w:rPr>
        <w:t>％的</w:t>
      </w:r>
      <w:r w:rsidR="00B07B58" w:rsidRPr="00693B1E">
        <w:rPr>
          <w:rFonts w:ascii="宋体" w:eastAsia="宋体" w:hAnsi="宋体" w:cs="宋体" w:hint="eastAsia"/>
          <w:color w:val="212121"/>
          <w:sz w:val="28"/>
        </w:rPr>
        <w:t>FOF</w:t>
      </w:r>
      <w:r w:rsidRPr="00693B1E">
        <w:rPr>
          <w:rFonts w:ascii="宋体" w:eastAsia="宋体" w:hAnsi="宋体" w:cs="宋体" w:hint="eastAsia"/>
          <w:color w:val="212121"/>
          <w:sz w:val="28"/>
        </w:rPr>
        <w:t>是美国的</w:t>
      </w:r>
      <w:r w:rsidR="00FC366C" w:rsidRPr="00693B1E">
        <w:rPr>
          <w:rFonts w:ascii="宋体" w:eastAsia="宋体" w:hAnsi="宋体" w:cs="宋体" w:hint="eastAsia"/>
          <w:color w:val="212121"/>
          <w:sz w:val="28"/>
        </w:rPr>
        <w:t>在岸基金</w:t>
      </w:r>
      <w:r w:rsidRPr="00693B1E">
        <w:rPr>
          <w:rFonts w:ascii="宋体" w:eastAsia="宋体" w:hAnsi="宋体" w:cs="宋体" w:hint="eastAsia"/>
          <w:color w:val="212121"/>
          <w:sz w:val="28"/>
        </w:rPr>
        <w:t>，</w:t>
      </w:r>
      <w:r w:rsidRPr="00693B1E">
        <w:rPr>
          <w:rFonts w:ascii="Times New Roman" w:hAnsi="Times New Roman" w:cs="Times New Roman"/>
          <w:color w:val="212121"/>
          <w:sz w:val="28"/>
        </w:rPr>
        <w:t>87</w:t>
      </w:r>
      <w:r w:rsidR="00E3072B">
        <w:rPr>
          <w:rFonts w:ascii="宋体" w:eastAsia="宋体" w:hAnsi="宋体" w:cs="宋体" w:hint="eastAsia"/>
          <w:color w:val="212121"/>
          <w:sz w:val="28"/>
        </w:rPr>
        <w:t>％是</w:t>
      </w:r>
      <w:r w:rsidRPr="00693B1E">
        <w:rPr>
          <w:rFonts w:ascii="宋体" w:eastAsia="宋体" w:hAnsi="宋体" w:cs="宋体" w:hint="eastAsia"/>
          <w:color w:val="212121"/>
          <w:sz w:val="28"/>
        </w:rPr>
        <w:t>离岸</w:t>
      </w:r>
      <w:r w:rsidR="00FC366C"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8C611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r w:rsidRPr="00693B1E">
        <w:rPr>
          <w:rFonts w:ascii="宋体" w:eastAsia="宋体" w:hAnsi="宋体" w:cs="宋体" w:hint="eastAsia"/>
          <w:color w:val="212121"/>
          <w:sz w:val="28"/>
        </w:rPr>
        <w:t>数据</w:t>
      </w:r>
      <w:r w:rsidR="008D5F45" w:rsidRPr="00693B1E">
        <w:rPr>
          <w:rFonts w:ascii="宋体" w:eastAsia="宋体" w:hAnsi="宋体" w:cs="宋体" w:hint="eastAsia"/>
          <w:color w:val="212121"/>
          <w:sz w:val="28"/>
        </w:rPr>
        <w:t>显示</w:t>
      </w:r>
      <w:r w:rsidRPr="00693B1E">
        <w:rPr>
          <w:rFonts w:ascii="宋体" w:eastAsia="宋体" w:hAnsi="宋体" w:cs="宋体" w:hint="eastAsia"/>
          <w:color w:val="212121"/>
          <w:sz w:val="28"/>
        </w:rPr>
        <w:t>，</w:t>
      </w:r>
      <w:r w:rsidR="00B07B58" w:rsidRPr="00693B1E">
        <w:rPr>
          <w:rFonts w:ascii="宋体" w:eastAsia="宋体" w:hAnsi="宋体" w:cs="宋体" w:hint="eastAsia"/>
          <w:color w:val="212121"/>
          <w:sz w:val="28"/>
        </w:rPr>
        <w:t>FOF</w:t>
      </w:r>
      <w:r w:rsidR="00265C5F" w:rsidRPr="00693B1E">
        <w:rPr>
          <w:rFonts w:ascii="宋体" w:eastAsia="宋体" w:hAnsi="宋体" w:cs="宋体" w:hint="eastAsia"/>
          <w:color w:val="212121"/>
          <w:sz w:val="28"/>
        </w:rPr>
        <w:t>基金的总</w:t>
      </w:r>
      <w:r w:rsidRPr="00693B1E">
        <w:rPr>
          <w:rFonts w:ascii="宋体" w:eastAsia="宋体" w:hAnsi="宋体" w:cs="宋体" w:hint="eastAsia"/>
          <w:color w:val="212121"/>
          <w:sz w:val="28"/>
        </w:rPr>
        <w:t>资产约</w:t>
      </w:r>
      <w:r w:rsidR="00265C5F" w:rsidRPr="00693B1E">
        <w:rPr>
          <w:rFonts w:ascii="宋体" w:eastAsia="宋体" w:hAnsi="宋体" w:cs="宋体" w:hint="eastAsia"/>
          <w:color w:val="212121"/>
          <w:sz w:val="28"/>
        </w:rPr>
        <w:t>为</w:t>
      </w:r>
      <w:r w:rsidRPr="00693B1E">
        <w:rPr>
          <w:rFonts w:ascii="Times New Roman" w:hAnsi="Times New Roman" w:cs="Times New Roman"/>
          <w:color w:val="212121"/>
          <w:sz w:val="28"/>
        </w:rPr>
        <w:t>9,800</w:t>
      </w:r>
      <w:r w:rsidRPr="00693B1E">
        <w:rPr>
          <w:rFonts w:ascii="宋体" w:eastAsia="宋体" w:hAnsi="宋体" w:cs="宋体" w:hint="eastAsia"/>
          <w:color w:val="212121"/>
          <w:sz w:val="28"/>
        </w:rPr>
        <w:t>亿美元，三分之一的</w:t>
      </w:r>
      <w:r w:rsidR="00B07B58" w:rsidRPr="00693B1E">
        <w:rPr>
          <w:rFonts w:ascii="宋体" w:eastAsia="宋体" w:hAnsi="宋体" w:cs="宋体" w:hint="eastAsia"/>
          <w:color w:val="212121"/>
          <w:sz w:val="28"/>
        </w:rPr>
        <w:t>FOF</w:t>
      </w:r>
      <w:r w:rsidR="00265C5F"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管理</w:t>
      </w:r>
      <w:r w:rsidR="00265C5F" w:rsidRPr="00693B1E">
        <w:rPr>
          <w:rFonts w:ascii="宋体" w:eastAsia="宋体" w:hAnsi="宋体" w:cs="宋体" w:hint="eastAsia"/>
          <w:color w:val="212121"/>
          <w:sz w:val="28"/>
        </w:rPr>
        <w:t>着</w:t>
      </w:r>
      <w:r w:rsidRPr="00693B1E">
        <w:rPr>
          <w:rFonts w:ascii="宋体" w:eastAsia="宋体" w:hAnsi="宋体" w:cs="宋体" w:hint="eastAsia"/>
          <w:color w:val="212121"/>
          <w:sz w:val="28"/>
        </w:rPr>
        <w:t>少于</w:t>
      </w:r>
      <w:r w:rsidRPr="00693B1E">
        <w:rPr>
          <w:rFonts w:ascii="Times New Roman" w:hAnsi="Times New Roman" w:cs="Times New Roman"/>
          <w:color w:val="212121"/>
          <w:sz w:val="28"/>
        </w:rPr>
        <w:t>2500</w:t>
      </w:r>
      <w:r w:rsidRPr="00693B1E">
        <w:rPr>
          <w:rFonts w:ascii="宋体" w:eastAsia="宋体" w:hAnsi="宋体" w:cs="宋体" w:hint="eastAsia"/>
          <w:color w:val="212121"/>
          <w:sz w:val="28"/>
        </w:rPr>
        <w:t>万美元</w:t>
      </w:r>
      <w:r w:rsidR="00265C5F" w:rsidRPr="00693B1E">
        <w:rPr>
          <w:rFonts w:ascii="宋体" w:eastAsia="宋体" w:hAnsi="宋体" w:cs="宋体" w:hint="eastAsia"/>
          <w:color w:val="212121"/>
          <w:sz w:val="28"/>
        </w:rPr>
        <w:t>的资产</w:t>
      </w:r>
      <w:r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单一经理基金的资产</w:t>
      </w:r>
      <w:r w:rsidR="00E3072B">
        <w:rPr>
          <w:rFonts w:ascii="宋体" w:eastAsia="宋体" w:hAnsi="宋体" w:cs="宋体" w:hint="eastAsia"/>
          <w:color w:val="212121"/>
          <w:sz w:val="28"/>
        </w:rPr>
        <w:t>是</w:t>
      </w:r>
      <w:r w:rsidRPr="00693B1E">
        <w:rPr>
          <w:rFonts w:ascii="Times New Roman" w:hAnsi="Times New Roman" w:cs="Times New Roman"/>
          <w:color w:val="212121"/>
          <w:sz w:val="28"/>
        </w:rPr>
        <w:t>1.41</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美元，其中</w:t>
      </w:r>
      <w:r w:rsidRPr="00693B1E">
        <w:rPr>
          <w:rFonts w:ascii="Times New Roman" w:hAnsi="Times New Roman" w:cs="Times New Roman"/>
          <w:color w:val="212121"/>
          <w:sz w:val="28"/>
        </w:rPr>
        <w:t>250</w:t>
      </w:r>
      <w:r w:rsidRPr="00693B1E">
        <w:rPr>
          <w:rFonts w:ascii="宋体" w:eastAsia="宋体" w:hAnsi="宋体" w:cs="宋体" w:hint="eastAsia"/>
          <w:color w:val="212121"/>
          <w:sz w:val="28"/>
        </w:rPr>
        <w:t>个资产超过</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亿美元。三分之一的单一经理基金管理少于</w:t>
      </w:r>
      <w:r w:rsidRPr="00693B1E">
        <w:rPr>
          <w:rFonts w:ascii="Times New Roman" w:hAnsi="Times New Roman" w:cs="Times New Roman"/>
          <w:color w:val="212121"/>
          <w:sz w:val="28"/>
        </w:rPr>
        <w:t>2500</w:t>
      </w:r>
      <w:r w:rsidRPr="00693B1E">
        <w:rPr>
          <w:rFonts w:ascii="宋体" w:eastAsia="宋体" w:hAnsi="宋体" w:cs="宋体" w:hint="eastAsia"/>
          <w:color w:val="212121"/>
          <w:sz w:val="28"/>
        </w:rPr>
        <w:t>万美元。</w:t>
      </w: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pStyle w:val="HTML"/>
        <w:shd w:val="clear" w:color="auto" w:fill="FFFFFF"/>
        <w:spacing w:beforeLines="50" w:before="120" w:afterLines="50" w:after="120"/>
        <w:rPr>
          <w:rFonts w:ascii="宋体" w:eastAsia="宋体" w:hAnsi="宋体" w:cs="宋体"/>
          <w:b/>
          <w:color w:val="212121"/>
          <w:sz w:val="28"/>
          <w:u w:val="single"/>
        </w:rPr>
      </w:pPr>
      <w:r w:rsidRPr="00693B1E">
        <w:rPr>
          <w:rFonts w:ascii="宋体" w:eastAsia="宋体" w:hAnsi="宋体" w:cs="宋体" w:hint="eastAsia"/>
          <w:b/>
          <w:color w:val="212121"/>
          <w:sz w:val="28"/>
          <w:u w:val="single"/>
        </w:rPr>
        <w:t>对冲基金的制度化</w:t>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 w:val="28"/>
          <w:u w:val="single"/>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随着行业的发展</w:t>
      </w:r>
      <w:r w:rsidR="00753041" w:rsidRPr="00693B1E">
        <w:rPr>
          <w:rFonts w:ascii="宋体" w:eastAsia="宋体" w:hAnsi="宋体" w:cs="宋体" w:hint="eastAsia"/>
          <w:color w:val="212121"/>
          <w:sz w:val="28"/>
        </w:rPr>
        <w:t>，以及人们</w:t>
      </w:r>
      <w:r w:rsidRPr="00693B1E">
        <w:rPr>
          <w:rFonts w:ascii="宋体" w:eastAsia="宋体" w:hAnsi="宋体" w:cs="宋体" w:hint="eastAsia"/>
          <w:color w:val="212121"/>
          <w:sz w:val="28"/>
        </w:rPr>
        <w:t>对冲基金接受度</w:t>
      </w:r>
      <w:r w:rsidR="00753041" w:rsidRPr="00693B1E">
        <w:rPr>
          <w:rFonts w:ascii="宋体" w:eastAsia="宋体" w:hAnsi="宋体" w:cs="宋体" w:hint="eastAsia"/>
          <w:color w:val="212121"/>
          <w:sz w:val="28"/>
        </w:rPr>
        <w:t>的</w:t>
      </w:r>
      <w:r w:rsidR="00FC366C" w:rsidRPr="00693B1E">
        <w:rPr>
          <w:rFonts w:ascii="宋体" w:eastAsia="宋体" w:hAnsi="宋体" w:cs="宋体" w:hint="eastAsia"/>
          <w:color w:val="212121"/>
          <w:sz w:val="28"/>
        </w:rPr>
        <w:t>提高</w:t>
      </w:r>
      <w:r w:rsidRPr="00693B1E">
        <w:rPr>
          <w:rFonts w:ascii="宋体" w:eastAsia="宋体" w:hAnsi="宋体" w:cs="宋体" w:hint="eastAsia"/>
          <w:color w:val="212121"/>
          <w:sz w:val="28"/>
        </w:rPr>
        <w:t>，很多人说</w:t>
      </w:r>
      <w:r w:rsidR="00FC366C" w:rsidRPr="00693B1E">
        <w:rPr>
          <w:rFonts w:ascii="宋体" w:eastAsia="宋体" w:hAnsi="宋体" w:cs="宋体" w:hint="eastAsia"/>
          <w:color w:val="212121"/>
          <w:sz w:val="28"/>
        </w:rPr>
        <w:t>基金行业</w:t>
      </w:r>
      <w:r w:rsidRPr="00693B1E">
        <w:rPr>
          <w:rFonts w:ascii="宋体" w:eastAsia="宋体" w:hAnsi="宋体" w:cs="宋体" w:hint="eastAsia"/>
          <w:color w:val="212121"/>
          <w:sz w:val="28"/>
        </w:rPr>
        <w:t>正在制度化。这导致大型对冲基金继续</w:t>
      </w:r>
      <w:r w:rsidR="00265C5F" w:rsidRPr="00693B1E">
        <w:rPr>
          <w:rFonts w:ascii="宋体" w:eastAsia="宋体" w:hAnsi="宋体" w:cs="宋体" w:hint="eastAsia"/>
          <w:color w:val="212121"/>
          <w:sz w:val="28"/>
        </w:rPr>
        <w:t>发展</w:t>
      </w:r>
      <w:r w:rsidRPr="00693B1E">
        <w:rPr>
          <w:rFonts w:ascii="宋体" w:eastAsia="宋体" w:hAnsi="宋体" w:cs="宋体" w:hint="eastAsia"/>
          <w:color w:val="212121"/>
          <w:sz w:val="28"/>
        </w:rPr>
        <w:t>和扩张，</w:t>
      </w:r>
      <w:r w:rsidR="00FC366C" w:rsidRPr="00693B1E">
        <w:rPr>
          <w:rFonts w:ascii="宋体" w:eastAsia="宋体" w:hAnsi="宋体" w:cs="宋体" w:hint="eastAsia"/>
          <w:color w:val="212121"/>
          <w:sz w:val="28"/>
        </w:rPr>
        <w:t>有</w:t>
      </w:r>
      <w:r w:rsidR="00FC366C" w:rsidRPr="00693B1E">
        <w:rPr>
          <w:rFonts w:ascii="Times New Roman" w:hAnsi="Times New Roman" w:cs="Times New Roman"/>
          <w:color w:val="212121"/>
          <w:sz w:val="28"/>
        </w:rPr>
        <w:t xml:space="preserve"> </w:t>
      </w:r>
      <w:r w:rsidRPr="00693B1E">
        <w:rPr>
          <w:rFonts w:ascii="Times New Roman" w:hAnsi="Times New Roman" w:cs="Times New Roman"/>
          <w:color w:val="212121"/>
          <w:sz w:val="28"/>
        </w:rPr>
        <w:t>350</w:t>
      </w:r>
      <w:r w:rsidR="00FC366C" w:rsidRPr="00693B1E">
        <w:rPr>
          <w:rFonts w:ascii="宋体" w:eastAsia="宋体" w:hAnsi="宋体" w:cs="Times New Roman" w:hint="eastAsia"/>
          <w:color w:val="212121"/>
          <w:sz w:val="28"/>
        </w:rPr>
        <w:t>多个</w:t>
      </w:r>
      <w:r w:rsidR="00753041" w:rsidRPr="00693B1E">
        <w:rPr>
          <w:rFonts w:ascii="宋体" w:eastAsia="宋体" w:hAnsi="宋体" w:cs="宋体" w:hint="eastAsia"/>
          <w:color w:val="212121"/>
          <w:sz w:val="28"/>
        </w:rPr>
        <w:t>资产</w:t>
      </w:r>
      <w:r w:rsidR="00B07B58" w:rsidRPr="00693B1E">
        <w:rPr>
          <w:rFonts w:ascii="宋体" w:eastAsia="宋体" w:hAnsi="宋体" w:cs="宋体" w:hint="eastAsia"/>
          <w:color w:val="212121"/>
          <w:sz w:val="28"/>
        </w:rPr>
        <w:t>规模</w:t>
      </w:r>
      <w:r w:rsidRPr="00693B1E">
        <w:rPr>
          <w:rFonts w:ascii="宋体" w:eastAsia="宋体" w:hAnsi="宋体" w:cs="宋体" w:hint="eastAsia"/>
          <w:color w:val="212121"/>
          <w:sz w:val="28"/>
        </w:rPr>
        <w:t>大于</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亿美元</w:t>
      </w:r>
      <w:r w:rsidR="00FC366C" w:rsidRPr="00693B1E">
        <w:rPr>
          <w:rFonts w:ascii="宋体" w:eastAsia="宋体" w:hAnsi="宋体" w:cs="宋体" w:hint="eastAsia"/>
          <w:color w:val="212121"/>
          <w:sz w:val="28"/>
        </w:rPr>
        <w:t>的对冲基金产生</w:t>
      </w:r>
      <w:r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265C5F"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在审视</w:t>
      </w:r>
      <w:r w:rsidR="00E3072B">
        <w:rPr>
          <w:rFonts w:ascii="宋体" w:eastAsia="宋体" w:hAnsi="宋体" w:cs="宋体" w:hint="eastAsia"/>
          <w:color w:val="212121"/>
          <w:sz w:val="28"/>
        </w:rPr>
        <w:t>FOF</w:t>
      </w:r>
      <w:r w:rsidRPr="00693B1E">
        <w:rPr>
          <w:rFonts w:ascii="宋体" w:eastAsia="宋体" w:hAnsi="宋体" w:cs="宋体" w:hint="eastAsia"/>
          <w:color w:val="212121"/>
          <w:sz w:val="28"/>
        </w:rPr>
        <w:t>行业时，会发现它与</w:t>
      </w:r>
      <w:r w:rsidR="009A3335" w:rsidRPr="00693B1E">
        <w:rPr>
          <w:rFonts w:ascii="宋体" w:eastAsia="宋体" w:hAnsi="宋体" w:cs="宋体" w:hint="eastAsia"/>
          <w:color w:val="212121"/>
          <w:sz w:val="28"/>
        </w:rPr>
        <w:t>对冲基金</w:t>
      </w:r>
      <w:r w:rsidR="00A412D5" w:rsidRPr="00693B1E">
        <w:rPr>
          <w:rFonts w:ascii="宋体" w:eastAsia="宋体" w:hAnsi="宋体" w:cs="宋体" w:hint="eastAsia"/>
          <w:color w:val="212121"/>
          <w:sz w:val="28"/>
        </w:rPr>
        <w:t>有点</w:t>
      </w:r>
      <w:r w:rsidR="00520BF8" w:rsidRPr="00693B1E">
        <w:rPr>
          <w:rFonts w:ascii="宋体" w:eastAsia="宋体" w:hAnsi="宋体" w:cs="宋体" w:hint="eastAsia"/>
          <w:color w:val="212121"/>
          <w:sz w:val="28"/>
        </w:rPr>
        <w:t>不同</w:t>
      </w:r>
      <w:r w:rsidR="00A412D5" w:rsidRPr="00693B1E">
        <w:rPr>
          <w:rFonts w:ascii="宋体" w:eastAsia="宋体" w:hAnsi="宋体" w:cs="宋体" w:hint="eastAsia"/>
          <w:color w:val="212121"/>
          <w:sz w:val="28"/>
        </w:rPr>
        <w:t>。</w:t>
      </w:r>
      <w:r w:rsidR="00E3072B">
        <w:rPr>
          <w:rFonts w:ascii="宋体" w:eastAsia="宋体" w:hAnsi="宋体" w:cs="宋体" w:hint="eastAsia"/>
          <w:color w:val="212121"/>
          <w:sz w:val="28"/>
        </w:rPr>
        <w:t>FOF</w:t>
      </w:r>
      <w:r w:rsidR="00A412D5" w:rsidRPr="00693B1E">
        <w:rPr>
          <w:rFonts w:ascii="宋体" w:eastAsia="宋体" w:hAnsi="宋体" w:cs="宋体" w:hint="eastAsia"/>
          <w:color w:val="212121"/>
          <w:sz w:val="28"/>
        </w:rPr>
        <w:t>的</w:t>
      </w:r>
      <w:r w:rsidR="009A3335" w:rsidRPr="00693B1E">
        <w:rPr>
          <w:rFonts w:ascii="宋体" w:eastAsia="宋体" w:hAnsi="宋体" w:cs="宋体" w:hint="eastAsia"/>
          <w:color w:val="212121"/>
          <w:sz w:val="28"/>
        </w:rPr>
        <w:t>资产</w:t>
      </w:r>
      <w:r w:rsidR="00A412D5" w:rsidRPr="00693B1E">
        <w:rPr>
          <w:rFonts w:ascii="宋体" w:eastAsia="宋体" w:hAnsi="宋体" w:cs="宋体" w:hint="eastAsia"/>
          <w:color w:val="212121"/>
          <w:sz w:val="28"/>
        </w:rPr>
        <w:t>从</w:t>
      </w:r>
      <w:r w:rsidR="00A412D5" w:rsidRPr="00693B1E">
        <w:rPr>
          <w:rFonts w:ascii="Times New Roman" w:hAnsi="Times New Roman" w:cs="Times New Roman"/>
          <w:color w:val="212121"/>
          <w:sz w:val="28"/>
        </w:rPr>
        <w:t>2000</w:t>
      </w:r>
      <w:r w:rsidR="00A412D5" w:rsidRPr="00693B1E">
        <w:rPr>
          <w:rFonts w:ascii="宋体" w:eastAsia="宋体" w:hAnsi="宋体" w:cs="宋体" w:hint="eastAsia"/>
          <w:color w:val="212121"/>
          <w:sz w:val="28"/>
        </w:rPr>
        <w:t>年年底的</w:t>
      </w:r>
      <w:r w:rsidR="00A412D5" w:rsidRPr="00693B1E">
        <w:rPr>
          <w:rFonts w:ascii="Times New Roman" w:hAnsi="Times New Roman" w:cs="Times New Roman"/>
          <w:color w:val="212121"/>
          <w:sz w:val="28"/>
        </w:rPr>
        <w:t>840</w:t>
      </w:r>
      <w:r w:rsidR="00A412D5" w:rsidRPr="00693B1E">
        <w:rPr>
          <w:rFonts w:ascii="宋体" w:eastAsia="宋体" w:hAnsi="宋体" w:cs="宋体" w:hint="eastAsia"/>
          <w:color w:val="212121"/>
          <w:sz w:val="28"/>
        </w:rPr>
        <w:t>亿美元增长到</w:t>
      </w:r>
      <w:r w:rsidR="00A412D5" w:rsidRPr="00693B1E">
        <w:rPr>
          <w:rFonts w:ascii="inherit" w:hAnsi="inherit" w:hint="eastAsia"/>
          <w:color w:val="212121"/>
          <w:sz w:val="28"/>
        </w:rPr>
        <w:t>2008</w:t>
      </w:r>
      <w:r w:rsidR="00A412D5" w:rsidRPr="00693B1E">
        <w:rPr>
          <w:rFonts w:ascii="宋体" w:eastAsia="宋体" w:hAnsi="宋体" w:cs="宋体" w:hint="eastAsia"/>
          <w:color w:val="212121"/>
          <w:sz w:val="28"/>
        </w:rPr>
        <w:t>年</w:t>
      </w:r>
      <w:r w:rsidR="00A412D5" w:rsidRPr="00693B1E">
        <w:rPr>
          <w:rFonts w:ascii="Times New Roman" w:hAnsi="Times New Roman" w:cs="Times New Roman"/>
          <w:color w:val="212121"/>
          <w:sz w:val="28"/>
        </w:rPr>
        <w:t>1</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美元。根据</w:t>
      </w:r>
      <w:r w:rsidR="009A3335" w:rsidRPr="00693B1E">
        <w:rPr>
          <w:rFonts w:ascii="宋体" w:eastAsia="宋体" w:hAnsi="宋体" w:cs="宋体" w:hint="eastAsia"/>
          <w:color w:val="212121"/>
          <w:sz w:val="28"/>
        </w:rPr>
        <w:t>位于纽约的金融并购咨询和战略管理顾问公司</w:t>
      </w:r>
      <w:r w:rsidR="00A412D5" w:rsidRPr="00693B1E">
        <w:rPr>
          <w:rFonts w:ascii="Times New Roman" w:hAnsi="Times New Roman" w:cs="Times New Roman"/>
          <w:color w:val="212121"/>
          <w:sz w:val="28"/>
        </w:rPr>
        <w:t>Freeman</w:t>
      </w:r>
      <w:r w:rsidR="00A412D5" w:rsidRPr="00693B1E">
        <w:rPr>
          <w:rFonts w:ascii="宋体" w:eastAsia="宋体" w:hAnsi="宋体" w:cs="宋体" w:hint="eastAsia"/>
          <w:color w:val="212121"/>
          <w:sz w:val="28"/>
        </w:rPr>
        <w:t>＆</w:t>
      </w:r>
      <w:r w:rsidR="00A412D5" w:rsidRPr="00693B1E">
        <w:rPr>
          <w:rFonts w:ascii="Times New Roman" w:hAnsi="Times New Roman" w:cs="Times New Roman"/>
          <w:color w:val="212121"/>
          <w:sz w:val="28"/>
        </w:rPr>
        <w:t>Co LLC</w:t>
      </w:r>
      <w:r w:rsidR="00A412D5" w:rsidRPr="00693B1E">
        <w:rPr>
          <w:rFonts w:ascii="宋体" w:eastAsia="宋体" w:hAnsi="宋体" w:cs="宋体" w:hint="eastAsia"/>
          <w:color w:val="212121"/>
          <w:sz w:val="28"/>
        </w:rPr>
        <w:t>提供的数据，</w:t>
      </w:r>
      <w:r w:rsidR="00E3072B">
        <w:rPr>
          <w:rFonts w:ascii="宋体" w:eastAsia="宋体" w:hAnsi="宋体" w:cs="宋体" w:hint="eastAsia"/>
          <w:color w:val="212121"/>
          <w:sz w:val="28"/>
        </w:rPr>
        <w:t>自</w:t>
      </w:r>
      <w:r w:rsidR="009A3335" w:rsidRPr="00693B1E">
        <w:rPr>
          <w:rFonts w:ascii="宋体" w:eastAsia="宋体" w:hAnsi="宋体" w:cs="宋体" w:hint="eastAsia"/>
          <w:color w:val="212121"/>
          <w:sz w:val="28"/>
        </w:rPr>
        <w:t>2000年以来，</w:t>
      </w:r>
      <w:r w:rsidR="00E3072B">
        <w:rPr>
          <w:rFonts w:ascii="宋体" w:eastAsia="宋体" w:hAnsi="宋体" w:cs="宋体" w:hint="eastAsia"/>
          <w:color w:val="212121"/>
          <w:sz w:val="28"/>
        </w:rPr>
        <w:t>FOF</w:t>
      </w:r>
      <w:r w:rsidR="00797960" w:rsidRPr="00693B1E">
        <w:rPr>
          <w:rFonts w:ascii="宋体" w:eastAsia="宋体" w:hAnsi="宋体" w:cs="宋体" w:hint="eastAsia"/>
          <w:color w:val="212121"/>
          <w:sz w:val="28"/>
        </w:rPr>
        <w:t>的</w:t>
      </w:r>
      <w:r w:rsidR="00E3072B">
        <w:rPr>
          <w:rFonts w:ascii="宋体" w:eastAsia="宋体" w:hAnsi="宋体" w:cs="宋体" w:hint="eastAsia"/>
          <w:color w:val="212121"/>
          <w:sz w:val="28"/>
        </w:rPr>
        <w:t>复合</w:t>
      </w:r>
      <w:r w:rsidR="00A412D5" w:rsidRPr="00693B1E">
        <w:rPr>
          <w:rFonts w:ascii="宋体" w:eastAsia="宋体" w:hAnsi="宋体" w:cs="宋体" w:hint="eastAsia"/>
          <w:color w:val="212121"/>
          <w:sz w:val="28"/>
        </w:rPr>
        <w:t>年增长率是</w:t>
      </w:r>
      <w:r w:rsidR="00A412D5" w:rsidRPr="00693B1E">
        <w:rPr>
          <w:rFonts w:ascii="Times New Roman" w:hAnsi="Times New Roman" w:cs="Times New Roman"/>
          <w:color w:val="212121"/>
          <w:sz w:val="28"/>
        </w:rPr>
        <w:t>44.1</w:t>
      </w:r>
      <w:r w:rsidR="00A412D5" w:rsidRPr="00693B1E">
        <w:rPr>
          <w:rFonts w:ascii="宋体" w:eastAsia="宋体" w:hAnsi="宋体" w:cs="宋体" w:hint="eastAsia"/>
          <w:color w:val="212121"/>
          <w:sz w:val="28"/>
        </w:rPr>
        <w:t>％，</w:t>
      </w:r>
      <w:r w:rsidR="00797960" w:rsidRPr="00693B1E">
        <w:rPr>
          <w:rFonts w:ascii="宋体" w:eastAsia="宋体" w:hAnsi="宋体" w:cs="宋体" w:hint="eastAsia"/>
          <w:color w:val="212121"/>
          <w:sz w:val="28"/>
        </w:rPr>
        <w:t>而</w:t>
      </w:r>
      <w:r w:rsidR="009A3335" w:rsidRPr="00693B1E">
        <w:rPr>
          <w:rFonts w:ascii="宋体" w:eastAsia="宋体" w:hAnsi="宋体" w:cs="宋体" w:hint="eastAsia"/>
          <w:color w:val="212121"/>
          <w:sz w:val="28"/>
        </w:rPr>
        <w:t>对冲基金是</w:t>
      </w:r>
      <w:r w:rsidR="00A412D5" w:rsidRPr="00693B1E">
        <w:rPr>
          <w:rFonts w:ascii="Times New Roman" w:hAnsi="Times New Roman" w:cs="Times New Roman"/>
          <w:color w:val="212121"/>
          <w:sz w:val="28"/>
        </w:rPr>
        <w:t>21.3</w:t>
      </w:r>
      <w:r w:rsidR="00A412D5"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lastRenderedPageBreak/>
        <w:t>Freeman</w:t>
      </w:r>
      <w:r w:rsidRPr="00693B1E">
        <w:rPr>
          <w:rFonts w:ascii="宋体" w:eastAsia="宋体" w:hAnsi="宋体" w:cs="宋体" w:hint="eastAsia"/>
          <w:color w:val="212121"/>
          <w:sz w:val="28"/>
        </w:rPr>
        <w:t>的数据显示，</w:t>
      </w:r>
      <w:r w:rsidRPr="00693B1E">
        <w:rPr>
          <w:rFonts w:ascii="Times New Roman" w:hAnsi="Times New Roman" w:cs="Times New Roman"/>
          <w:color w:val="212121"/>
          <w:sz w:val="28"/>
        </w:rPr>
        <w:t>2,000</w:t>
      </w:r>
      <w:r w:rsidR="009A3335" w:rsidRPr="00693B1E">
        <w:rPr>
          <w:rFonts w:ascii="宋体" w:eastAsia="宋体" w:hAnsi="宋体" w:cs="宋体" w:hint="eastAsia"/>
          <w:color w:val="212121"/>
          <w:sz w:val="28"/>
        </w:rPr>
        <w:t>个</w:t>
      </w:r>
      <w:r w:rsidRPr="00693B1E">
        <w:rPr>
          <w:rFonts w:ascii="宋体" w:eastAsia="宋体" w:hAnsi="宋体" w:cs="宋体" w:hint="eastAsia"/>
          <w:color w:val="212121"/>
          <w:sz w:val="28"/>
        </w:rPr>
        <w:t>对冲基金和</w:t>
      </w:r>
      <w:r w:rsidR="00E3072B">
        <w:rPr>
          <w:rFonts w:ascii="宋体" w:eastAsia="宋体" w:hAnsi="宋体" w:cs="宋体" w:hint="eastAsia"/>
          <w:color w:val="212121"/>
          <w:sz w:val="28"/>
        </w:rPr>
        <w:t>FOF</w:t>
      </w:r>
      <w:r w:rsidR="009E25C6" w:rsidRPr="00693B1E">
        <w:rPr>
          <w:rFonts w:ascii="宋体" w:eastAsia="宋体" w:hAnsi="宋体" w:cs="宋体" w:hint="eastAsia"/>
          <w:color w:val="212121"/>
          <w:sz w:val="28"/>
        </w:rPr>
        <w:t>在</w:t>
      </w:r>
      <w:r w:rsidRPr="00693B1E">
        <w:rPr>
          <w:rFonts w:ascii="inherit" w:hAnsi="inherit" w:hint="eastAsia"/>
          <w:color w:val="212121"/>
          <w:sz w:val="28"/>
        </w:rPr>
        <w:t>2000</w:t>
      </w:r>
      <w:r w:rsidRPr="00693B1E">
        <w:rPr>
          <w:rFonts w:ascii="宋体" w:eastAsia="宋体" w:hAnsi="宋体" w:cs="宋体" w:hint="eastAsia"/>
          <w:color w:val="212121"/>
          <w:sz w:val="28"/>
        </w:rPr>
        <w:t>年</w:t>
      </w:r>
      <w:r w:rsidR="009E25C6" w:rsidRPr="00693B1E">
        <w:rPr>
          <w:rFonts w:ascii="宋体" w:eastAsia="宋体" w:hAnsi="宋体" w:cs="宋体" w:hint="eastAsia"/>
          <w:color w:val="212121"/>
          <w:sz w:val="28"/>
        </w:rPr>
        <w:t>资产为</w:t>
      </w:r>
      <w:r w:rsidRPr="00693B1E">
        <w:rPr>
          <w:rFonts w:ascii="Times New Roman" w:hAnsi="Times New Roman" w:cs="Times New Roman"/>
          <w:color w:val="212121"/>
          <w:sz w:val="28"/>
        </w:rPr>
        <w:t>4910</w:t>
      </w:r>
      <w:r w:rsidRPr="00693B1E">
        <w:rPr>
          <w:rFonts w:ascii="宋体" w:eastAsia="宋体" w:hAnsi="宋体" w:cs="宋体" w:hint="eastAsia"/>
          <w:color w:val="212121"/>
          <w:sz w:val="28"/>
        </w:rPr>
        <w:t>亿美元，</w:t>
      </w:r>
      <w:r w:rsidR="00797960" w:rsidRPr="00693B1E">
        <w:rPr>
          <w:rFonts w:ascii="宋体" w:eastAsia="宋体" w:hAnsi="宋体" w:cs="宋体" w:hint="eastAsia"/>
          <w:color w:val="212121"/>
          <w:sz w:val="28"/>
        </w:rPr>
        <w:t>其中</w:t>
      </w:r>
      <w:r w:rsidR="00E3072B">
        <w:rPr>
          <w:rFonts w:ascii="宋体" w:eastAsia="宋体" w:hAnsi="宋体" w:cs="宋体" w:hint="eastAsia"/>
          <w:color w:val="212121"/>
          <w:sz w:val="28"/>
        </w:rPr>
        <w:t>FOF</w:t>
      </w:r>
      <w:r w:rsidRPr="00693B1E">
        <w:rPr>
          <w:rFonts w:ascii="宋体" w:eastAsia="宋体" w:hAnsi="宋体" w:cs="宋体" w:hint="eastAsia"/>
          <w:color w:val="212121"/>
          <w:sz w:val="28"/>
        </w:rPr>
        <w:t>占</w:t>
      </w:r>
      <w:r w:rsidRPr="00693B1E">
        <w:rPr>
          <w:rFonts w:ascii="Times New Roman" w:hAnsi="Times New Roman" w:cs="Times New Roman"/>
          <w:color w:val="212121"/>
          <w:sz w:val="28"/>
        </w:rPr>
        <w:t>17</w:t>
      </w:r>
      <w:r w:rsidRPr="00693B1E">
        <w:rPr>
          <w:rFonts w:ascii="宋体" w:eastAsia="宋体" w:hAnsi="宋体" w:cs="宋体" w:hint="eastAsia"/>
          <w:color w:val="212121"/>
          <w:sz w:val="28"/>
        </w:rPr>
        <w:t>％，</w:t>
      </w:r>
      <w:r w:rsidRPr="00693B1E">
        <w:rPr>
          <w:rFonts w:ascii="Times New Roman" w:hAnsi="Times New Roman" w:cs="Times New Roman"/>
          <w:color w:val="212121"/>
          <w:sz w:val="28"/>
        </w:rPr>
        <w:t>2007</w:t>
      </w:r>
      <w:r w:rsidRPr="00693B1E">
        <w:rPr>
          <w:rFonts w:ascii="宋体" w:eastAsia="宋体" w:hAnsi="宋体" w:cs="宋体" w:hint="eastAsia"/>
          <w:color w:val="212121"/>
          <w:sz w:val="28"/>
        </w:rPr>
        <w:t>年第三季度总额为</w:t>
      </w:r>
      <w:r w:rsidRPr="00693B1E">
        <w:rPr>
          <w:rFonts w:ascii="Times New Roman" w:hAnsi="Times New Roman" w:cs="Times New Roman"/>
          <w:color w:val="212121"/>
          <w:sz w:val="28"/>
        </w:rPr>
        <w:t>18.1</w:t>
      </w:r>
      <w:r w:rsidRPr="00693B1E">
        <w:rPr>
          <w:rFonts w:ascii="宋体" w:eastAsia="宋体" w:hAnsi="宋体" w:cs="宋体" w:hint="eastAsia"/>
          <w:color w:val="212121"/>
          <w:sz w:val="28"/>
        </w:rPr>
        <w:t>亿美元，</w:t>
      </w:r>
      <w:r w:rsidR="00B07B58" w:rsidRPr="00693B1E">
        <w:rPr>
          <w:rFonts w:ascii="宋体" w:eastAsia="宋体" w:hAnsi="宋体" w:cs="宋体" w:hint="eastAsia"/>
          <w:color w:val="212121"/>
          <w:sz w:val="28"/>
        </w:rPr>
        <w:t>FOF</w:t>
      </w:r>
      <w:r w:rsidR="00E1369C" w:rsidRPr="00693B1E">
        <w:rPr>
          <w:rFonts w:ascii="宋体" w:eastAsia="宋体" w:hAnsi="宋体" w:cs="宋体" w:hint="eastAsia"/>
          <w:color w:val="212121"/>
          <w:sz w:val="28"/>
        </w:rPr>
        <w:t>资产</w:t>
      </w:r>
      <w:r w:rsidRPr="00693B1E">
        <w:rPr>
          <w:rFonts w:ascii="宋体" w:eastAsia="宋体" w:hAnsi="宋体" w:cs="宋体" w:hint="eastAsia"/>
          <w:color w:val="212121"/>
          <w:sz w:val="28"/>
        </w:rPr>
        <w:t>占</w:t>
      </w:r>
      <w:r w:rsidR="00E3072B">
        <w:rPr>
          <w:rFonts w:ascii="宋体" w:eastAsia="宋体" w:hAnsi="宋体" w:cs="宋体" w:hint="eastAsia"/>
          <w:color w:val="212121"/>
          <w:sz w:val="28"/>
        </w:rPr>
        <w:t>全部</w:t>
      </w:r>
      <w:r w:rsidRPr="00693B1E">
        <w:rPr>
          <w:rFonts w:ascii="宋体" w:eastAsia="宋体" w:hAnsi="宋体" w:cs="宋体" w:hint="eastAsia"/>
          <w:color w:val="212121"/>
          <w:sz w:val="28"/>
        </w:rPr>
        <w:t>对冲基金资产</w:t>
      </w:r>
      <w:r w:rsidR="00E1369C" w:rsidRPr="00693B1E">
        <w:rPr>
          <w:rFonts w:ascii="宋体" w:eastAsia="宋体" w:hAnsi="宋体" w:cs="宋体" w:hint="eastAsia"/>
          <w:color w:val="212121"/>
          <w:sz w:val="28"/>
        </w:rPr>
        <w:t>的55%</w:t>
      </w:r>
      <w:r w:rsidRPr="00693B1E">
        <w:rPr>
          <w:rFonts w:ascii="宋体" w:eastAsia="宋体" w:hAnsi="宋体" w:cs="宋体" w:hint="eastAsia"/>
          <w:color w:val="212121"/>
          <w:sz w:val="28"/>
        </w:rPr>
        <w:t>。显然，随着</w:t>
      </w:r>
      <w:r w:rsidR="00DE2E07" w:rsidRPr="00693B1E">
        <w:rPr>
          <w:rFonts w:ascii="宋体" w:eastAsia="宋体" w:hAnsi="宋体" w:cs="宋体" w:hint="eastAsia"/>
          <w:color w:val="212121"/>
          <w:sz w:val="28"/>
        </w:rPr>
        <w:t>越来越多的</w:t>
      </w:r>
      <w:r w:rsidRPr="00693B1E">
        <w:rPr>
          <w:rFonts w:ascii="宋体" w:eastAsia="宋体" w:hAnsi="宋体" w:cs="宋体" w:hint="eastAsia"/>
          <w:color w:val="212121"/>
          <w:sz w:val="28"/>
        </w:rPr>
        <w:t>投资者</w:t>
      </w:r>
      <w:r w:rsidR="00DE2E07" w:rsidRPr="00693B1E">
        <w:rPr>
          <w:rFonts w:ascii="宋体" w:eastAsia="宋体" w:hAnsi="宋体" w:cs="宋体" w:hint="eastAsia"/>
          <w:color w:val="212121"/>
          <w:sz w:val="28"/>
        </w:rPr>
        <w:t>进入</w:t>
      </w:r>
      <w:r w:rsidRPr="00693B1E">
        <w:rPr>
          <w:rFonts w:ascii="宋体" w:eastAsia="宋体" w:hAnsi="宋体" w:cs="宋体" w:hint="eastAsia"/>
          <w:color w:val="212121"/>
          <w:sz w:val="28"/>
        </w:rPr>
        <w:t>对冲基金，</w:t>
      </w:r>
      <w:r w:rsidR="00B07B58" w:rsidRPr="00693B1E">
        <w:rPr>
          <w:rFonts w:ascii="宋体" w:eastAsia="宋体" w:hAnsi="宋体" w:cs="宋体" w:hint="eastAsia"/>
          <w:color w:val="212121"/>
          <w:sz w:val="28"/>
        </w:rPr>
        <w:t>FOF</w:t>
      </w:r>
      <w:r w:rsidR="00DE2E07" w:rsidRPr="00693B1E">
        <w:rPr>
          <w:rFonts w:ascii="宋体" w:eastAsia="宋体" w:hAnsi="宋体" w:cs="宋体" w:hint="eastAsia"/>
          <w:color w:val="212121"/>
          <w:sz w:val="28"/>
        </w:rPr>
        <w:t>获益最大</w:t>
      </w:r>
      <w:r w:rsidR="009E25C6" w:rsidRPr="00693B1E">
        <w:rPr>
          <w:rFonts w:ascii="宋体" w:eastAsia="宋体" w:hAnsi="宋体" w:cs="宋体" w:hint="eastAsia"/>
          <w:color w:val="212121"/>
          <w:sz w:val="28"/>
        </w:rPr>
        <w:t>。</w:t>
      </w:r>
      <w:r w:rsidR="00037CE5">
        <w:rPr>
          <w:rStyle w:val="a8"/>
          <w:rFonts w:ascii="宋体" w:eastAsia="宋体" w:hAnsi="宋体" w:cs="宋体"/>
          <w:color w:val="212121"/>
          <w:sz w:val="28"/>
        </w:rPr>
        <w:footnoteReference w:id="3"/>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Cs w:val="14"/>
          <w:shd w:val="clear" w:color="auto" w:fill="FFFFFF"/>
        </w:rPr>
      </w:pPr>
      <w:r w:rsidRPr="00693B1E">
        <w:rPr>
          <w:sz w:val="28"/>
        </w:rPr>
        <w:br/>
      </w:r>
      <w:r w:rsidR="00DE2E07" w:rsidRPr="00693B1E">
        <w:rPr>
          <w:rFonts w:ascii="宋体" w:eastAsia="宋体" w:hAnsi="宋体" w:cs="宋体" w:hint="eastAsia"/>
          <w:color w:val="212121"/>
          <w:sz w:val="28"/>
        </w:rPr>
        <w:t>人们</w:t>
      </w:r>
      <w:r w:rsidR="009E25C6" w:rsidRPr="00693B1E">
        <w:rPr>
          <w:rFonts w:ascii="宋体" w:eastAsia="宋体" w:hAnsi="宋体" w:cs="宋体" w:hint="eastAsia"/>
          <w:color w:val="212121"/>
          <w:sz w:val="28"/>
        </w:rPr>
        <w:t>在</w:t>
      </w:r>
      <w:r w:rsidRPr="00693B1E">
        <w:rPr>
          <w:rFonts w:ascii="宋体" w:eastAsia="宋体" w:hAnsi="宋体" w:cs="宋体" w:hint="eastAsia"/>
          <w:color w:val="212121"/>
          <w:sz w:val="28"/>
        </w:rPr>
        <w:t>启动</w:t>
      </w:r>
      <w:r w:rsidR="00DE2E07" w:rsidRPr="00693B1E">
        <w:rPr>
          <w:rFonts w:ascii="宋体" w:eastAsia="宋体" w:hAnsi="宋体" w:cs="宋体" w:hint="eastAsia"/>
          <w:color w:val="212121"/>
          <w:sz w:val="28"/>
        </w:rPr>
        <w:t>一个</w:t>
      </w:r>
      <w:r w:rsidRPr="00693B1E">
        <w:rPr>
          <w:rFonts w:ascii="宋体" w:eastAsia="宋体" w:hAnsi="宋体" w:cs="宋体" w:hint="eastAsia"/>
          <w:color w:val="212121"/>
          <w:sz w:val="28"/>
        </w:rPr>
        <w:t>对冲基金或</w:t>
      </w:r>
      <w:r w:rsidR="00B07B58" w:rsidRPr="00693B1E">
        <w:rPr>
          <w:rFonts w:ascii="宋体" w:eastAsia="宋体" w:hAnsi="宋体" w:cs="宋体" w:hint="eastAsia"/>
          <w:color w:val="212121"/>
          <w:sz w:val="28"/>
        </w:rPr>
        <w:t>FOF</w:t>
      </w:r>
      <w:r w:rsidR="009E25C6" w:rsidRPr="00693B1E">
        <w:rPr>
          <w:rFonts w:ascii="宋体" w:eastAsia="宋体" w:hAnsi="宋体" w:cs="宋体" w:hint="eastAsia"/>
          <w:color w:val="212121"/>
          <w:sz w:val="28"/>
        </w:rPr>
        <w:t>时常常问起的一个问题</w:t>
      </w:r>
      <w:r w:rsidRPr="00693B1E">
        <w:rPr>
          <w:rFonts w:ascii="宋体" w:eastAsia="宋体" w:hAnsi="宋体" w:cs="宋体" w:hint="eastAsia"/>
          <w:color w:val="212121"/>
          <w:sz w:val="28"/>
        </w:rPr>
        <w:t>是：进入的障碍是什么？</w:t>
      </w:r>
      <w:r w:rsidR="00DE2E07" w:rsidRPr="00693B1E">
        <w:rPr>
          <w:rFonts w:ascii="宋体" w:eastAsia="宋体" w:hAnsi="宋体" w:cs="宋体" w:hint="eastAsia"/>
          <w:color w:val="212121"/>
          <w:sz w:val="28"/>
        </w:rPr>
        <w:t>在这里，</w:t>
      </w:r>
      <w:r w:rsidRPr="00693B1E">
        <w:rPr>
          <w:rFonts w:ascii="宋体" w:eastAsia="宋体" w:hAnsi="宋体" w:cs="宋体" w:hint="eastAsia"/>
          <w:color w:val="212121"/>
          <w:sz w:val="28"/>
        </w:rPr>
        <w:t>我们提出一个</w:t>
      </w:r>
      <w:r w:rsidR="00E3072B">
        <w:rPr>
          <w:rFonts w:ascii="宋体" w:eastAsia="宋体" w:hAnsi="宋体" w:cs="宋体" w:hint="eastAsia"/>
          <w:color w:val="212121"/>
          <w:sz w:val="28"/>
        </w:rPr>
        <w:t>不同的问题，它也是</w:t>
      </w:r>
      <w:r w:rsidR="009E25C6" w:rsidRPr="00693B1E">
        <w:rPr>
          <w:rFonts w:ascii="宋体" w:eastAsia="宋体" w:hAnsi="宋体" w:cs="宋体" w:hint="eastAsia"/>
          <w:color w:val="212121"/>
          <w:sz w:val="28"/>
        </w:rPr>
        <w:t>许多投资者</w:t>
      </w:r>
      <w:r w:rsidR="00DE2E07" w:rsidRPr="00693B1E">
        <w:rPr>
          <w:rFonts w:ascii="宋体" w:eastAsia="宋体" w:hAnsi="宋体" w:cs="宋体" w:hint="eastAsia"/>
          <w:color w:val="212121"/>
          <w:sz w:val="28"/>
        </w:rPr>
        <w:t>常常</w:t>
      </w:r>
      <w:r w:rsidR="00E3072B">
        <w:rPr>
          <w:rFonts w:ascii="宋体" w:eastAsia="宋体" w:hAnsi="宋体" w:cs="宋体" w:hint="eastAsia"/>
          <w:color w:val="212121"/>
          <w:sz w:val="28"/>
        </w:rPr>
        <w:t>提出的</w:t>
      </w:r>
      <w:r w:rsidRPr="00693B1E">
        <w:rPr>
          <w:rFonts w:ascii="宋体" w:eastAsia="宋体" w:hAnsi="宋体" w:cs="宋体" w:hint="eastAsia"/>
          <w:color w:val="212121"/>
          <w:sz w:val="28"/>
        </w:rPr>
        <w:t>：投资</w:t>
      </w:r>
      <w:r w:rsidR="00B07B58" w:rsidRPr="00693B1E">
        <w:rPr>
          <w:rFonts w:ascii="宋体" w:eastAsia="宋体" w:hAnsi="宋体" w:cs="宋体" w:hint="eastAsia"/>
          <w:color w:val="212121"/>
          <w:sz w:val="28"/>
        </w:rPr>
        <w:t>FOF</w:t>
      </w:r>
      <w:r w:rsidRPr="00693B1E">
        <w:rPr>
          <w:rFonts w:ascii="宋体" w:eastAsia="宋体" w:hAnsi="宋体" w:cs="宋体" w:hint="eastAsia"/>
          <w:color w:val="212121"/>
          <w:sz w:val="28"/>
        </w:rPr>
        <w:t>的障碍是什么？</w:t>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Cs w:val="14"/>
          <w:shd w:val="clear" w:color="auto" w:fill="FFFFFF"/>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高收费或</w:t>
      </w:r>
      <w:r w:rsidR="005637FD" w:rsidRPr="00693B1E">
        <w:rPr>
          <w:rFonts w:ascii="宋体" w:eastAsia="宋体" w:hAnsi="宋体" w:cs="宋体" w:hint="eastAsia"/>
          <w:color w:val="212121"/>
          <w:sz w:val="28"/>
        </w:rPr>
        <w:t>双重</w:t>
      </w:r>
      <w:r w:rsidRPr="00693B1E">
        <w:rPr>
          <w:rFonts w:ascii="宋体" w:eastAsia="宋体" w:hAnsi="宋体" w:cs="宋体" w:hint="eastAsia"/>
          <w:color w:val="212121"/>
          <w:sz w:val="28"/>
        </w:rPr>
        <w:t>收费的存在</w:t>
      </w:r>
      <w:r w:rsidR="005637FD" w:rsidRPr="00693B1E">
        <w:rPr>
          <w:rFonts w:ascii="宋体" w:eastAsia="宋体" w:hAnsi="宋体" w:cs="宋体" w:hint="eastAsia"/>
          <w:color w:val="212121"/>
          <w:sz w:val="28"/>
        </w:rPr>
        <w:t>，</w:t>
      </w:r>
      <w:r w:rsidR="00B07B58" w:rsidRPr="00693B1E">
        <w:rPr>
          <w:rFonts w:ascii="宋体" w:eastAsia="宋体" w:hAnsi="宋体" w:cs="宋体" w:hint="eastAsia"/>
          <w:color w:val="212121"/>
          <w:sz w:val="28"/>
        </w:rPr>
        <w:t>被认为</w:t>
      </w:r>
      <w:r w:rsidR="00DE2E07" w:rsidRPr="00693B1E">
        <w:rPr>
          <w:rFonts w:ascii="宋体" w:eastAsia="宋体" w:hAnsi="宋体" w:cs="宋体" w:hint="eastAsia"/>
          <w:color w:val="212121"/>
          <w:sz w:val="28"/>
        </w:rPr>
        <w:t>是</w:t>
      </w:r>
      <w:r w:rsidR="00B07B58" w:rsidRPr="00693B1E">
        <w:rPr>
          <w:rFonts w:ascii="宋体" w:eastAsia="宋体" w:hAnsi="宋体" w:cs="宋体" w:hint="eastAsia"/>
          <w:color w:val="212121"/>
          <w:sz w:val="28"/>
        </w:rPr>
        <w:t>最普遍的</w:t>
      </w:r>
      <w:r w:rsidRPr="00693B1E">
        <w:rPr>
          <w:rFonts w:ascii="宋体" w:eastAsia="宋体" w:hAnsi="宋体" w:cs="宋体" w:hint="eastAsia"/>
          <w:color w:val="212121"/>
          <w:sz w:val="28"/>
        </w:rPr>
        <w:t>投资障碍。</w:t>
      </w:r>
      <w:r w:rsidR="003F7BA6" w:rsidRPr="00693B1E">
        <w:rPr>
          <w:rFonts w:ascii="宋体" w:eastAsia="宋体" w:hAnsi="宋体" w:cs="宋体" w:hint="eastAsia"/>
          <w:color w:val="212121"/>
          <w:sz w:val="28"/>
        </w:rPr>
        <w:t>在</w:t>
      </w:r>
      <w:r w:rsidR="00B07B58" w:rsidRPr="00693B1E">
        <w:rPr>
          <w:rFonts w:ascii="宋体" w:eastAsia="宋体" w:hAnsi="宋体" w:cs="宋体" w:hint="eastAsia"/>
          <w:color w:val="212121"/>
          <w:sz w:val="28"/>
        </w:rPr>
        <w:t>麦道夫</w:t>
      </w:r>
      <w:r w:rsidR="003F7BA6" w:rsidRPr="00693B1E">
        <w:rPr>
          <w:rFonts w:ascii="宋体" w:eastAsia="宋体" w:hAnsi="宋体" w:cs="宋体" w:hint="eastAsia"/>
          <w:color w:val="212121"/>
          <w:sz w:val="28"/>
        </w:rPr>
        <w:t>欺诈案发生后，</w:t>
      </w:r>
      <w:r w:rsidR="00DE2E07" w:rsidRPr="00693B1E">
        <w:rPr>
          <w:rFonts w:ascii="宋体" w:eastAsia="宋体" w:hAnsi="宋体" w:cs="宋体" w:hint="eastAsia"/>
          <w:color w:val="212121"/>
          <w:sz w:val="28"/>
        </w:rPr>
        <w:t>这种观点更加甚嚣尘上。但是，</w:t>
      </w:r>
      <w:r w:rsidR="003F7BA6" w:rsidRPr="00693B1E">
        <w:rPr>
          <w:rFonts w:ascii="宋体" w:eastAsia="宋体" w:hAnsi="宋体" w:cs="宋体" w:hint="eastAsia"/>
          <w:color w:val="212121"/>
          <w:sz w:val="28"/>
        </w:rPr>
        <w:t>如果</w:t>
      </w:r>
      <w:r w:rsidR="00DE2E07" w:rsidRPr="00693B1E">
        <w:rPr>
          <w:rFonts w:ascii="宋体" w:eastAsia="宋体" w:hAnsi="宋体" w:cs="宋体" w:hint="eastAsia"/>
          <w:color w:val="212121"/>
          <w:sz w:val="28"/>
        </w:rPr>
        <w:t>撇开</w:t>
      </w:r>
      <w:r w:rsidRPr="00693B1E">
        <w:rPr>
          <w:rFonts w:ascii="宋体" w:eastAsia="宋体" w:hAnsi="宋体" w:cs="宋体" w:hint="eastAsia"/>
          <w:color w:val="212121"/>
          <w:sz w:val="28"/>
        </w:rPr>
        <w:t>欺诈</w:t>
      </w:r>
      <w:r w:rsidR="00DE2E07" w:rsidRPr="00693B1E">
        <w:rPr>
          <w:rFonts w:ascii="宋体" w:eastAsia="宋体" w:hAnsi="宋体" w:cs="宋体" w:hint="eastAsia"/>
          <w:color w:val="212121"/>
          <w:sz w:val="28"/>
        </w:rPr>
        <w:t>问题</w:t>
      </w:r>
      <w:r w:rsidRPr="00693B1E">
        <w:rPr>
          <w:rFonts w:ascii="宋体" w:eastAsia="宋体" w:hAnsi="宋体" w:cs="宋体" w:hint="eastAsia"/>
          <w:color w:val="212121"/>
          <w:sz w:val="28"/>
        </w:rPr>
        <w:t>，</w:t>
      </w:r>
      <w:r w:rsidR="00BA0370" w:rsidRPr="00693B1E">
        <w:rPr>
          <w:rFonts w:ascii="宋体" w:eastAsia="宋体" w:hAnsi="宋体" w:cs="宋体" w:hint="eastAsia"/>
          <w:color w:val="212121"/>
          <w:sz w:val="28"/>
        </w:rPr>
        <w:t>更</w:t>
      </w:r>
      <w:r w:rsidRPr="00693B1E">
        <w:rPr>
          <w:rFonts w:ascii="宋体" w:eastAsia="宋体" w:hAnsi="宋体" w:cs="宋体" w:hint="eastAsia"/>
          <w:color w:val="212121"/>
          <w:sz w:val="28"/>
        </w:rPr>
        <w:t>长期</w:t>
      </w:r>
      <w:r w:rsidR="00BA0370" w:rsidRPr="00693B1E">
        <w:rPr>
          <w:rFonts w:ascii="宋体" w:eastAsia="宋体" w:hAnsi="宋体" w:cs="宋体" w:hint="eastAsia"/>
          <w:color w:val="212121"/>
          <w:sz w:val="28"/>
        </w:rPr>
        <w:t>的FOF</w:t>
      </w:r>
      <w:r w:rsidRPr="00693B1E">
        <w:rPr>
          <w:rFonts w:ascii="宋体" w:eastAsia="宋体" w:hAnsi="宋体" w:cs="宋体" w:hint="eastAsia"/>
          <w:color w:val="212121"/>
          <w:sz w:val="28"/>
        </w:rPr>
        <w:t>投资者</w:t>
      </w:r>
      <w:r w:rsidR="00DE2E07" w:rsidRPr="00693B1E">
        <w:rPr>
          <w:rFonts w:ascii="宋体" w:eastAsia="宋体" w:hAnsi="宋体" w:cs="宋体" w:hint="eastAsia"/>
          <w:color w:val="212121"/>
          <w:sz w:val="28"/>
        </w:rPr>
        <w:t>看起来</w:t>
      </w:r>
      <w:r w:rsidR="00BA0370" w:rsidRPr="00693B1E">
        <w:rPr>
          <w:rFonts w:ascii="宋体" w:eastAsia="宋体" w:hAnsi="宋体" w:cs="宋体" w:hint="eastAsia"/>
          <w:color w:val="212121"/>
          <w:sz w:val="28"/>
        </w:rPr>
        <w:t>似乎比新投资者</w:t>
      </w:r>
      <w:r w:rsidR="00DE2E07" w:rsidRPr="00693B1E">
        <w:rPr>
          <w:rFonts w:ascii="宋体" w:eastAsia="宋体" w:hAnsi="宋体" w:cs="宋体" w:hint="eastAsia"/>
          <w:color w:val="212121"/>
          <w:sz w:val="28"/>
        </w:rPr>
        <w:t>更满意这种安排</w:t>
      </w:r>
      <w:r w:rsidRPr="00693B1E">
        <w:rPr>
          <w:rFonts w:ascii="宋体" w:eastAsia="宋体" w:hAnsi="宋体" w:cs="宋体" w:hint="eastAsia"/>
          <w:color w:val="212121"/>
          <w:sz w:val="28"/>
        </w:rPr>
        <w:t>。我们相信</w:t>
      </w:r>
      <w:r w:rsidR="00434067" w:rsidRPr="00693B1E">
        <w:rPr>
          <w:rFonts w:ascii="宋体" w:eastAsia="宋体" w:hAnsi="宋体" w:cs="宋体" w:hint="eastAsia"/>
          <w:color w:val="212121"/>
          <w:sz w:val="28"/>
        </w:rPr>
        <w:t>那些</w:t>
      </w:r>
      <w:r w:rsidR="0000478D">
        <w:rPr>
          <w:rFonts w:ascii="宋体" w:eastAsia="宋体" w:hAnsi="宋体" w:cs="宋体" w:hint="eastAsia"/>
          <w:color w:val="212121"/>
          <w:sz w:val="28"/>
        </w:rPr>
        <w:t>针对</w:t>
      </w:r>
      <w:r w:rsidR="00BA0370" w:rsidRPr="00693B1E">
        <w:rPr>
          <w:rFonts w:ascii="宋体" w:eastAsia="宋体" w:hAnsi="宋体" w:cs="宋体" w:hint="eastAsia"/>
          <w:color w:val="212121"/>
          <w:sz w:val="28"/>
        </w:rPr>
        <w:t>双重</w:t>
      </w:r>
      <w:r w:rsidR="00434067" w:rsidRPr="00693B1E">
        <w:rPr>
          <w:rFonts w:ascii="宋体" w:eastAsia="宋体" w:hAnsi="宋体" w:cs="宋体" w:hint="eastAsia"/>
          <w:color w:val="212121"/>
          <w:sz w:val="28"/>
        </w:rPr>
        <w:t>收</w:t>
      </w:r>
      <w:r w:rsidRPr="00693B1E">
        <w:rPr>
          <w:rFonts w:ascii="宋体" w:eastAsia="宋体" w:hAnsi="宋体" w:cs="宋体" w:hint="eastAsia"/>
          <w:color w:val="212121"/>
          <w:sz w:val="28"/>
        </w:rPr>
        <w:t>费</w:t>
      </w:r>
      <w:r w:rsidR="00BA0370" w:rsidRPr="00693B1E">
        <w:rPr>
          <w:rFonts w:ascii="宋体" w:eastAsia="宋体" w:hAnsi="宋体" w:cs="宋体" w:hint="eastAsia"/>
          <w:color w:val="212121"/>
          <w:sz w:val="28"/>
        </w:rPr>
        <w:t>（虽然这确实是基于实际情况）</w:t>
      </w:r>
      <w:r w:rsidR="0000478D">
        <w:rPr>
          <w:rFonts w:ascii="宋体" w:eastAsia="宋体" w:hAnsi="宋体" w:cs="宋体" w:hint="eastAsia"/>
          <w:color w:val="212121"/>
          <w:sz w:val="28"/>
        </w:rPr>
        <w:t>的批评</w:t>
      </w:r>
      <w:r w:rsidR="006324EB" w:rsidRPr="00693B1E">
        <w:rPr>
          <w:rFonts w:ascii="宋体" w:eastAsia="宋体" w:hAnsi="宋体" w:cs="宋体" w:hint="eastAsia"/>
          <w:color w:val="212121"/>
          <w:sz w:val="28"/>
        </w:rPr>
        <w:t>是没有道理的，毕竟，成熟的</w:t>
      </w:r>
      <w:r w:rsidR="00B07B58" w:rsidRPr="00693B1E">
        <w:rPr>
          <w:rFonts w:ascii="宋体" w:eastAsia="宋体" w:hAnsi="宋体" w:cs="宋体" w:hint="eastAsia"/>
          <w:color w:val="212121"/>
          <w:sz w:val="28"/>
        </w:rPr>
        <w:t>FOF</w:t>
      </w:r>
      <w:r w:rsidR="006324EB" w:rsidRPr="00693B1E">
        <w:rPr>
          <w:rFonts w:ascii="宋体" w:eastAsia="宋体" w:hAnsi="宋体" w:cs="宋体" w:hint="eastAsia"/>
          <w:color w:val="212121"/>
          <w:sz w:val="28"/>
        </w:rPr>
        <w:t>机构</w:t>
      </w:r>
      <w:r w:rsidRPr="00693B1E">
        <w:rPr>
          <w:rFonts w:ascii="宋体" w:eastAsia="宋体" w:hAnsi="宋体" w:cs="宋体" w:hint="eastAsia"/>
          <w:color w:val="212121"/>
          <w:sz w:val="28"/>
        </w:rPr>
        <w:t>在投资组合管理中发挥</w:t>
      </w:r>
      <w:r w:rsidR="00434067" w:rsidRPr="00693B1E">
        <w:rPr>
          <w:rFonts w:ascii="宋体" w:eastAsia="宋体" w:hAnsi="宋体" w:cs="宋体" w:hint="eastAsia"/>
          <w:color w:val="212121"/>
          <w:sz w:val="28"/>
        </w:rPr>
        <w:t>了</w:t>
      </w:r>
      <w:r w:rsidRPr="00693B1E">
        <w:rPr>
          <w:rFonts w:ascii="宋体" w:eastAsia="宋体" w:hAnsi="宋体" w:cs="宋体" w:hint="eastAsia"/>
          <w:color w:val="212121"/>
          <w:sz w:val="28"/>
        </w:rPr>
        <w:t>重要作用，为</w:t>
      </w:r>
      <w:r w:rsidR="00C77CAD" w:rsidRPr="00693B1E">
        <w:rPr>
          <w:rFonts w:ascii="宋体" w:eastAsia="宋体" w:hAnsi="宋体" w:cs="宋体" w:hint="eastAsia"/>
          <w:color w:val="212121"/>
          <w:sz w:val="28"/>
        </w:rPr>
        <w:t>对冲基金投资提供了</w:t>
      </w:r>
      <w:r w:rsidRPr="00693B1E">
        <w:rPr>
          <w:rFonts w:ascii="宋体" w:eastAsia="宋体" w:hAnsi="宋体" w:cs="宋体" w:hint="eastAsia"/>
          <w:color w:val="212121"/>
          <w:sz w:val="28"/>
        </w:rPr>
        <w:t>多元化的策略。当然，</w:t>
      </w:r>
      <w:r w:rsidR="0022422A" w:rsidRPr="00693B1E">
        <w:rPr>
          <w:rFonts w:ascii="宋体" w:eastAsia="宋体" w:hAnsi="宋体" w:cs="宋体" w:hint="eastAsia"/>
          <w:color w:val="212121"/>
          <w:sz w:val="28"/>
        </w:rPr>
        <w:t>麦道夫</w:t>
      </w:r>
      <w:r w:rsidR="00C77CAD" w:rsidRPr="00693B1E">
        <w:rPr>
          <w:rFonts w:ascii="宋体" w:eastAsia="宋体" w:hAnsi="宋体" w:cs="宋体" w:hint="eastAsia"/>
          <w:color w:val="212121"/>
          <w:sz w:val="28"/>
        </w:rPr>
        <w:t>案</w:t>
      </w:r>
      <w:r w:rsidR="006324EB" w:rsidRPr="00693B1E">
        <w:rPr>
          <w:rFonts w:ascii="宋体" w:eastAsia="宋体" w:hAnsi="宋体" w:cs="宋体" w:hint="eastAsia"/>
          <w:color w:val="212121"/>
          <w:sz w:val="28"/>
        </w:rPr>
        <w:t>使</w:t>
      </w:r>
      <w:r w:rsidRPr="00693B1E">
        <w:rPr>
          <w:rFonts w:ascii="宋体" w:eastAsia="宋体" w:hAnsi="宋体" w:cs="宋体" w:hint="eastAsia"/>
          <w:color w:val="212121"/>
          <w:sz w:val="28"/>
        </w:rPr>
        <w:t>很多人质疑</w:t>
      </w:r>
      <w:r w:rsidR="00C77CAD" w:rsidRPr="00693B1E">
        <w:rPr>
          <w:rFonts w:ascii="宋体" w:eastAsia="宋体" w:hAnsi="宋体" w:cs="宋体" w:hint="eastAsia"/>
          <w:color w:val="212121"/>
          <w:sz w:val="28"/>
        </w:rPr>
        <w:t>基金经理</w:t>
      </w:r>
      <w:r w:rsidRPr="00693B1E">
        <w:rPr>
          <w:rFonts w:ascii="宋体" w:eastAsia="宋体" w:hAnsi="宋体" w:cs="宋体" w:hint="eastAsia"/>
          <w:color w:val="212121"/>
          <w:sz w:val="28"/>
        </w:rPr>
        <w:t>是否以及如何</w:t>
      </w:r>
      <w:r w:rsidR="006324EB" w:rsidRPr="00693B1E">
        <w:rPr>
          <w:rFonts w:ascii="宋体" w:eastAsia="宋体" w:hAnsi="宋体" w:cs="宋体" w:hint="eastAsia"/>
          <w:color w:val="212121"/>
          <w:sz w:val="28"/>
        </w:rPr>
        <w:t>配置</w:t>
      </w:r>
      <w:r w:rsidRPr="00693B1E">
        <w:rPr>
          <w:rFonts w:ascii="宋体" w:eastAsia="宋体" w:hAnsi="宋体" w:cs="宋体" w:hint="eastAsia"/>
          <w:color w:val="212121"/>
          <w:sz w:val="28"/>
        </w:rPr>
        <w:t>资产。虽然费用总是</w:t>
      </w:r>
      <w:r w:rsidR="00C77CAD" w:rsidRPr="00693B1E">
        <w:rPr>
          <w:rFonts w:ascii="宋体" w:eastAsia="宋体" w:hAnsi="宋体" w:cs="宋体" w:hint="eastAsia"/>
          <w:color w:val="212121"/>
          <w:sz w:val="28"/>
        </w:rPr>
        <w:t>大家关心的问题</w:t>
      </w:r>
      <w:r w:rsidRPr="00693B1E">
        <w:rPr>
          <w:rFonts w:ascii="宋体" w:eastAsia="宋体" w:hAnsi="宋体" w:cs="宋体" w:hint="eastAsia"/>
          <w:color w:val="212121"/>
          <w:sz w:val="28"/>
        </w:rPr>
        <w:t>，我们再次说，唯一抱怨收费的人是那些</w:t>
      </w:r>
      <w:r w:rsidR="00A33AAD" w:rsidRPr="00693B1E">
        <w:rPr>
          <w:rFonts w:ascii="宋体" w:eastAsia="宋体" w:hAnsi="宋体" w:cs="宋体" w:hint="eastAsia"/>
          <w:color w:val="212121"/>
          <w:sz w:val="28"/>
        </w:rPr>
        <w:t>不能收取费用的人</w:t>
      </w:r>
      <w:r w:rsidRPr="00693B1E">
        <w:rPr>
          <w:rFonts w:ascii="宋体" w:eastAsia="宋体" w:hAnsi="宋体" w:cs="宋体" w:hint="eastAsia"/>
          <w:color w:val="212121"/>
          <w:sz w:val="28"/>
        </w:rPr>
        <w:t>。总之，你得到</w:t>
      </w:r>
      <w:r w:rsidR="006324EB" w:rsidRPr="00693B1E">
        <w:rPr>
          <w:rFonts w:ascii="宋体" w:eastAsia="宋体" w:hAnsi="宋体" w:cs="宋体" w:hint="eastAsia"/>
          <w:color w:val="212121"/>
          <w:sz w:val="28"/>
        </w:rPr>
        <w:t>总是与付出相匹配的</w:t>
      </w:r>
      <w:r w:rsidR="00A33AAD" w:rsidRPr="00693B1E">
        <w:rPr>
          <w:rFonts w:ascii="宋体" w:eastAsia="宋体" w:hAnsi="宋体" w:cs="Times New Roman" w:hint="eastAsia"/>
          <w:color w:val="212121"/>
          <w:sz w:val="28"/>
        </w:rPr>
        <w:t>；</w:t>
      </w:r>
      <w:r w:rsidRPr="00693B1E">
        <w:rPr>
          <w:rFonts w:ascii="宋体" w:eastAsia="宋体" w:hAnsi="宋体" w:cs="宋体" w:hint="eastAsia"/>
          <w:color w:val="212121"/>
          <w:sz w:val="28"/>
        </w:rPr>
        <w:t>因此，</w:t>
      </w:r>
      <w:proofErr w:type="gramStart"/>
      <w:r w:rsidR="006324EB" w:rsidRPr="00693B1E">
        <w:rPr>
          <w:rFonts w:ascii="宋体" w:eastAsia="宋体" w:hAnsi="宋体" w:cs="宋体" w:hint="eastAsia"/>
          <w:color w:val="212121"/>
          <w:sz w:val="28"/>
        </w:rPr>
        <w:t>请确保</w:t>
      </w:r>
      <w:proofErr w:type="gramEnd"/>
      <w:r w:rsidR="006324EB" w:rsidRPr="00693B1E">
        <w:rPr>
          <w:rFonts w:ascii="宋体" w:eastAsia="宋体" w:hAnsi="宋体" w:cs="宋体" w:hint="eastAsia"/>
          <w:color w:val="212121"/>
          <w:sz w:val="28"/>
        </w:rPr>
        <w:t>为你购买的东西付出了相应代价；</w:t>
      </w:r>
      <w:r w:rsidRPr="00693B1E">
        <w:rPr>
          <w:rFonts w:ascii="宋体" w:eastAsia="宋体" w:hAnsi="宋体" w:cs="宋体" w:hint="eastAsia"/>
          <w:color w:val="212121"/>
          <w:sz w:val="28"/>
        </w:rPr>
        <w:t>反之亦然。</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5861C2"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尽管费用问题的讨论仍然不够充分，</w:t>
      </w:r>
      <w:r w:rsidR="00A412D5" w:rsidRPr="00693B1E">
        <w:rPr>
          <w:rFonts w:ascii="宋体" w:eastAsia="宋体" w:hAnsi="宋体" w:cs="宋体" w:hint="eastAsia"/>
          <w:color w:val="212121"/>
          <w:sz w:val="28"/>
        </w:rPr>
        <w:t>另一个主要</w:t>
      </w:r>
      <w:r w:rsidR="00D703EA" w:rsidRPr="00693B1E">
        <w:rPr>
          <w:rFonts w:ascii="宋体" w:eastAsia="宋体" w:hAnsi="宋体" w:cs="宋体" w:hint="eastAsia"/>
          <w:color w:val="212121"/>
          <w:sz w:val="28"/>
        </w:rPr>
        <w:t>问题</w:t>
      </w:r>
      <w:r w:rsidR="00D56D63">
        <w:rPr>
          <w:rFonts w:ascii="宋体" w:eastAsia="宋体" w:hAnsi="宋体" w:cs="宋体" w:hint="eastAsia"/>
          <w:color w:val="212121"/>
          <w:sz w:val="28"/>
        </w:rPr>
        <w:t>却</w:t>
      </w:r>
      <w:r w:rsidRPr="00693B1E">
        <w:rPr>
          <w:rFonts w:ascii="宋体" w:eastAsia="宋体" w:hAnsi="宋体" w:cs="宋体" w:hint="eastAsia"/>
          <w:color w:val="212121"/>
          <w:sz w:val="28"/>
        </w:rPr>
        <w:t>随之而来</w:t>
      </w:r>
      <w:r w:rsidR="00D56D63">
        <w:rPr>
          <w:rFonts w:ascii="宋体" w:eastAsia="宋体" w:hAnsi="宋体" w:cs="宋体" w:hint="eastAsia"/>
          <w:color w:val="212121"/>
          <w:sz w:val="28"/>
        </w:rPr>
        <w:t>了</w:t>
      </w:r>
      <w:r w:rsidRPr="00693B1E">
        <w:rPr>
          <w:rFonts w:ascii="宋体" w:eastAsia="宋体" w:hAnsi="宋体" w:cs="宋体" w:hint="eastAsia"/>
          <w:color w:val="212121"/>
          <w:sz w:val="28"/>
        </w:rPr>
        <w:t>，那就</w:t>
      </w:r>
      <w:r w:rsidR="00A412D5" w:rsidRPr="00693B1E">
        <w:rPr>
          <w:rFonts w:ascii="宋体" w:eastAsia="宋体" w:hAnsi="宋体" w:cs="宋体" w:hint="eastAsia"/>
          <w:color w:val="212121"/>
          <w:sz w:val="28"/>
        </w:rPr>
        <w:t>是透明度。</w:t>
      </w:r>
      <w:r w:rsidR="00D703EA" w:rsidRPr="00693B1E">
        <w:rPr>
          <w:rFonts w:ascii="宋体" w:eastAsia="宋体" w:hAnsi="宋体" w:cs="宋体" w:hint="eastAsia"/>
          <w:color w:val="212121"/>
          <w:sz w:val="28"/>
        </w:rPr>
        <w:t>关于透明度</w:t>
      </w:r>
      <w:r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观点</w:t>
      </w:r>
      <w:r w:rsidR="00D56D63" w:rsidRPr="00693B1E">
        <w:rPr>
          <w:rFonts w:ascii="宋体" w:eastAsia="宋体" w:hAnsi="宋体" w:cs="宋体" w:hint="eastAsia"/>
          <w:color w:val="212121"/>
          <w:sz w:val="28"/>
        </w:rPr>
        <w:t>太多</w:t>
      </w:r>
      <w:r w:rsidR="00D703EA" w:rsidRPr="00693B1E">
        <w:rPr>
          <w:rFonts w:ascii="宋体" w:eastAsia="宋体" w:hAnsi="宋体" w:cs="宋体" w:hint="eastAsia"/>
          <w:color w:val="212121"/>
          <w:sz w:val="28"/>
        </w:rPr>
        <w:t>，不可能在</w:t>
      </w:r>
      <w:r w:rsidR="00A412D5" w:rsidRPr="00693B1E">
        <w:rPr>
          <w:rFonts w:ascii="宋体" w:eastAsia="宋体" w:hAnsi="宋体" w:cs="宋体" w:hint="eastAsia"/>
          <w:color w:val="212121"/>
          <w:sz w:val="28"/>
        </w:rPr>
        <w:t>这一章</w:t>
      </w:r>
      <w:r w:rsidR="00D703EA" w:rsidRPr="00693B1E">
        <w:rPr>
          <w:rFonts w:ascii="宋体" w:eastAsia="宋体" w:hAnsi="宋体" w:cs="宋体" w:hint="eastAsia"/>
          <w:color w:val="212121"/>
          <w:sz w:val="28"/>
        </w:rPr>
        <w:t>内把这个问题说清楚</w:t>
      </w:r>
      <w:r w:rsidR="00A412D5" w:rsidRPr="00693B1E">
        <w:rPr>
          <w:rFonts w:ascii="宋体" w:eastAsia="宋体" w:hAnsi="宋体" w:cs="宋体" w:hint="eastAsia"/>
          <w:color w:val="212121"/>
          <w:sz w:val="28"/>
        </w:rPr>
        <w:t>。我们稍后会</w:t>
      </w:r>
      <w:r w:rsidR="00D703EA" w:rsidRPr="00693B1E">
        <w:rPr>
          <w:rFonts w:ascii="宋体" w:eastAsia="宋体" w:hAnsi="宋体" w:cs="宋体" w:hint="eastAsia"/>
          <w:color w:val="212121"/>
          <w:sz w:val="28"/>
        </w:rPr>
        <w:t>谈到</w:t>
      </w:r>
      <w:r w:rsidR="00A412D5" w:rsidRPr="00693B1E">
        <w:rPr>
          <w:rFonts w:ascii="宋体" w:eastAsia="宋体" w:hAnsi="宋体" w:cs="宋体" w:hint="eastAsia"/>
          <w:color w:val="212121"/>
          <w:sz w:val="28"/>
        </w:rPr>
        <w:t>透明度</w:t>
      </w:r>
      <w:r w:rsidR="00D703EA" w:rsidRPr="00693B1E">
        <w:rPr>
          <w:rFonts w:ascii="宋体" w:eastAsia="宋体" w:hAnsi="宋体" w:cs="宋体" w:hint="eastAsia"/>
          <w:color w:val="212121"/>
          <w:sz w:val="28"/>
        </w:rPr>
        <w:t>；</w:t>
      </w:r>
      <w:r w:rsidR="00A412D5" w:rsidRPr="00693B1E">
        <w:rPr>
          <w:rFonts w:ascii="宋体" w:eastAsia="宋体" w:hAnsi="宋体" w:cs="宋体" w:hint="eastAsia"/>
          <w:color w:val="212121"/>
          <w:sz w:val="28"/>
        </w:rPr>
        <w:t>然而，必须说，透明度是</w:t>
      </w:r>
      <w:r w:rsidRPr="00693B1E">
        <w:rPr>
          <w:rFonts w:ascii="宋体" w:eastAsia="宋体" w:hAnsi="宋体" w:cs="宋体" w:hint="eastAsia"/>
          <w:color w:val="212121"/>
          <w:sz w:val="28"/>
        </w:rPr>
        <w:t>很</w:t>
      </w:r>
      <w:r w:rsidR="00A412D5" w:rsidRPr="00693B1E">
        <w:rPr>
          <w:rFonts w:ascii="宋体" w:eastAsia="宋体" w:hAnsi="宋体" w:cs="宋体" w:hint="eastAsia"/>
          <w:color w:val="212121"/>
          <w:sz w:val="28"/>
        </w:rPr>
        <w:t>重要的，不能忽视。因此，你应该</w:t>
      </w:r>
      <w:r w:rsidRPr="00693B1E">
        <w:rPr>
          <w:rFonts w:ascii="宋体" w:eastAsia="宋体" w:hAnsi="宋体" w:cs="宋体" w:hint="eastAsia"/>
          <w:color w:val="212121"/>
          <w:sz w:val="28"/>
        </w:rPr>
        <w:t>提出</w:t>
      </w:r>
      <w:r w:rsidR="00D703EA" w:rsidRPr="00693B1E">
        <w:rPr>
          <w:rFonts w:ascii="宋体" w:eastAsia="宋体" w:hAnsi="宋体" w:cs="宋体" w:hint="eastAsia"/>
          <w:color w:val="212121"/>
          <w:sz w:val="28"/>
        </w:rPr>
        <w:t>问题</w:t>
      </w:r>
      <w:r w:rsidR="00A412D5" w:rsidRPr="00693B1E">
        <w:rPr>
          <w:rFonts w:ascii="宋体" w:eastAsia="宋体" w:hAnsi="宋体" w:cs="宋体" w:hint="eastAsia"/>
          <w:color w:val="212121"/>
          <w:sz w:val="28"/>
        </w:rPr>
        <w:t>，得到答案，并确保你</w:t>
      </w:r>
      <w:r w:rsidRPr="00693B1E">
        <w:rPr>
          <w:rFonts w:ascii="宋体" w:eastAsia="宋体" w:hAnsi="宋体" w:cs="宋体" w:hint="eastAsia"/>
          <w:color w:val="212121"/>
          <w:sz w:val="28"/>
        </w:rPr>
        <w:t>弄</w:t>
      </w:r>
      <w:r w:rsidR="00A412D5" w:rsidRPr="00693B1E">
        <w:rPr>
          <w:rFonts w:ascii="宋体" w:eastAsia="宋体" w:hAnsi="宋体" w:cs="宋体" w:hint="eastAsia"/>
          <w:color w:val="212121"/>
          <w:sz w:val="28"/>
        </w:rPr>
        <w:t>明白</w:t>
      </w:r>
      <w:r w:rsidRPr="00693B1E">
        <w:rPr>
          <w:rFonts w:ascii="宋体" w:eastAsia="宋体" w:hAnsi="宋体" w:cs="宋体" w:hint="eastAsia"/>
          <w:color w:val="212121"/>
          <w:sz w:val="28"/>
        </w:rPr>
        <w:t>了答案</w:t>
      </w:r>
      <w:r w:rsidR="00A412D5" w:rsidRPr="00693B1E">
        <w:rPr>
          <w:rFonts w:ascii="宋体" w:eastAsia="宋体" w:hAnsi="宋体" w:cs="宋体" w:hint="eastAsia"/>
          <w:color w:val="212121"/>
          <w:sz w:val="28"/>
        </w:rPr>
        <w:t>。如果没有，你可能最终</w:t>
      </w:r>
      <w:r w:rsidR="00D703EA" w:rsidRPr="00693B1E">
        <w:rPr>
          <w:rFonts w:ascii="宋体" w:eastAsia="宋体" w:hAnsi="宋体" w:cs="宋体" w:hint="eastAsia"/>
          <w:color w:val="212121"/>
          <w:sz w:val="28"/>
        </w:rPr>
        <w:t>碰到</w:t>
      </w:r>
      <w:r w:rsidR="0022422A" w:rsidRPr="00693B1E">
        <w:rPr>
          <w:rFonts w:ascii="宋体" w:eastAsia="宋体" w:hAnsi="宋体" w:cs="宋体" w:hint="eastAsia"/>
          <w:color w:val="212121"/>
          <w:sz w:val="28"/>
        </w:rPr>
        <w:t>麦道夫</w:t>
      </w:r>
      <w:r w:rsidR="00D703EA" w:rsidRPr="00693B1E">
        <w:rPr>
          <w:rFonts w:ascii="宋体" w:eastAsia="宋体" w:hAnsi="宋体" w:cs="宋体" w:hint="eastAsia"/>
          <w:color w:val="212121"/>
          <w:sz w:val="28"/>
        </w:rPr>
        <w:t>案</w:t>
      </w:r>
      <w:r w:rsidR="00FC366C" w:rsidRPr="00693B1E">
        <w:rPr>
          <w:rFonts w:ascii="宋体" w:eastAsia="宋体" w:hAnsi="宋体" w:cs="宋体" w:hint="eastAsia"/>
          <w:color w:val="212121"/>
          <w:sz w:val="28"/>
        </w:rPr>
        <w:t>，</w:t>
      </w:r>
      <w:r w:rsidR="00062EEC" w:rsidRPr="00693B1E">
        <w:rPr>
          <w:rFonts w:ascii="宋体" w:eastAsia="宋体" w:hAnsi="宋体" w:cs="宋体" w:hint="eastAsia"/>
          <w:color w:val="212121"/>
          <w:sz w:val="28"/>
        </w:rPr>
        <w:t>特里蒙特（</w:t>
      </w:r>
      <w:r w:rsidR="00A412D5" w:rsidRPr="00693B1E">
        <w:rPr>
          <w:rFonts w:ascii="宋体" w:eastAsia="宋体" w:hAnsi="宋体" w:cs="宋体"/>
          <w:color w:val="212121"/>
          <w:sz w:val="28"/>
        </w:rPr>
        <w:t>Tremont</w:t>
      </w:r>
      <w:r w:rsidR="00062EEC"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案</w:t>
      </w:r>
      <w:r w:rsidR="00062EEC" w:rsidRPr="00693B1E">
        <w:rPr>
          <w:rFonts w:ascii="宋体" w:eastAsia="宋体" w:hAnsi="宋体" w:cs="宋体" w:hint="eastAsia"/>
          <w:color w:val="212121"/>
          <w:sz w:val="28"/>
        </w:rPr>
        <w:t>件</w:t>
      </w:r>
      <w:r w:rsidR="00A412D5" w:rsidRPr="00693B1E">
        <w:rPr>
          <w:rFonts w:ascii="宋体" w:eastAsia="宋体" w:hAnsi="宋体" w:cs="宋体" w:hint="eastAsia"/>
          <w:color w:val="212121"/>
          <w:sz w:val="28"/>
        </w:rPr>
        <w:t>或</w:t>
      </w:r>
      <w:r w:rsidR="00062EEC" w:rsidRPr="00693B1E">
        <w:rPr>
          <w:rFonts w:ascii="宋体" w:eastAsia="宋体" w:hAnsi="宋体" w:cs="宋体" w:hint="eastAsia"/>
          <w:color w:val="212121"/>
          <w:sz w:val="28"/>
        </w:rPr>
        <w:t>费尔菲尔德格林威治集团（</w:t>
      </w:r>
      <w:r w:rsidR="00A412D5" w:rsidRPr="00693B1E">
        <w:rPr>
          <w:rFonts w:ascii="宋体" w:eastAsia="宋体" w:hAnsi="宋体" w:cs="宋体"/>
          <w:color w:val="212121"/>
          <w:sz w:val="28"/>
        </w:rPr>
        <w:t>Fairfield Greenwich</w:t>
      </w:r>
      <w:r w:rsidR="00062EEC"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案</w:t>
      </w:r>
      <w:r w:rsidR="00062EEC" w:rsidRPr="00693B1E">
        <w:rPr>
          <w:rFonts w:ascii="宋体" w:eastAsia="宋体" w:hAnsi="宋体" w:cs="宋体" w:hint="eastAsia"/>
          <w:color w:val="212121"/>
          <w:sz w:val="28"/>
        </w:rPr>
        <w:t>件</w:t>
      </w:r>
      <w:r w:rsidR="00A412D5" w:rsidRPr="00693B1E">
        <w:rPr>
          <w:rFonts w:ascii="宋体" w:eastAsia="宋体" w:hAnsi="宋体" w:cs="宋体" w:hint="eastAsia"/>
          <w:color w:val="212121"/>
          <w:sz w:val="28"/>
        </w:rPr>
        <w:t>。虽然</w:t>
      </w:r>
      <w:r w:rsidR="00D703EA" w:rsidRPr="00693B1E">
        <w:rPr>
          <w:rFonts w:ascii="宋体" w:eastAsia="宋体" w:hAnsi="宋体" w:cs="宋体" w:hint="eastAsia"/>
          <w:color w:val="212121"/>
          <w:sz w:val="28"/>
        </w:rPr>
        <w:t>案子</w:t>
      </w:r>
      <w:r w:rsidR="006D7193" w:rsidRPr="00693B1E">
        <w:rPr>
          <w:rFonts w:ascii="宋体" w:eastAsia="宋体" w:hAnsi="宋体" w:cs="宋体" w:hint="eastAsia"/>
          <w:color w:val="212121"/>
          <w:sz w:val="28"/>
        </w:rPr>
        <w:t>还</w:t>
      </w:r>
      <w:proofErr w:type="gramStart"/>
      <w:r w:rsidR="006D7193" w:rsidRPr="00693B1E">
        <w:rPr>
          <w:rFonts w:ascii="宋体" w:eastAsia="宋体" w:hAnsi="宋体" w:cs="宋体" w:hint="eastAsia"/>
          <w:color w:val="212121"/>
          <w:sz w:val="28"/>
        </w:rPr>
        <w:t>没最终</w:t>
      </w:r>
      <w:proofErr w:type="gramEnd"/>
      <w:r w:rsidR="006D7193" w:rsidRPr="00693B1E">
        <w:rPr>
          <w:rFonts w:ascii="宋体" w:eastAsia="宋体" w:hAnsi="宋体" w:cs="宋体" w:hint="eastAsia"/>
          <w:color w:val="212121"/>
          <w:sz w:val="28"/>
        </w:rPr>
        <w:t>的定论</w:t>
      </w:r>
      <w:r w:rsidR="00A412D5" w:rsidRPr="00693B1E">
        <w:rPr>
          <w:rFonts w:ascii="宋体" w:eastAsia="宋体" w:hAnsi="宋体" w:cs="宋体" w:hint="eastAsia"/>
          <w:color w:val="212121"/>
          <w:sz w:val="28"/>
        </w:rPr>
        <w:t>，不幸的是，</w:t>
      </w:r>
      <w:r w:rsidR="006D7193" w:rsidRPr="00693B1E">
        <w:rPr>
          <w:rFonts w:ascii="宋体" w:eastAsia="宋体" w:hAnsi="宋体" w:cs="宋体" w:hint="eastAsia"/>
          <w:color w:val="212121"/>
          <w:sz w:val="28"/>
        </w:rPr>
        <w:t>谁都知道第一个</w:t>
      </w:r>
      <w:r w:rsidR="00D703EA" w:rsidRPr="00693B1E">
        <w:rPr>
          <w:rFonts w:ascii="宋体" w:eastAsia="宋体" w:hAnsi="宋体" w:cs="宋体" w:hint="eastAsia"/>
          <w:color w:val="212121"/>
          <w:sz w:val="28"/>
        </w:rPr>
        <w:t>案子</w:t>
      </w:r>
      <w:r w:rsidR="006D7193" w:rsidRPr="00693B1E">
        <w:rPr>
          <w:rFonts w:ascii="宋体" w:eastAsia="宋体" w:hAnsi="宋体" w:cs="宋体" w:hint="eastAsia"/>
          <w:color w:val="212121"/>
          <w:sz w:val="28"/>
        </w:rPr>
        <w:t>的后果</w:t>
      </w:r>
      <w:r w:rsidR="00A412D5"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spacing w:beforeLines="50" w:before="120" w:afterLines="50" w:after="120" w:line="240" w:lineRule="auto"/>
        <w:rPr>
          <w:sz w:val="36"/>
        </w:rPr>
      </w:pPr>
    </w:p>
    <w:sectPr w:rsidR="00A412D5" w:rsidRPr="00693B1E" w:rsidSect="004F3E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8AE" w:rsidRDefault="007F48AE" w:rsidP="00096D28">
      <w:pPr>
        <w:spacing w:after="0" w:line="240" w:lineRule="auto"/>
      </w:pPr>
      <w:r>
        <w:separator/>
      </w:r>
    </w:p>
  </w:endnote>
  <w:endnote w:type="continuationSeparator" w:id="0">
    <w:p w:rsidR="007F48AE" w:rsidRDefault="007F48AE" w:rsidP="0009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8AE" w:rsidRDefault="007F48AE" w:rsidP="00096D28">
      <w:pPr>
        <w:spacing w:after="0" w:line="240" w:lineRule="auto"/>
      </w:pPr>
      <w:r>
        <w:separator/>
      </w:r>
    </w:p>
  </w:footnote>
  <w:footnote w:type="continuationSeparator" w:id="0">
    <w:p w:rsidR="007F48AE" w:rsidRDefault="007F48AE" w:rsidP="00096D28">
      <w:pPr>
        <w:spacing w:after="0" w:line="240" w:lineRule="auto"/>
      </w:pPr>
      <w:r>
        <w:continuationSeparator/>
      </w:r>
    </w:p>
  </w:footnote>
  <w:footnote w:id="1">
    <w:p w:rsidR="007655F8" w:rsidRDefault="007655F8">
      <w:pPr>
        <w:pStyle w:val="a7"/>
      </w:pPr>
      <w:r>
        <w:rPr>
          <w:rStyle w:val="a8"/>
        </w:rPr>
        <w:footnoteRef/>
      </w:r>
      <w:r>
        <w:t xml:space="preserve"> </w:t>
      </w:r>
      <w:r>
        <w:t>美国金融业监管局</w:t>
      </w:r>
      <w:r>
        <w:rPr>
          <w:rFonts w:hint="eastAsia"/>
        </w:rPr>
        <w:t>（</w:t>
      </w:r>
      <w:r>
        <w:rPr>
          <w:rStyle w:val="fontstyle01"/>
        </w:rPr>
        <w:t>FINRA</w:t>
      </w:r>
      <w:r>
        <w:rPr>
          <w:rStyle w:val="fontstyle01"/>
          <w:rFonts w:hint="eastAsia"/>
        </w:rPr>
        <w:t>）</w:t>
      </w:r>
      <w:r>
        <w:rPr>
          <w:rStyle w:val="fontstyle01"/>
        </w:rPr>
        <w:t>是美国最大的独立监管机构负责监管在美国境内开展业务的证券公司</w:t>
      </w:r>
      <w:r>
        <w:rPr>
          <w:rStyle w:val="fontstyle01"/>
          <w:rFonts w:hint="eastAsia"/>
        </w:rPr>
        <w:t>。</w:t>
      </w:r>
      <w:r>
        <w:rPr>
          <w:rStyle w:val="fontstyle01"/>
        </w:rPr>
        <w:t>根据其网站介绍</w:t>
      </w:r>
      <w:r>
        <w:rPr>
          <w:rStyle w:val="fontstyle01"/>
          <w:rFonts w:hint="eastAsia"/>
        </w:rPr>
        <w:t>，</w:t>
      </w:r>
      <w:r>
        <w:rPr>
          <w:rStyle w:val="fontstyle01"/>
        </w:rPr>
        <w:t>它监管着</w:t>
      </w:r>
      <w:r>
        <w:rPr>
          <w:rStyle w:val="fontstyle01"/>
          <w:rFonts w:hint="eastAsia"/>
        </w:rPr>
        <w:t>5,000</w:t>
      </w:r>
      <w:r>
        <w:rPr>
          <w:rStyle w:val="fontstyle01"/>
          <w:rFonts w:hint="eastAsia"/>
        </w:rPr>
        <w:t>家经纪公司，</w:t>
      </w:r>
      <w:r>
        <w:rPr>
          <w:rStyle w:val="fontstyle01"/>
          <w:rFonts w:hint="eastAsia"/>
        </w:rPr>
        <w:t>173,000</w:t>
      </w:r>
      <w:r>
        <w:rPr>
          <w:rStyle w:val="fontstyle01"/>
          <w:rFonts w:hint="eastAsia"/>
        </w:rPr>
        <w:t>个分支机构，</w:t>
      </w:r>
      <w:r>
        <w:rPr>
          <w:rStyle w:val="fontstyle01"/>
          <w:rFonts w:hint="eastAsia"/>
        </w:rPr>
        <w:t>656,000</w:t>
      </w:r>
      <w:r>
        <w:rPr>
          <w:rStyle w:val="fontstyle01"/>
          <w:rFonts w:hint="eastAsia"/>
        </w:rPr>
        <w:t>个注册证券代表。它的主要职责是通过维护资本市场的公平从而包含投资者；此外，它也负责所有共同基金的监管。更多信息可以访问其网站：</w:t>
      </w:r>
      <w:r>
        <w:rPr>
          <w:rStyle w:val="fontstyle01"/>
        </w:rPr>
        <w:t>www.finra.org/index.htm</w:t>
      </w:r>
    </w:p>
  </w:footnote>
  <w:footnote w:id="2">
    <w:p w:rsidR="00086EA3" w:rsidRDefault="00086EA3">
      <w:pPr>
        <w:pStyle w:val="a7"/>
      </w:pPr>
      <w:r>
        <w:rPr>
          <w:rStyle w:val="a8"/>
        </w:rPr>
        <w:footnoteRef/>
      </w:r>
      <w:r>
        <w:t xml:space="preserve"> </w:t>
      </w:r>
      <w:r>
        <w:rPr>
          <w:rFonts w:hint="eastAsia"/>
        </w:rPr>
        <w:t>根据</w:t>
      </w:r>
      <w:proofErr w:type="spellStart"/>
      <w:r>
        <w:rPr>
          <w:rFonts w:hint="eastAsia"/>
        </w:rPr>
        <w:t>PerTrac</w:t>
      </w:r>
      <w:proofErr w:type="spellEnd"/>
      <w:r>
        <w:rPr>
          <w:rFonts w:hint="eastAsia"/>
        </w:rPr>
        <w:t>数据</w:t>
      </w:r>
    </w:p>
  </w:footnote>
  <w:footnote w:id="3">
    <w:p w:rsidR="00037CE5" w:rsidRDefault="00037CE5">
      <w:pPr>
        <w:pStyle w:val="a7"/>
      </w:pPr>
      <w:r>
        <w:rPr>
          <w:rStyle w:val="a8"/>
        </w:rPr>
        <w:footnoteRef/>
      </w:r>
      <w:r>
        <w:t xml:space="preserve"> </w:t>
      </w:r>
      <w:r>
        <w:t>理查德</w:t>
      </w:r>
      <w:r>
        <w:rPr>
          <w:rFonts w:hint="eastAsia"/>
        </w:rPr>
        <w:t>.S.</w:t>
      </w:r>
      <w:r>
        <w:rPr>
          <w:rFonts w:hint="eastAsia"/>
        </w:rPr>
        <w:t>布</w:t>
      </w:r>
      <w:proofErr w:type="gramStart"/>
      <w:r>
        <w:rPr>
          <w:rFonts w:hint="eastAsia"/>
        </w:rPr>
        <w:t>克百德做</w:t>
      </w:r>
      <w:proofErr w:type="gramEnd"/>
      <w:r>
        <w:rPr>
          <w:rFonts w:hint="eastAsia"/>
        </w:rPr>
        <w:t>的私人采访，</w:t>
      </w:r>
      <w:r>
        <w:rPr>
          <w:rFonts w:hint="eastAsia"/>
        </w:rPr>
        <w:t>2008</w:t>
      </w:r>
      <w:r>
        <w:rPr>
          <w:rFonts w:hint="eastAsia"/>
        </w:rPr>
        <w:t>年</w:t>
      </w:r>
      <w:r>
        <w:rPr>
          <w:rFonts w:hint="eastAsia"/>
        </w:rPr>
        <w:t>4</w:t>
      </w:r>
      <w:r>
        <w:rPr>
          <w:rFonts w:hint="eastAsia"/>
        </w:rPr>
        <w:t>月</w:t>
      </w:r>
      <w:r>
        <w:rPr>
          <w:rFonts w:hint="eastAsia"/>
        </w:rPr>
        <w:t>25</w:t>
      </w:r>
      <w:r>
        <w:rPr>
          <w:rFonts w:hint="eastAsia"/>
        </w:rPr>
        <w:t>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85DE5"/>
    <w:multiLevelType w:val="hybridMultilevel"/>
    <w:tmpl w:val="BB24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EC"/>
    <w:rsid w:val="00003C01"/>
    <w:rsid w:val="00003C63"/>
    <w:rsid w:val="0000478D"/>
    <w:rsid w:val="00021A3E"/>
    <w:rsid w:val="00037CE5"/>
    <w:rsid w:val="00053A97"/>
    <w:rsid w:val="00057AC6"/>
    <w:rsid w:val="00062EEC"/>
    <w:rsid w:val="00070F5E"/>
    <w:rsid w:val="00086EA3"/>
    <w:rsid w:val="00087E4C"/>
    <w:rsid w:val="00096D28"/>
    <w:rsid w:val="000A6C1E"/>
    <w:rsid w:val="000E7503"/>
    <w:rsid w:val="001343D4"/>
    <w:rsid w:val="0014373D"/>
    <w:rsid w:val="0014771A"/>
    <w:rsid w:val="001A0461"/>
    <w:rsid w:val="001B5E71"/>
    <w:rsid w:val="001C7AFE"/>
    <w:rsid w:val="0022422A"/>
    <w:rsid w:val="0024701F"/>
    <w:rsid w:val="00265C5F"/>
    <w:rsid w:val="002F54E4"/>
    <w:rsid w:val="00315928"/>
    <w:rsid w:val="003208E8"/>
    <w:rsid w:val="00395D1C"/>
    <w:rsid w:val="003F3A4E"/>
    <w:rsid w:val="003F7BA6"/>
    <w:rsid w:val="00434067"/>
    <w:rsid w:val="004548AC"/>
    <w:rsid w:val="004A3BF1"/>
    <w:rsid w:val="004B0F98"/>
    <w:rsid w:val="004F3E13"/>
    <w:rsid w:val="004F685E"/>
    <w:rsid w:val="00520BF8"/>
    <w:rsid w:val="005231C2"/>
    <w:rsid w:val="00551D91"/>
    <w:rsid w:val="005637FD"/>
    <w:rsid w:val="00565655"/>
    <w:rsid w:val="005861C2"/>
    <w:rsid w:val="005A407A"/>
    <w:rsid w:val="0061063E"/>
    <w:rsid w:val="006174B6"/>
    <w:rsid w:val="006324EB"/>
    <w:rsid w:val="00660A71"/>
    <w:rsid w:val="00693B1E"/>
    <w:rsid w:val="006D387B"/>
    <w:rsid w:val="006D7193"/>
    <w:rsid w:val="006F2596"/>
    <w:rsid w:val="00700FA3"/>
    <w:rsid w:val="007376D8"/>
    <w:rsid w:val="00753041"/>
    <w:rsid w:val="007655F8"/>
    <w:rsid w:val="00797960"/>
    <w:rsid w:val="007C6DFF"/>
    <w:rsid w:val="007F48AE"/>
    <w:rsid w:val="00850526"/>
    <w:rsid w:val="00891728"/>
    <w:rsid w:val="008C6115"/>
    <w:rsid w:val="008D5F45"/>
    <w:rsid w:val="008F13EC"/>
    <w:rsid w:val="00984F40"/>
    <w:rsid w:val="009A3335"/>
    <w:rsid w:val="009E25C6"/>
    <w:rsid w:val="00A176B8"/>
    <w:rsid w:val="00A33AAD"/>
    <w:rsid w:val="00A34D77"/>
    <w:rsid w:val="00A412D5"/>
    <w:rsid w:val="00A41B6C"/>
    <w:rsid w:val="00AA1B42"/>
    <w:rsid w:val="00AA216A"/>
    <w:rsid w:val="00AA704F"/>
    <w:rsid w:val="00AE1134"/>
    <w:rsid w:val="00AE719F"/>
    <w:rsid w:val="00B07B58"/>
    <w:rsid w:val="00B356E4"/>
    <w:rsid w:val="00B549D7"/>
    <w:rsid w:val="00B825B7"/>
    <w:rsid w:val="00BA0370"/>
    <w:rsid w:val="00BB342F"/>
    <w:rsid w:val="00C06259"/>
    <w:rsid w:val="00C77CAD"/>
    <w:rsid w:val="00CC351B"/>
    <w:rsid w:val="00CE23EE"/>
    <w:rsid w:val="00CE3990"/>
    <w:rsid w:val="00D22FA3"/>
    <w:rsid w:val="00D56D63"/>
    <w:rsid w:val="00D576F0"/>
    <w:rsid w:val="00D659BC"/>
    <w:rsid w:val="00D703EA"/>
    <w:rsid w:val="00DE2E07"/>
    <w:rsid w:val="00E1369C"/>
    <w:rsid w:val="00E3072B"/>
    <w:rsid w:val="00E82AA9"/>
    <w:rsid w:val="00E95704"/>
    <w:rsid w:val="00ED0E58"/>
    <w:rsid w:val="00F53F97"/>
    <w:rsid w:val="00F90DF2"/>
    <w:rsid w:val="00FB2EFE"/>
    <w:rsid w:val="00FC3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83C01D-B15E-4934-B73D-4600658D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E13"/>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13EC"/>
  </w:style>
  <w:style w:type="character" w:styleId="a3">
    <w:name w:val="Hyperlink"/>
    <w:uiPriority w:val="99"/>
    <w:semiHidden/>
    <w:unhideWhenUsed/>
    <w:rsid w:val="008F13EC"/>
    <w:rPr>
      <w:color w:val="0000FF"/>
      <w:u w:val="single"/>
    </w:rPr>
  </w:style>
  <w:style w:type="paragraph" w:styleId="HTML">
    <w:name w:val="HTML Preformatted"/>
    <w:basedOn w:val="a"/>
    <w:link w:val="HTMLChar"/>
    <w:uiPriority w:val="99"/>
    <w:unhideWhenUsed/>
    <w:rsid w:val="00A4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link w:val="HTML"/>
    <w:uiPriority w:val="99"/>
    <w:rsid w:val="00A412D5"/>
    <w:rPr>
      <w:rFonts w:ascii="Courier New" w:eastAsia="Times New Roman" w:hAnsi="Courier New" w:cs="Courier New"/>
    </w:rPr>
  </w:style>
  <w:style w:type="paragraph" w:styleId="a4">
    <w:name w:val="header"/>
    <w:basedOn w:val="a"/>
    <w:link w:val="Char"/>
    <w:uiPriority w:val="99"/>
    <w:unhideWhenUsed/>
    <w:rsid w:val="00096D2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uiPriority w:val="99"/>
    <w:rsid w:val="00096D28"/>
    <w:rPr>
      <w:sz w:val="18"/>
      <w:szCs w:val="18"/>
    </w:rPr>
  </w:style>
  <w:style w:type="paragraph" w:styleId="a5">
    <w:name w:val="footer"/>
    <w:basedOn w:val="a"/>
    <w:link w:val="Char0"/>
    <w:uiPriority w:val="99"/>
    <w:unhideWhenUsed/>
    <w:rsid w:val="00096D28"/>
    <w:pPr>
      <w:tabs>
        <w:tab w:val="center" w:pos="4153"/>
        <w:tab w:val="right" w:pos="8306"/>
      </w:tabs>
      <w:snapToGrid w:val="0"/>
      <w:spacing w:line="240" w:lineRule="auto"/>
    </w:pPr>
    <w:rPr>
      <w:sz w:val="18"/>
      <w:szCs w:val="18"/>
    </w:rPr>
  </w:style>
  <w:style w:type="character" w:customStyle="1" w:styleId="Char0">
    <w:name w:val="页脚 Char"/>
    <w:link w:val="a5"/>
    <w:uiPriority w:val="99"/>
    <w:rsid w:val="00096D28"/>
    <w:rPr>
      <w:sz w:val="18"/>
      <w:szCs w:val="18"/>
    </w:rPr>
  </w:style>
  <w:style w:type="paragraph" w:styleId="a6">
    <w:name w:val="Balloon Text"/>
    <w:basedOn w:val="a"/>
    <w:link w:val="Char1"/>
    <w:uiPriority w:val="99"/>
    <w:semiHidden/>
    <w:unhideWhenUsed/>
    <w:rsid w:val="006174B6"/>
    <w:pPr>
      <w:spacing w:after="0" w:line="240" w:lineRule="auto"/>
    </w:pPr>
    <w:rPr>
      <w:sz w:val="18"/>
      <w:szCs w:val="18"/>
    </w:rPr>
  </w:style>
  <w:style w:type="character" w:customStyle="1" w:styleId="Char1">
    <w:name w:val="批注框文本 Char"/>
    <w:link w:val="a6"/>
    <w:uiPriority w:val="99"/>
    <w:semiHidden/>
    <w:rsid w:val="006174B6"/>
    <w:rPr>
      <w:sz w:val="18"/>
      <w:szCs w:val="18"/>
    </w:rPr>
  </w:style>
  <w:style w:type="paragraph" w:styleId="a7">
    <w:name w:val="footnote text"/>
    <w:basedOn w:val="a"/>
    <w:link w:val="Char2"/>
    <w:uiPriority w:val="99"/>
    <w:semiHidden/>
    <w:unhideWhenUsed/>
    <w:rsid w:val="007655F8"/>
    <w:pPr>
      <w:snapToGrid w:val="0"/>
    </w:pPr>
    <w:rPr>
      <w:sz w:val="18"/>
      <w:szCs w:val="18"/>
    </w:rPr>
  </w:style>
  <w:style w:type="character" w:customStyle="1" w:styleId="Char2">
    <w:name w:val="脚注文本 Char"/>
    <w:basedOn w:val="a0"/>
    <w:link w:val="a7"/>
    <w:uiPriority w:val="99"/>
    <w:semiHidden/>
    <w:rsid w:val="007655F8"/>
    <w:rPr>
      <w:sz w:val="18"/>
      <w:szCs w:val="18"/>
    </w:rPr>
  </w:style>
  <w:style w:type="character" w:styleId="a8">
    <w:name w:val="footnote reference"/>
    <w:basedOn w:val="a0"/>
    <w:uiPriority w:val="99"/>
    <w:semiHidden/>
    <w:unhideWhenUsed/>
    <w:rsid w:val="007655F8"/>
    <w:rPr>
      <w:vertAlign w:val="superscript"/>
    </w:rPr>
  </w:style>
  <w:style w:type="character" w:customStyle="1" w:styleId="fontstyle01">
    <w:name w:val="fontstyle01"/>
    <w:basedOn w:val="a0"/>
    <w:rsid w:val="007655F8"/>
    <w:rPr>
      <w:rFonts w:ascii="AdvP45DC7B" w:hAnsi="AdvP45DC7B"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8124">
      <w:bodyDiv w:val="1"/>
      <w:marLeft w:val="0"/>
      <w:marRight w:val="0"/>
      <w:marTop w:val="0"/>
      <w:marBottom w:val="0"/>
      <w:divBdr>
        <w:top w:val="none" w:sz="0" w:space="0" w:color="auto"/>
        <w:left w:val="none" w:sz="0" w:space="0" w:color="auto"/>
        <w:bottom w:val="none" w:sz="0" w:space="0" w:color="auto"/>
        <w:right w:val="none" w:sz="0" w:space="0" w:color="auto"/>
      </w:divBdr>
    </w:div>
    <w:div w:id="332999925">
      <w:bodyDiv w:val="1"/>
      <w:marLeft w:val="0"/>
      <w:marRight w:val="0"/>
      <w:marTop w:val="0"/>
      <w:marBottom w:val="0"/>
      <w:divBdr>
        <w:top w:val="none" w:sz="0" w:space="0" w:color="auto"/>
        <w:left w:val="none" w:sz="0" w:space="0" w:color="auto"/>
        <w:bottom w:val="none" w:sz="0" w:space="0" w:color="auto"/>
        <w:right w:val="none" w:sz="0" w:space="0" w:color="auto"/>
      </w:divBdr>
    </w:div>
    <w:div w:id="364333045">
      <w:bodyDiv w:val="1"/>
      <w:marLeft w:val="0"/>
      <w:marRight w:val="0"/>
      <w:marTop w:val="0"/>
      <w:marBottom w:val="0"/>
      <w:divBdr>
        <w:top w:val="none" w:sz="0" w:space="0" w:color="auto"/>
        <w:left w:val="none" w:sz="0" w:space="0" w:color="auto"/>
        <w:bottom w:val="none" w:sz="0" w:space="0" w:color="auto"/>
        <w:right w:val="none" w:sz="0" w:space="0" w:color="auto"/>
      </w:divBdr>
    </w:div>
    <w:div w:id="845635345">
      <w:bodyDiv w:val="1"/>
      <w:marLeft w:val="0"/>
      <w:marRight w:val="0"/>
      <w:marTop w:val="0"/>
      <w:marBottom w:val="0"/>
      <w:divBdr>
        <w:top w:val="none" w:sz="0" w:space="0" w:color="auto"/>
        <w:left w:val="none" w:sz="0" w:space="0" w:color="auto"/>
        <w:bottom w:val="none" w:sz="0" w:space="0" w:color="auto"/>
        <w:right w:val="none" w:sz="0" w:space="0" w:color="auto"/>
      </w:divBdr>
    </w:div>
    <w:div w:id="864246716">
      <w:bodyDiv w:val="1"/>
      <w:marLeft w:val="0"/>
      <w:marRight w:val="0"/>
      <w:marTop w:val="0"/>
      <w:marBottom w:val="0"/>
      <w:divBdr>
        <w:top w:val="none" w:sz="0" w:space="0" w:color="auto"/>
        <w:left w:val="none" w:sz="0" w:space="0" w:color="auto"/>
        <w:bottom w:val="none" w:sz="0" w:space="0" w:color="auto"/>
        <w:right w:val="none" w:sz="0" w:space="0" w:color="auto"/>
      </w:divBdr>
    </w:div>
    <w:div w:id="985932678">
      <w:bodyDiv w:val="1"/>
      <w:marLeft w:val="0"/>
      <w:marRight w:val="0"/>
      <w:marTop w:val="0"/>
      <w:marBottom w:val="0"/>
      <w:divBdr>
        <w:top w:val="none" w:sz="0" w:space="0" w:color="auto"/>
        <w:left w:val="none" w:sz="0" w:space="0" w:color="auto"/>
        <w:bottom w:val="none" w:sz="0" w:space="0" w:color="auto"/>
        <w:right w:val="none" w:sz="0" w:space="0" w:color="auto"/>
      </w:divBdr>
    </w:div>
    <w:div w:id="1301181252">
      <w:bodyDiv w:val="1"/>
      <w:marLeft w:val="0"/>
      <w:marRight w:val="0"/>
      <w:marTop w:val="0"/>
      <w:marBottom w:val="0"/>
      <w:divBdr>
        <w:top w:val="none" w:sz="0" w:space="0" w:color="auto"/>
        <w:left w:val="none" w:sz="0" w:space="0" w:color="auto"/>
        <w:bottom w:val="none" w:sz="0" w:space="0" w:color="auto"/>
        <w:right w:val="none" w:sz="0" w:space="0" w:color="auto"/>
      </w:divBdr>
    </w:div>
    <w:div w:id="1368606572">
      <w:bodyDiv w:val="1"/>
      <w:marLeft w:val="0"/>
      <w:marRight w:val="0"/>
      <w:marTop w:val="0"/>
      <w:marBottom w:val="0"/>
      <w:divBdr>
        <w:top w:val="none" w:sz="0" w:space="0" w:color="auto"/>
        <w:left w:val="none" w:sz="0" w:space="0" w:color="auto"/>
        <w:bottom w:val="none" w:sz="0" w:space="0" w:color="auto"/>
        <w:right w:val="none" w:sz="0" w:space="0" w:color="auto"/>
      </w:divBdr>
    </w:div>
    <w:div w:id="1413506264">
      <w:bodyDiv w:val="1"/>
      <w:marLeft w:val="0"/>
      <w:marRight w:val="0"/>
      <w:marTop w:val="0"/>
      <w:marBottom w:val="0"/>
      <w:divBdr>
        <w:top w:val="none" w:sz="0" w:space="0" w:color="auto"/>
        <w:left w:val="none" w:sz="0" w:space="0" w:color="auto"/>
        <w:bottom w:val="none" w:sz="0" w:space="0" w:color="auto"/>
        <w:right w:val="none" w:sz="0" w:space="0" w:color="auto"/>
      </w:divBdr>
    </w:div>
    <w:div w:id="1488472354">
      <w:bodyDiv w:val="1"/>
      <w:marLeft w:val="0"/>
      <w:marRight w:val="0"/>
      <w:marTop w:val="0"/>
      <w:marBottom w:val="0"/>
      <w:divBdr>
        <w:top w:val="none" w:sz="0" w:space="0" w:color="auto"/>
        <w:left w:val="none" w:sz="0" w:space="0" w:color="auto"/>
        <w:bottom w:val="none" w:sz="0" w:space="0" w:color="auto"/>
        <w:right w:val="none" w:sz="0" w:space="0" w:color="auto"/>
      </w:divBdr>
    </w:div>
    <w:div w:id="1667631811">
      <w:bodyDiv w:val="1"/>
      <w:marLeft w:val="0"/>
      <w:marRight w:val="0"/>
      <w:marTop w:val="0"/>
      <w:marBottom w:val="0"/>
      <w:divBdr>
        <w:top w:val="none" w:sz="0" w:space="0" w:color="auto"/>
        <w:left w:val="none" w:sz="0" w:space="0" w:color="auto"/>
        <w:bottom w:val="none" w:sz="0" w:space="0" w:color="auto"/>
        <w:right w:val="none" w:sz="0" w:space="0" w:color="auto"/>
      </w:divBdr>
    </w:div>
    <w:div w:id="1674142777">
      <w:bodyDiv w:val="1"/>
      <w:marLeft w:val="0"/>
      <w:marRight w:val="0"/>
      <w:marTop w:val="0"/>
      <w:marBottom w:val="0"/>
      <w:divBdr>
        <w:top w:val="none" w:sz="0" w:space="0" w:color="auto"/>
        <w:left w:val="none" w:sz="0" w:space="0" w:color="auto"/>
        <w:bottom w:val="none" w:sz="0" w:space="0" w:color="auto"/>
        <w:right w:val="none" w:sz="0" w:space="0" w:color="auto"/>
      </w:divBdr>
    </w:div>
    <w:div w:id="1697803529">
      <w:bodyDiv w:val="1"/>
      <w:marLeft w:val="0"/>
      <w:marRight w:val="0"/>
      <w:marTop w:val="0"/>
      <w:marBottom w:val="0"/>
      <w:divBdr>
        <w:top w:val="none" w:sz="0" w:space="0" w:color="auto"/>
        <w:left w:val="none" w:sz="0" w:space="0" w:color="auto"/>
        <w:bottom w:val="none" w:sz="0" w:space="0" w:color="auto"/>
        <w:right w:val="none" w:sz="0" w:space="0" w:color="auto"/>
      </w:divBdr>
      <w:divsChild>
        <w:div w:id="112097805">
          <w:marLeft w:val="0"/>
          <w:marRight w:val="0"/>
          <w:marTop w:val="0"/>
          <w:marBottom w:val="0"/>
          <w:divBdr>
            <w:top w:val="none" w:sz="0" w:space="0" w:color="auto"/>
            <w:left w:val="none" w:sz="0" w:space="0" w:color="auto"/>
            <w:bottom w:val="none" w:sz="0" w:space="0" w:color="auto"/>
            <w:right w:val="none" w:sz="0" w:space="0" w:color="auto"/>
          </w:divBdr>
        </w:div>
        <w:div w:id="145978074">
          <w:marLeft w:val="0"/>
          <w:marRight w:val="0"/>
          <w:marTop w:val="0"/>
          <w:marBottom w:val="0"/>
          <w:divBdr>
            <w:top w:val="none" w:sz="0" w:space="0" w:color="auto"/>
            <w:left w:val="none" w:sz="0" w:space="0" w:color="auto"/>
            <w:bottom w:val="none" w:sz="0" w:space="0" w:color="auto"/>
            <w:right w:val="none" w:sz="0" w:space="0" w:color="auto"/>
          </w:divBdr>
        </w:div>
        <w:div w:id="344064693">
          <w:marLeft w:val="0"/>
          <w:marRight w:val="0"/>
          <w:marTop w:val="0"/>
          <w:marBottom w:val="0"/>
          <w:divBdr>
            <w:top w:val="none" w:sz="0" w:space="0" w:color="auto"/>
            <w:left w:val="none" w:sz="0" w:space="0" w:color="auto"/>
            <w:bottom w:val="none" w:sz="0" w:space="0" w:color="auto"/>
            <w:right w:val="none" w:sz="0" w:space="0" w:color="auto"/>
          </w:divBdr>
        </w:div>
        <w:div w:id="348138800">
          <w:marLeft w:val="0"/>
          <w:marRight w:val="0"/>
          <w:marTop w:val="0"/>
          <w:marBottom w:val="0"/>
          <w:divBdr>
            <w:top w:val="none" w:sz="0" w:space="0" w:color="auto"/>
            <w:left w:val="none" w:sz="0" w:space="0" w:color="auto"/>
            <w:bottom w:val="none" w:sz="0" w:space="0" w:color="auto"/>
            <w:right w:val="none" w:sz="0" w:space="0" w:color="auto"/>
          </w:divBdr>
        </w:div>
        <w:div w:id="564217901">
          <w:marLeft w:val="0"/>
          <w:marRight w:val="0"/>
          <w:marTop w:val="0"/>
          <w:marBottom w:val="0"/>
          <w:divBdr>
            <w:top w:val="none" w:sz="0" w:space="0" w:color="auto"/>
            <w:left w:val="none" w:sz="0" w:space="0" w:color="auto"/>
            <w:bottom w:val="none" w:sz="0" w:space="0" w:color="auto"/>
            <w:right w:val="none" w:sz="0" w:space="0" w:color="auto"/>
          </w:divBdr>
        </w:div>
        <w:div w:id="646013646">
          <w:marLeft w:val="0"/>
          <w:marRight w:val="0"/>
          <w:marTop w:val="0"/>
          <w:marBottom w:val="0"/>
          <w:divBdr>
            <w:top w:val="none" w:sz="0" w:space="0" w:color="auto"/>
            <w:left w:val="none" w:sz="0" w:space="0" w:color="auto"/>
            <w:bottom w:val="none" w:sz="0" w:space="0" w:color="auto"/>
            <w:right w:val="none" w:sz="0" w:space="0" w:color="auto"/>
          </w:divBdr>
        </w:div>
        <w:div w:id="702558206">
          <w:marLeft w:val="0"/>
          <w:marRight w:val="0"/>
          <w:marTop w:val="0"/>
          <w:marBottom w:val="0"/>
          <w:divBdr>
            <w:top w:val="none" w:sz="0" w:space="0" w:color="auto"/>
            <w:left w:val="none" w:sz="0" w:space="0" w:color="auto"/>
            <w:bottom w:val="none" w:sz="0" w:space="0" w:color="auto"/>
            <w:right w:val="none" w:sz="0" w:space="0" w:color="auto"/>
          </w:divBdr>
        </w:div>
        <w:div w:id="707989300">
          <w:marLeft w:val="0"/>
          <w:marRight w:val="0"/>
          <w:marTop w:val="0"/>
          <w:marBottom w:val="0"/>
          <w:divBdr>
            <w:top w:val="none" w:sz="0" w:space="0" w:color="auto"/>
            <w:left w:val="none" w:sz="0" w:space="0" w:color="auto"/>
            <w:bottom w:val="none" w:sz="0" w:space="0" w:color="auto"/>
            <w:right w:val="none" w:sz="0" w:space="0" w:color="auto"/>
          </w:divBdr>
        </w:div>
        <w:div w:id="717364268">
          <w:marLeft w:val="0"/>
          <w:marRight w:val="0"/>
          <w:marTop w:val="0"/>
          <w:marBottom w:val="0"/>
          <w:divBdr>
            <w:top w:val="none" w:sz="0" w:space="0" w:color="auto"/>
            <w:left w:val="none" w:sz="0" w:space="0" w:color="auto"/>
            <w:bottom w:val="none" w:sz="0" w:space="0" w:color="auto"/>
            <w:right w:val="none" w:sz="0" w:space="0" w:color="auto"/>
          </w:divBdr>
        </w:div>
        <w:div w:id="722025634">
          <w:marLeft w:val="0"/>
          <w:marRight w:val="0"/>
          <w:marTop w:val="0"/>
          <w:marBottom w:val="0"/>
          <w:divBdr>
            <w:top w:val="none" w:sz="0" w:space="0" w:color="auto"/>
            <w:left w:val="none" w:sz="0" w:space="0" w:color="auto"/>
            <w:bottom w:val="none" w:sz="0" w:space="0" w:color="auto"/>
            <w:right w:val="none" w:sz="0" w:space="0" w:color="auto"/>
          </w:divBdr>
        </w:div>
        <w:div w:id="722869648">
          <w:marLeft w:val="0"/>
          <w:marRight w:val="0"/>
          <w:marTop w:val="0"/>
          <w:marBottom w:val="0"/>
          <w:divBdr>
            <w:top w:val="none" w:sz="0" w:space="0" w:color="auto"/>
            <w:left w:val="none" w:sz="0" w:space="0" w:color="auto"/>
            <w:bottom w:val="none" w:sz="0" w:space="0" w:color="auto"/>
            <w:right w:val="none" w:sz="0" w:space="0" w:color="auto"/>
          </w:divBdr>
        </w:div>
        <w:div w:id="731273927">
          <w:marLeft w:val="0"/>
          <w:marRight w:val="0"/>
          <w:marTop w:val="0"/>
          <w:marBottom w:val="0"/>
          <w:divBdr>
            <w:top w:val="none" w:sz="0" w:space="0" w:color="auto"/>
            <w:left w:val="none" w:sz="0" w:space="0" w:color="auto"/>
            <w:bottom w:val="none" w:sz="0" w:space="0" w:color="auto"/>
            <w:right w:val="none" w:sz="0" w:space="0" w:color="auto"/>
          </w:divBdr>
        </w:div>
        <w:div w:id="927231167">
          <w:marLeft w:val="0"/>
          <w:marRight w:val="0"/>
          <w:marTop w:val="0"/>
          <w:marBottom w:val="0"/>
          <w:divBdr>
            <w:top w:val="none" w:sz="0" w:space="0" w:color="auto"/>
            <w:left w:val="none" w:sz="0" w:space="0" w:color="auto"/>
            <w:bottom w:val="none" w:sz="0" w:space="0" w:color="auto"/>
            <w:right w:val="none" w:sz="0" w:space="0" w:color="auto"/>
          </w:divBdr>
        </w:div>
        <w:div w:id="946737958">
          <w:marLeft w:val="0"/>
          <w:marRight w:val="0"/>
          <w:marTop w:val="0"/>
          <w:marBottom w:val="0"/>
          <w:divBdr>
            <w:top w:val="none" w:sz="0" w:space="0" w:color="auto"/>
            <w:left w:val="none" w:sz="0" w:space="0" w:color="auto"/>
            <w:bottom w:val="none" w:sz="0" w:space="0" w:color="auto"/>
            <w:right w:val="none" w:sz="0" w:space="0" w:color="auto"/>
          </w:divBdr>
        </w:div>
        <w:div w:id="1060832603">
          <w:marLeft w:val="0"/>
          <w:marRight w:val="0"/>
          <w:marTop w:val="0"/>
          <w:marBottom w:val="0"/>
          <w:divBdr>
            <w:top w:val="none" w:sz="0" w:space="0" w:color="auto"/>
            <w:left w:val="none" w:sz="0" w:space="0" w:color="auto"/>
            <w:bottom w:val="none" w:sz="0" w:space="0" w:color="auto"/>
            <w:right w:val="none" w:sz="0" w:space="0" w:color="auto"/>
          </w:divBdr>
        </w:div>
        <w:div w:id="1138917002">
          <w:marLeft w:val="0"/>
          <w:marRight w:val="0"/>
          <w:marTop w:val="0"/>
          <w:marBottom w:val="0"/>
          <w:divBdr>
            <w:top w:val="none" w:sz="0" w:space="0" w:color="auto"/>
            <w:left w:val="none" w:sz="0" w:space="0" w:color="auto"/>
            <w:bottom w:val="none" w:sz="0" w:space="0" w:color="auto"/>
            <w:right w:val="none" w:sz="0" w:space="0" w:color="auto"/>
          </w:divBdr>
        </w:div>
        <w:div w:id="1183586701">
          <w:marLeft w:val="0"/>
          <w:marRight w:val="0"/>
          <w:marTop w:val="0"/>
          <w:marBottom w:val="0"/>
          <w:divBdr>
            <w:top w:val="none" w:sz="0" w:space="0" w:color="auto"/>
            <w:left w:val="none" w:sz="0" w:space="0" w:color="auto"/>
            <w:bottom w:val="none" w:sz="0" w:space="0" w:color="auto"/>
            <w:right w:val="none" w:sz="0" w:space="0" w:color="auto"/>
          </w:divBdr>
        </w:div>
        <w:div w:id="1221209612">
          <w:marLeft w:val="0"/>
          <w:marRight w:val="0"/>
          <w:marTop w:val="0"/>
          <w:marBottom w:val="0"/>
          <w:divBdr>
            <w:top w:val="none" w:sz="0" w:space="0" w:color="auto"/>
            <w:left w:val="none" w:sz="0" w:space="0" w:color="auto"/>
            <w:bottom w:val="none" w:sz="0" w:space="0" w:color="auto"/>
            <w:right w:val="none" w:sz="0" w:space="0" w:color="auto"/>
          </w:divBdr>
        </w:div>
        <w:div w:id="1257514473">
          <w:marLeft w:val="0"/>
          <w:marRight w:val="0"/>
          <w:marTop w:val="0"/>
          <w:marBottom w:val="0"/>
          <w:divBdr>
            <w:top w:val="none" w:sz="0" w:space="0" w:color="auto"/>
            <w:left w:val="none" w:sz="0" w:space="0" w:color="auto"/>
            <w:bottom w:val="none" w:sz="0" w:space="0" w:color="auto"/>
            <w:right w:val="none" w:sz="0" w:space="0" w:color="auto"/>
          </w:divBdr>
        </w:div>
        <w:div w:id="1485049389">
          <w:marLeft w:val="0"/>
          <w:marRight w:val="0"/>
          <w:marTop w:val="0"/>
          <w:marBottom w:val="0"/>
          <w:divBdr>
            <w:top w:val="none" w:sz="0" w:space="0" w:color="auto"/>
            <w:left w:val="none" w:sz="0" w:space="0" w:color="auto"/>
            <w:bottom w:val="none" w:sz="0" w:space="0" w:color="auto"/>
            <w:right w:val="none" w:sz="0" w:space="0" w:color="auto"/>
          </w:divBdr>
        </w:div>
        <w:div w:id="1508904897">
          <w:marLeft w:val="0"/>
          <w:marRight w:val="0"/>
          <w:marTop w:val="0"/>
          <w:marBottom w:val="0"/>
          <w:divBdr>
            <w:top w:val="none" w:sz="0" w:space="0" w:color="auto"/>
            <w:left w:val="none" w:sz="0" w:space="0" w:color="auto"/>
            <w:bottom w:val="none" w:sz="0" w:space="0" w:color="auto"/>
            <w:right w:val="none" w:sz="0" w:space="0" w:color="auto"/>
          </w:divBdr>
        </w:div>
        <w:div w:id="1673027630">
          <w:marLeft w:val="0"/>
          <w:marRight w:val="0"/>
          <w:marTop w:val="0"/>
          <w:marBottom w:val="0"/>
          <w:divBdr>
            <w:top w:val="none" w:sz="0" w:space="0" w:color="auto"/>
            <w:left w:val="none" w:sz="0" w:space="0" w:color="auto"/>
            <w:bottom w:val="none" w:sz="0" w:space="0" w:color="auto"/>
            <w:right w:val="none" w:sz="0" w:space="0" w:color="auto"/>
          </w:divBdr>
        </w:div>
        <w:div w:id="1744717900">
          <w:marLeft w:val="0"/>
          <w:marRight w:val="0"/>
          <w:marTop w:val="0"/>
          <w:marBottom w:val="0"/>
          <w:divBdr>
            <w:top w:val="none" w:sz="0" w:space="0" w:color="auto"/>
            <w:left w:val="none" w:sz="0" w:space="0" w:color="auto"/>
            <w:bottom w:val="none" w:sz="0" w:space="0" w:color="auto"/>
            <w:right w:val="none" w:sz="0" w:space="0" w:color="auto"/>
          </w:divBdr>
        </w:div>
        <w:div w:id="1929191170">
          <w:marLeft w:val="0"/>
          <w:marRight w:val="0"/>
          <w:marTop w:val="0"/>
          <w:marBottom w:val="0"/>
          <w:divBdr>
            <w:top w:val="none" w:sz="0" w:space="0" w:color="auto"/>
            <w:left w:val="none" w:sz="0" w:space="0" w:color="auto"/>
            <w:bottom w:val="none" w:sz="0" w:space="0" w:color="auto"/>
            <w:right w:val="none" w:sz="0" w:space="0" w:color="auto"/>
          </w:divBdr>
        </w:div>
        <w:div w:id="1973168710">
          <w:marLeft w:val="0"/>
          <w:marRight w:val="0"/>
          <w:marTop w:val="0"/>
          <w:marBottom w:val="0"/>
          <w:divBdr>
            <w:top w:val="none" w:sz="0" w:space="0" w:color="auto"/>
            <w:left w:val="none" w:sz="0" w:space="0" w:color="auto"/>
            <w:bottom w:val="none" w:sz="0" w:space="0" w:color="auto"/>
            <w:right w:val="none" w:sz="0" w:space="0" w:color="auto"/>
          </w:divBdr>
        </w:div>
        <w:div w:id="2060811624">
          <w:marLeft w:val="0"/>
          <w:marRight w:val="0"/>
          <w:marTop w:val="0"/>
          <w:marBottom w:val="0"/>
          <w:divBdr>
            <w:top w:val="none" w:sz="0" w:space="0" w:color="auto"/>
            <w:left w:val="none" w:sz="0" w:space="0" w:color="auto"/>
            <w:bottom w:val="none" w:sz="0" w:space="0" w:color="auto"/>
            <w:right w:val="none" w:sz="0" w:space="0" w:color="auto"/>
          </w:divBdr>
        </w:div>
      </w:divsChild>
    </w:div>
    <w:div w:id="1718434397">
      <w:bodyDiv w:val="1"/>
      <w:marLeft w:val="0"/>
      <w:marRight w:val="0"/>
      <w:marTop w:val="0"/>
      <w:marBottom w:val="0"/>
      <w:divBdr>
        <w:top w:val="none" w:sz="0" w:space="0" w:color="auto"/>
        <w:left w:val="none" w:sz="0" w:space="0" w:color="auto"/>
        <w:bottom w:val="none" w:sz="0" w:space="0" w:color="auto"/>
        <w:right w:val="none" w:sz="0" w:space="0" w:color="auto"/>
      </w:divBdr>
    </w:div>
    <w:div w:id="21204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dgefund.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dgefund.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3BC3-09D1-4419-8F8C-654EBEA5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Links>
    <vt:vector size="12" baseType="variant">
      <vt:variant>
        <vt:i4>4784200</vt:i4>
      </vt:variant>
      <vt:variant>
        <vt:i4>3</vt:i4>
      </vt:variant>
      <vt:variant>
        <vt:i4>0</vt:i4>
      </vt:variant>
      <vt:variant>
        <vt:i4>5</vt:i4>
      </vt:variant>
      <vt:variant>
        <vt:lpwstr>http://hedgefund.net/</vt:lpwstr>
      </vt:variant>
      <vt:variant>
        <vt:lpwstr/>
      </vt:variant>
      <vt:variant>
        <vt:i4>4784200</vt:i4>
      </vt:variant>
      <vt:variant>
        <vt:i4>0</vt:i4>
      </vt:variant>
      <vt:variant>
        <vt:i4>0</vt:i4>
      </vt:variant>
      <vt:variant>
        <vt:i4>5</vt:i4>
      </vt:variant>
      <vt:variant>
        <vt:lpwstr>http://hedgefund.net/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10</cp:revision>
  <dcterms:created xsi:type="dcterms:W3CDTF">2017-05-18T14:16:00Z</dcterms:created>
  <dcterms:modified xsi:type="dcterms:W3CDTF">2017-05-24T13:48:00Z</dcterms:modified>
</cp:coreProperties>
</file>