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2B" w:rsidRPr="00B55D5B" w:rsidRDefault="00C52B17" w:rsidP="00EF172B">
      <w:pPr>
        <w:spacing w:beforeLines="50" w:before="156" w:afterLines="50" w:after="156" w:line="360" w:lineRule="auto"/>
        <w:rPr>
          <w:rFonts w:ascii="Times New Roman" w:eastAsia="宋体" w:hAnsi="Times New Roman" w:cs="Times New Roman"/>
          <w:b/>
          <w:sz w:val="24"/>
          <w:szCs w:val="24"/>
        </w:rPr>
      </w:pPr>
      <w:r w:rsidRPr="00B55D5B">
        <w:rPr>
          <w:rFonts w:ascii="Times New Roman" w:eastAsia="宋体" w:hAnsi="Times New Roman" w:cs="Times New Roman"/>
          <w:b/>
          <w:sz w:val="24"/>
          <w:szCs w:val="24"/>
        </w:rPr>
        <w:t>第</w:t>
      </w:r>
      <w:r>
        <w:rPr>
          <w:rFonts w:ascii="Times New Roman" w:eastAsia="宋体" w:hAnsi="Times New Roman" w:cs="Times New Roman" w:hint="eastAsia"/>
          <w:b/>
          <w:sz w:val="24"/>
          <w:szCs w:val="24"/>
        </w:rPr>
        <w:t>6</w:t>
      </w:r>
      <w:r w:rsidR="00EF172B" w:rsidRPr="00B55D5B">
        <w:rPr>
          <w:rFonts w:ascii="Times New Roman" w:eastAsia="宋体" w:hAnsi="Times New Roman" w:cs="Times New Roman"/>
          <w:b/>
          <w:sz w:val="24"/>
          <w:szCs w:val="24"/>
        </w:rPr>
        <w:t>章</w:t>
      </w:r>
      <w:r w:rsidR="00EF172B" w:rsidRPr="00B55D5B">
        <w:rPr>
          <w:rFonts w:ascii="Times New Roman" w:eastAsia="宋体" w:hAnsi="Times New Roman" w:cs="Times New Roman"/>
          <w:b/>
          <w:sz w:val="24"/>
          <w:szCs w:val="24"/>
        </w:rPr>
        <w:t xml:space="preserve"> FOF</w:t>
      </w:r>
      <w:r w:rsidR="00EF172B" w:rsidRPr="00B55D5B">
        <w:rPr>
          <w:rFonts w:ascii="Times New Roman" w:eastAsia="宋体" w:hAnsi="Times New Roman" w:cs="Times New Roman"/>
          <w:b/>
          <w:sz w:val="24"/>
          <w:szCs w:val="24"/>
        </w:rPr>
        <w:t>为什么能</w:t>
      </w:r>
      <w:r w:rsidR="00AD4D69" w:rsidRPr="00B55D5B">
        <w:rPr>
          <w:rFonts w:ascii="Times New Roman" w:eastAsia="宋体" w:hAnsi="Times New Roman" w:cs="Times New Roman"/>
          <w:b/>
          <w:sz w:val="24"/>
          <w:szCs w:val="24"/>
        </w:rPr>
        <w:t>取得更好的投资效果</w:t>
      </w:r>
    </w:p>
    <w:p w:rsidR="00EF172B" w:rsidRPr="00B55D5B" w:rsidRDefault="00EF172B" w:rsidP="00EF172B">
      <w:pPr>
        <w:spacing w:line="360" w:lineRule="auto"/>
        <w:ind w:firstLine="539"/>
        <w:rPr>
          <w:rFonts w:ascii="Times New Roman" w:eastAsia="宋体" w:hAnsi="Times New Roman" w:cs="Times New Roman"/>
          <w:sz w:val="24"/>
          <w:szCs w:val="24"/>
        </w:rPr>
      </w:pPr>
      <w:r w:rsidRPr="00B55D5B">
        <w:rPr>
          <w:rFonts w:ascii="Times New Roman" w:eastAsia="宋体" w:hAnsi="Times New Roman" w:cs="Times New Roman"/>
          <w:sz w:val="24"/>
          <w:szCs w:val="24"/>
        </w:rPr>
        <w:t>FOF</w:t>
      </w:r>
      <w:r w:rsidRPr="00B55D5B">
        <w:rPr>
          <w:rFonts w:ascii="Times New Roman" w:eastAsia="宋体" w:hAnsi="Times New Roman" w:cs="Times New Roman"/>
          <w:sz w:val="24"/>
          <w:szCs w:val="24"/>
        </w:rPr>
        <w:t>的主要投资者是高净值</w:t>
      </w:r>
      <w:r w:rsidR="009833C4" w:rsidRPr="00B55D5B">
        <w:rPr>
          <w:rFonts w:ascii="Times New Roman" w:eastAsia="宋体" w:hAnsi="Times New Roman" w:cs="Times New Roman" w:hint="eastAsia"/>
          <w:sz w:val="24"/>
          <w:szCs w:val="24"/>
        </w:rPr>
        <w:t>客户</w:t>
      </w:r>
      <w:r w:rsidRPr="00B55D5B">
        <w:rPr>
          <w:rFonts w:ascii="Times New Roman" w:eastAsia="宋体" w:hAnsi="Times New Roman" w:cs="Times New Roman"/>
          <w:sz w:val="24"/>
          <w:szCs w:val="24"/>
        </w:rPr>
        <w:t>、</w:t>
      </w:r>
      <w:r w:rsidR="00F35131" w:rsidRPr="00B55D5B">
        <w:rPr>
          <w:rFonts w:ascii="Times New Roman" w:eastAsia="宋体" w:hAnsi="Times New Roman" w:cs="Times New Roman"/>
          <w:sz w:val="24"/>
          <w:szCs w:val="24"/>
        </w:rPr>
        <w:t>家族办公室</w:t>
      </w:r>
      <w:r w:rsidRPr="00B55D5B">
        <w:rPr>
          <w:rFonts w:ascii="Times New Roman" w:eastAsia="宋体" w:hAnsi="Times New Roman" w:cs="Times New Roman"/>
          <w:sz w:val="24"/>
          <w:szCs w:val="24"/>
        </w:rPr>
        <w:t>、</w:t>
      </w:r>
      <w:r w:rsidR="00D33E77" w:rsidRPr="00B55D5B">
        <w:rPr>
          <w:rFonts w:ascii="Times New Roman" w:eastAsia="宋体" w:hAnsi="Times New Roman" w:cs="Times New Roman"/>
          <w:sz w:val="24"/>
          <w:szCs w:val="24"/>
        </w:rPr>
        <w:t>各类基金会</w:t>
      </w:r>
      <w:r w:rsidRPr="00B55D5B">
        <w:rPr>
          <w:rFonts w:ascii="Times New Roman" w:eastAsia="宋体" w:hAnsi="Times New Roman" w:cs="Times New Roman"/>
          <w:sz w:val="24"/>
          <w:szCs w:val="24"/>
        </w:rPr>
        <w:t>及机构投资者。</w:t>
      </w:r>
      <w:r w:rsidR="00FD5033" w:rsidRPr="00B55D5B">
        <w:rPr>
          <w:rFonts w:ascii="Times New Roman" w:eastAsia="宋体" w:hAnsi="Times New Roman" w:cs="Times New Roman"/>
          <w:sz w:val="24"/>
          <w:szCs w:val="24"/>
        </w:rPr>
        <w:t>对冲基金的投资者构成与</w:t>
      </w:r>
      <w:r w:rsidR="00FD5033" w:rsidRPr="00B55D5B">
        <w:rPr>
          <w:rFonts w:ascii="Times New Roman" w:eastAsia="宋体" w:hAnsi="Times New Roman" w:cs="Times New Roman"/>
          <w:sz w:val="24"/>
          <w:szCs w:val="24"/>
        </w:rPr>
        <w:t>FOF</w:t>
      </w:r>
      <w:r w:rsidR="00FD5033" w:rsidRPr="00B55D5B">
        <w:rPr>
          <w:rFonts w:ascii="Times New Roman" w:eastAsia="宋体" w:hAnsi="Times New Roman" w:cs="Times New Roman"/>
          <w:sz w:val="24"/>
          <w:szCs w:val="24"/>
        </w:rPr>
        <w:t>并无本质差别</w:t>
      </w:r>
      <w:r w:rsidRPr="00B55D5B">
        <w:rPr>
          <w:rFonts w:ascii="Times New Roman" w:eastAsia="宋体" w:hAnsi="Times New Roman" w:cs="Times New Roman"/>
          <w:sz w:val="24"/>
          <w:szCs w:val="24"/>
        </w:rPr>
        <w:t>。</w:t>
      </w:r>
      <w:r w:rsidR="00FD5033" w:rsidRPr="00B55D5B">
        <w:rPr>
          <w:rFonts w:ascii="Times New Roman" w:eastAsia="宋体" w:hAnsi="Times New Roman" w:cs="Times New Roman"/>
          <w:sz w:val="24"/>
          <w:szCs w:val="24"/>
        </w:rPr>
        <w:t>对冲基金的投资者所偏好的投资工具</w:t>
      </w:r>
      <w:r w:rsidR="00E54E8B" w:rsidRPr="00B55D5B">
        <w:rPr>
          <w:rFonts w:ascii="Times New Roman" w:eastAsia="宋体" w:hAnsi="Times New Roman" w:cs="Times New Roman"/>
          <w:sz w:val="24"/>
          <w:szCs w:val="24"/>
        </w:rPr>
        <w:t>至少符合以下特征之一</w:t>
      </w:r>
      <w:r w:rsidRPr="00B55D5B">
        <w:rPr>
          <w:rFonts w:ascii="Times New Roman" w:eastAsia="宋体" w:hAnsi="Times New Roman" w:cs="Times New Roman"/>
          <w:sz w:val="24"/>
          <w:szCs w:val="24"/>
        </w:rPr>
        <w:t>：</w:t>
      </w:r>
    </w:p>
    <w:p w:rsidR="00EF172B" w:rsidRPr="00B55D5B" w:rsidRDefault="00EF172B" w:rsidP="00EF172B">
      <w:pPr>
        <w:numPr>
          <w:ilvl w:val="0"/>
          <w:numId w:val="2"/>
        </w:numPr>
        <w:spacing w:line="360" w:lineRule="auto"/>
        <w:ind w:left="959"/>
        <w:rPr>
          <w:rFonts w:ascii="Times New Roman" w:eastAsia="宋体" w:hAnsi="Times New Roman" w:cs="Times New Roman"/>
          <w:sz w:val="24"/>
          <w:szCs w:val="24"/>
        </w:rPr>
      </w:pPr>
      <w:r w:rsidRPr="00B55D5B">
        <w:rPr>
          <w:rFonts w:ascii="Times New Roman" w:eastAsia="宋体" w:hAnsi="Times New Roman" w:cs="Times New Roman"/>
          <w:sz w:val="24"/>
          <w:szCs w:val="24"/>
        </w:rPr>
        <w:t>与公开债券</w:t>
      </w:r>
      <w:r w:rsidR="00FD5033" w:rsidRPr="00B55D5B">
        <w:rPr>
          <w:rFonts w:ascii="Times New Roman" w:eastAsia="宋体" w:hAnsi="Times New Roman" w:cs="Times New Roman"/>
          <w:sz w:val="24"/>
          <w:szCs w:val="24"/>
        </w:rPr>
        <w:t>市场</w:t>
      </w:r>
      <w:r w:rsidRPr="00B55D5B">
        <w:rPr>
          <w:rFonts w:ascii="Times New Roman" w:eastAsia="宋体" w:hAnsi="Times New Roman" w:cs="Times New Roman"/>
          <w:sz w:val="24"/>
          <w:szCs w:val="24"/>
        </w:rPr>
        <w:t>和股票市场不相关或相关性较低</w:t>
      </w:r>
      <w:r w:rsidR="00FD5033" w:rsidRPr="00B55D5B">
        <w:rPr>
          <w:rFonts w:ascii="Times New Roman" w:eastAsia="宋体" w:hAnsi="Times New Roman" w:cs="Times New Roman"/>
          <w:sz w:val="24"/>
          <w:szCs w:val="24"/>
        </w:rPr>
        <w:t>；</w:t>
      </w:r>
    </w:p>
    <w:p w:rsidR="00EF172B" w:rsidRPr="00B55D5B" w:rsidRDefault="001A03B9" w:rsidP="00EF172B">
      <w:pPr>
        <w:numPr>
          <w:ilvl w:val="0"/>
          <w:numId w:val="2"/>
        </w:numPr>
        <w:spacing w:line="360" w:lineRule="auto"/>
        <w:ind w:left="959"/>
        <w:rPr>
          <w:rFonts w:ascii="Times New Roman" w:eastAsia="宋体" w:hAnsi="Times New Roman" w:cs="Times New Roman"/>
          <w:sz w:val="24"/>
          <w:szCs w:val="24"/>
        </w:rPr>
      </w:pPr>
      <w:r w:rsidRPr="00B55D5B">
        <w:rPr>
          <w:rFonts w:ascii="Times New Roman" w:eastAsia="宋体" w:hAnsi="Times New Roman" w:cs="Times New Roman"/>
          <w:sz w:val="24"/>
          <w:szCs w:val="24"/>
        </w:rPr>
        <w:t>市场环境不佳</w:t>
      </w:r>
      <w:proofErr w:type="gramStart"/>
      <w:r w:rsidRPr="00B55D5B">
        <w:rPr>
          <w:rFonts w:ascii="Times New Roman" w:eastAsia="宋体" w:hAnsi="Times New Roman" w:cs="Times New Roman"/>
          <w:sz w:val="24"/>
          <w:szCs w:val="24"/>
        </w:rPr>
        <w:t>时业绩</w:t>
      </w:r>
      <w:proofErr w:type="gramEnd"/>
      <w:r w:rsidRPr="00B55D5B">
        <w:rPr>
          <w:rFonts w:ascii="Times New Roman" w:eastAsia="宋体" w:hAnsi="Times New Roman" w:cs="Times New Roman"/>
          <w:sz w:val="24"/>
          <w:szCs w:val="24"/>
        </w:rPr>
        <w:t>能够战胜市场（不亏损），市场回暖后能够抓住</w:t>
      </w:r>
      <w:r w:rsidRPr="00B55D5B">
        <w:rPr>
          <w:rFonts w:ascii="Times New Roman" w:eastAsia="宋体" w:hAnsi="Times New Roman" w:cs="Times New Roman" w:hint="eastAsia"/>
          <w:sz w:val="24"/>
          <w:szCs w:val="24"/>
        </w:rPr>
        <w:t>机会</w:t>
      </w:r>
      <w:r w:rsidR="00FD5033" w:rsidRPr="00B55D5B">
        <w:rPr>
          <w:rFonts w:ascii="Times New Roman" w:eastAsia="宋体" w:hAnsi="Times New Roman" w:cs="Times New Roman"/>
          <w:sz w:val="24"/>
          <w:szCs w:val="24"/>
        </w:rPr>
        <w:t>取得丰厚回报</w:t>
      </w:r>
      <w:r w:rsidR="00E54E8B" w:rsidRPr="00B55D5B">
        <w:rPr>
          <w:rFonts w:ascii="Times New Roman" w:eastAsia="宋体" w:hAnsi="Times New Roman" w:cs="Times New Roman"/>
          <w:sz w:val="24"/>
          <w:szCs w:val="24"/>
        </w:rPr>
        <w:t>；</w:t>
      </w:r>
    </w:p>
    <w:p w:rsidR="00EF172B" w:rsidRPr="00B55D5B" w:rsidRDefault="00EF172B" w:rsidP="00EF172B">
      <w:pPr>
        <w:numPr>
          <w:ilvl w:val="0"/>
          <w:numId w:val="2"/>
        </w:numPr>
        <w:spacing w:line="360" w:lineRule="auto"/>
        <w:ind w:left="959"/>
        <w:rPr>
          <w:rFonts w:ascii="Times New Roman" w:eastAsia="宋体" w:hAnsi="Times New Roman" w:cs="Times New Roman"/>
          <w:sz w:val="24"/>
          <w:szCs w:val="24"/>
        </w:rPr>
      </w:pPr>
      <w:r w:rsidRPr="00B55D5B">
        <w:rPr>
          <w:rFonts w:ascii="Times New Roman" w:eastAsia="宋体" w:hAnsi="Times New Roman" w:cs="Times New Roman"/>
          <w:sz w:val="24"/>
          <w:szCs w:val="24"/>
        </w:rPr>
        <w:t>对于在固定收益和信贷方面缺乏专业技能或没有专业投资团队来分析单个对冲基金策略的投资者来说</w:t>
      </w:r>
      <w:r w:rsidR="00E54E8B" w:rsidRPr="00B55D5B">
        <w:rPr>
          <w:rFonts w:ascii="Times New Roman" w:eastAsia="宋体" w:hAnsi="Times New Roman" w:cs="Times New Roman"/>
          <w:sz w:val="24"/>
          <w:szCs w:val="24"/>
        </w:rPr>
        <w:t>不能涉足；</w:t>
      </w:r>
    </w:p>
    <w:p w:rsidR="00EF172B" w:rsidRPr="00B55D5B" w:rsidRDefault="00E54E8B" w:rsidP="00EF172B">
      <w:pPr>
        <w:numPr>
          <w:ilvl w:val="0"/>
          <w:numId w:val="2"/>
        </w:numPr>
        <w:spacing w:line="360" w:lineRule="auto"/>
        <w:ind w:left="959"/>
        <w:rPr>
          <w:rFonts w:ascii="Times New Roman" w:eastAsia="宋体" w:hAnsi="Times New Roman" w:cs="Times New Roman"/>
          <w:sz w:val="24"/>
          <w:szCs w:val="24"/>
        </w:rPr>
      </w:pPr>
      <w:r w:rsidRPr="00B55D5B">
        <w:rPr>
          <w:rFonts w:ascii="Times New Roman" w:eastAsia="宋体" w:hAnsi="Times New Roman" w:cs="Times New Roman"/>
          <w:sz w:val="24"/>
          <w:szCs w:val="24"/>
        </w:rPr>
        <w:t>意图</w:t>
      </w:r>
      <w:r w:rsidR="00EF172B" w:rsidRPr="00B55D5B">
        <w:rPr>
          <w:rFonts w:ascii="Times New Roman" w:eastAsia="宋体" w:hAnsi="Times New Roman" w:cs="Times New Roman"/>
          <w:sz w:val="24"/>
          <w:szCs w:val="24"/>
        </w:rPr>
        <w:t>通过投资对冲基金降低投资组合整体的波动性和</w:t>
      </w:r>
      <w:r w:rsidR="00B57715" w:rsidRPr="00B55D5B">
        <w:rPr>
          <w:rFonts w:ascii="Times New Roman" w:eastAsia="宋体" w:hAnsi="Times New Roman" w:cs="Times New Roman" w:hint="eastAsia"/>
          <w:sz w:val="24"/>
          <w:szCs w:val="24"/>
        </w:rPr>
        <w:t>风险敞口</w:t>
      </w:r>
      <w:r w:rsidRPr="00B55D5B">
        <w:rPr>
          <w:rFonts w:ascii="Times New Roman" w:eastAsia="宋体" w:hAnsi="Times New Roman" w:cs="Times New Roman"/>
          <w:sz w:val="24"/>
          <w:szCs w:val="24"/>
        </w:rPr>
        <w:t>；</w:t>
      </w:r>
    </w:p>
    <w:p w:rsidR="00EF172B" w:rsidRPr="00B55D5B" w:rsidRDefault="00EF172B" w:rsidP="00EF172B">
      <w:pPr>
        <w:spacing w:beforeLines="50" w:before="156" w:afterLines="50" w:after="156" w:line="360" w:lineRule="auto"/>
        <w:rPr>
          <w:rFonts w:ascii="Times New Roman" w:eastAsia="宋体" w:hAnsi="Times New Roman" w:cs="Times New Roman"/>
          <w:b/>
          <w:sz w:val="24"/>
          <w:szCs w:val="24"/>
        </w:rPr>
      </w:pPr>
      <w:r w:rsidRPr="00B55D5B">
        <w:rPr>
          <w:rFonts w:ascii="Times New Roman" w:eastAsia="宋体" w:hAnsi="Times New Roman" w:cs="Times New Roman"/>
          <w:b/>
          <w:sz w:val="24"/>
          <w:szCs w:val="24"/>
        </w:rPr>
        <w:t>早期的接受者</w:t>
      </w:r>
    </w:p>
    <w:p w:rsidR="00EF172B" w:rsidRPr="00B55D5B" w:rsidRDefault="003B54D4"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基金会及捐赠基金在</w:t>
      </w:r>
      <w:r w:rsidR="00A4489D" w:rsidRPr="00B55D5B">
        <w:rPr>
          <w:rFonts w:ascii="Times New Roman" w:eastAsia="宋体" w:hAnsi="Times New Roman" w:cs="Times New Roman"/>
          <w:sz w:val="24"/>
          <w:szCs w:val="24"/>
        </w:rPr>
        <w:t>20</w:t>
      </w:r>
      <w:r w:rsidR="00A4489D" w:rsidRPr="00B55D5B">
        <w:rPr>
          <w:rFonts w:ascii="Times New Roman" w:eastAsia="宋体" w:hAnsi="Times New Roman" w:cs="Times New Roman" w:hint="eastAsia"/>
          <w:sz w:val="24"/>
          <w:szCs w:val="24"/>
        </w:rPr>
        <w:t>世纪</w:t>
      </w:r>
      <w:r w:rsidR="00A4489D" w:rsidRPr="00B55D5B">
        <w:rPr>
          <w:rFonts w:ascii="Times New Roman" w:eastAsia="宋体" w:hAnsi="Times New Roman" w:cs="Times New Roman" w:hint="eastAsia"/>
          <w:sz w:val="24"/>
          <w:szCs w:val="24"/>
        </w:rPr>
        <w:t>90</w:t>
      </w:r>
      <w:r w:rsidRPr="00B55D5B">
        <w:rPr>
          <w:rFonts w:ascii="Times New Roman" w:eastAsia="宋体" w:hAnsi="Times New Roman" w:cs="Times New Roman"/>
          <w:sz w:val="24"/>
          <w:szCs w:val="24"/>
        </w:rPr>
        <w:t>年代便开始投资于对冲基金，他们最</w:t>
      </w:r>
      <w:r w:rsidR="000F02A4" w:rsidRPr="00B55D5B">
        <w:rPr>
          <w:rFonts w:ascii="Times New Roman" w:eastAsia="宋体" w:hAnsi="Times New Roman" w:cs="Times New Roman"/>
          <w:sz w:val="24"/>
          <w:szCs w:val="24"/>
        </w:rPr>
        <w:t>先认可</w:t>
      </w:r>
      <w:r w:rsidRPr="00B55D5B">
        <w:rPr>
          <w:rFonts w:ascii="Times New Roman" w:eastAsia="宋体" w:hAnsi="Times New Roman" w:cs="Times New Roman"/>
          <w:sz w:val="24"/>
          <w:szCs w:val="24"/>
        </w:rPr>
        <w:t>对冲基金的投资者</w:t>
      </w:r>
      <w:r w:rsidR="00EF172B" w:rsidRPr="00B55D5B">
        <w:rPr>
          <w:rFonts w:ascii="Times New Roman" w:eastAsia="宋体" w:hAnsi="Times New Roman" w:cs="Times New Roman"/>
          <w:sz w:val="24"/>
          <w:szCs w:val="24"/>
        </w:rPr>
        <w:t>。</w:t>
      </w:r>
      <w:r w:rsidR="00EB3943" w:rsidRPr="00B55D5B">
        <w:rPr>
          <w:rFonts w:ascii="Times New Roman" w:eastAsia="宋体" w:hAnsi="Times New Roman" w:cs="Times New Roman"/>
          <w:sz w:val="24"/>
          <w:szCs w:val="24"/>
        </w:rPr>
        <w:t>由于基金会及捐赠基金要求持续而高额的投资收益并且需要每年获得其本金一定比例的收益分配，他们在投资于对冲基金这件事上走在了其他机构投资者前方</w:t>
      </w:r>
      <w:r w:rsidR="00EF172B" w:rsidRPr="00B55D5B">
        <w:rPr>
          <w:rFonts w:ascii="Times New Roman" w:eastAsia="宋体" w:hAnsi="Times New Roman" w:cs="Times New Roman"/>
          <w:sz w:val="24"/>
          <w:szCs w:val="24"/>
        </w:rPr>
        <w:t>。</w:t>
      </w:r>
    </w:p>
    <w:p w:rsidR="00EF172B" w:rsidRPr="00B55D5B" w:rsidRDefault="00EF172B"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拥有大量资产的</w:t>
      </w:r>
      <w:r w:rsidR="00F35131" w:rsidRPr="00B55D5B">
        <w:rPr>
          <w:rFonts w:ascii="Times New Roman" w:eastAsia="宋体" w:hAnsi="Times New Roman" w:cs="Times New Roman"/>
          <w:sz w:val="24"/>
          <w:szCs w:val="24"/>
        </w:rPr>
        <w:t>家族办公室</w:t>
      </w:r>
      <w:r w:rsidRPr="00B55D5B">
        <w:rPr>
          <w:rFonts w:ascii="Times New Roman" w:eastAsia="宋体" w:hAnsi="Times New Roman" w:cs="Times New Roman"/>
          <w:sz w:val="24"/>
          <w:szCs w:val="24"/>
        </w:rPr>
        <w:t>也</w:t>
      </w:r>
      <w:r w:rsidR="000F02A4" w:rsidRPr="00B55D5B">
        <w:rPr>
          <w:rFonts w:ascii="Times New Roman" w:eastAsia="宋体" w:hAnsi="Times New Roman" w:cs="Times New Roman"/>
          <w:sz w:val="24"/>
          <w:szCs w:val="24"/>
        </w:rPr>
        <w:t>是比较早开始投资于</w:t>
      </w:r>
      <w:r w:rsidRPr="00B55D5B">
        <w:rPr>
          <w:rFonts w:ascii="Times New Roman" w:eastAsia="宋体" w:hAnsi="Times New Roman" w:cs="Times New Roman"/>
          <w:sz w:val="24"/>
          <w:szCs w:val="24"/>
        </w:rPr>
        <w:t>对冲基金和</w:t>
      </w:r>
      <w:r w:rsidRPr="00B55D5B">
        <w:rPr>
          <w:rFonts w:ascii="Times New Roman" w:eastAsia="宋体" w:hAnsi="Times New Roman" w:cs="Times New Roman"/>
          <w:sz w:val="24"/>
          <w:szCs w:val="24"/>
        </w:rPr>
        <w:t>FOF</w:t>
      </w:r>
      <w:r w:rsidR="000F02A4" w:rsidRPr="00B55D5B">
        <w:rPr>
          <w:rFonts w:ascii="Times New Roman" w:eastAsia="宋体" w:hAnsi="Times New Roman" w:cs="Times New Roman"/>
          <w:sz w:val="24"/>
          <w:szCs w:val="24"/>
        </w:rPr>
        <w:t>的投资者之一</w:t>
      </w:r>
      <w:r w:rsidRPr="00B55D5B">
        <w:rPr>
          <w:rFonts w:ascii="Times New Roman" w:eastAsia="宋体" w:hAnsi="Times New Roman" w:cs="Times New Roman"/>
          <w:sz w:val="24"/>
          <w:szCs w:val="24"/>
        </w:rPr>
        <w:t>。尽管如乔治</w:t>
      </w:r>
      <w:r w:rsidRPr="00B55D5B">
        <w:rPr>
          <w:rFonts w:ascii="Times New Roman" w:eastAsia="宋体" w:hAnsi="Times New Roman" w:cs="Times New Roman"/>
          <w:sz w:val="24"/>
          <w:szCs w:val="24"/>
        </w:rPr>
        <w:t>·</w:t>
      </w:r>
      <w:r w:rsidRPr="00B55D5B">
        <w:rPr>
          <w:rFonts w:ascii="Times New Roman" w:eastAsia="宋体" w:hAnsi="Times New Roman" w:cs="Times New Roman"/>
          <w:sz w:val="24"/>
          <w:szCs w:val="24"/>
        </w:rPr>
        <w:t>索罗斯（</w:t>
      </w:r>
      <w:r w:rsidRPr="00B55D5B">
        <w:rPr>
          <w:rFonts w:ascii="Times New Roman" w:eastAsia="宋体" w:hAnsi="Times New Roman" w:cs="Times New Roman"/>
          <w:sz w:val="24"/>
          <w:szCs w:val="24"/>
        </w:rPr>
        <w:t>George Soros</w:t>
      </w:r>
      <w:r w:rsidRPr="00B55D5B">
        <w:rPr>
          <w:rFonts w:ascii="Times New Roman" w:eastAsia="宋体" w:hAnsi="Times New Roman" w:cs="Times New Roman"/>
          <w:sz w:val="24"/>
          <w:szCs w:val="24"/>
        </w:rPr>
        <w:t>）、朱利安</w:t>
      </w:r>
      <w:r w:rsidRPr="00B55D5B">
        <w:rPr>
          <w:rFonts w:ascii="Times New Roman" w:eastAsia="宋体" w:hAnsi="Times New Roman" w:cs="Times New Roman"/>
          <w:sz w:val="24"/>
          <w:szCs w:val="24"/>
        </w:rPr>
        <w:t>·</w:t>
      </w:r>
      <w:r w:rsidRPr="00B55D5B">
        <w:rPr>
          <w:rFonts w:ascii="Times New Roman" w:eastAsia="宋体" w:hAnsi="Times New Roman" w:cs="Times New Roman"/>
          <w:sz w:val="24"/>
          <w:szCs w:val="24"/>
        </w:rPr>
        <w:t>罗伯逊（</w:t>
      </w:r>
      <w:r w:rsidRPr="00B55D5B">
        <w:rPr>
          <w:rFonts w:ascii="Times New Roman" w:eastAsia="宋体" w:hAnsi="Times New Roman" w:cs="Times New Roman"/>
          <w:sz w:val="24"/>
          <w:szCs w:val="24"/>
        </w:rPr>
        <w:t>Julian Robertson</w:t>
      </w:r>
      <w:r w:rsidRPr="00B55D5B">
        <w:rPr>
          <w:rFonts w:ascii="Times New Roman" w:eastAsia="宋体" w:hAnsi="Times New Roman" w:cs="Times New Roman"/>
          <w:sz w:val="24"/>
          <w:szCs w:val="24"/>
        </w:rPr>
        <w:t>）和迈克尔</w:t>
      </w:r>
      <w:r w:rsidRPr="00B55D5B">
        <w:rPr>
          <w:rFonts w:ascii="Times New Roman" w:eastAsia="宋体" w:hAnsi="Times New Roman" w:cs="Times New Roman"/>
          <w:sz w:val="24"/>
          <w:szCs w:val="24"/>
        </w:rPr>
        <w:t>·</w:t>
      </w:r>
      <w:r w:rsidRPr="00B55D5B">
        <w:rPr>
          <w:rFonts w:ascii="Times New Roman" w:eastAsia="宋体" w:hAnsi="Times New Roman" w:cs="Times New Roman"/>
          <w:sz w:val="24"/>
          <w:szCs w:val="24"/>
        </w:rPr>
        <w:t>斯坦哈特（</w:t>
      </w:r>
      <w:r w:rsidRPr="00B55D5B">
        <w:rPr>
          <w:rFonts w:ascii="Times New Roman" w:eastAsia="宋体" w:hAnsi="Times New Roman" w:cs="Times New Roman"/>
          <w:sz w:val="24"/>
          <w:szCs w:val="24"/>
        </w:rPr>
        <w:t>Michael Steinhardt</w:t>
      </w:r>
      <w:r w:rsidRPr="00B55D5B">
        <w:rPr>
          <w:rFonts w:ascii="Times New Roman" w:eastAsia="宋体" w:hAnsi="Times New Roman" w:cs="Times New Roman"/>
          <w:sz w:val="24"/>
          <w:szCs w:val="24"/>
        </w:rPr>
        <w:t>）等明星对冲基金经理所</w:t>
      </w:r>
      <w:r w:rsidR="00F35131" w:rsidRPr="00B55D5B">
        <w:rPr>
          <w:rFonts w:ascii="Times New Roman" w:eastAsia="宋体" w:hAnsi="Times New Roman" w:cs="Times New Roman"/>
          <w:sz w:val="24"/>
          <w:szCs w:val="24"/>
        </w:rPr>
        <w:t>采用</w:t>
      </w:r>
      <w:r w:rsidRPr="00B55D5B">
        <w:rPr>
          <w:rFonts w:ascii="Times New Roman" w:eastAsia="宋体" w:hAnsi="Times New Roman" w:cs="Times New Roman"/>
          <w:sz w:val="24"/>
          <w:szCs w:val="24"/>
        </w:rPr>
        <w:t>的全球宏观策略</w:t>
      </w:r>
      <w:r w:rsidR="00F35131" w:rsidRPr="00B55D5B">
        <w:rPr>
          <w:rFonts w:ascii="Times New Roman" w:eastAsia="宋体" w:hAnsi="Times New Roman" w:cs="Times New Roman"/>
          <w:sz w:val="24"/>
          <w:szCs w:val="24"/>
        </w:rPr>
        <w:t>在</w:t>
      </w:r>
      <w:r w:rsidR="00F35131" w:rsidRPr="00B55D5B">
        <w:rPr>
          <w:rFonts w:ascii="Times New Roman" w:eastAsia="宋体" w:hAnsi="Times New Roman" w:cs="Times New Roman"/>
          <w:sz w:val="24"/>
          <w:szCs w:val="24"/>
        </w:rPr>
        <w:t>90</w:t>
      </w:r>
      <w:r w:rsidR="00F35131" w:rsidRPr="00B55D5B">
        <w:rPr>
          <w:rFonts w:ascii="Times New Roman" w:eastAsia="宋体" w:hAnsi="Times New Roman" w:cs="Times New Roman"/>
          <w:sz w:val="24"/>
          <w:szCs w:val="24"/>
        </w:rPr>
        <w:t>年代备受追捧</w:t>
      </w:r>
      <w:r w:rsidRPr="00B55D5B">
        <w:rPr>
          <w:rFonts w:ascii="Times New Roman" w:eastAsia="宋体" w:hAnsi="Times New Roman" w:cs="Times New Roman"/>
          <w:sz w:val="24"/>
          <w:szCs w:val="24"/>
        </w:rPr>
        <w:t>，</w:t>
      </w:r>
      <w:r w:rsidR="00F35131" w:rsidRPr="00B55D5B">
        <w:rPr>
          <w:rFonts w:ascii="Times New Roman" w:eastAsia="宋体" w:hAnsi="Times New Roman" w:cs="Times New Roman"/>
          <w:sz w:val="24"/>
          <w:szCs w:val="24"/>
        </w:rPr>
        <w:t>但</w:t>
      </w:r>
      <w:r w:rsidRPr="00B55D5B">
        <w:rPr>
          <w:rFonts w:ascii="Times New Roman" w:eastAsia="宋体" w:hAnsi="Times New Roman" w:cs="Times New Roman"/>
          <w:sz w:val="24"/>
          <w:szCs w:val="24"/>
        </w:rPr>
        <w:t>许多</w:t>
      </w:r>
      <w:r w:rsidR="00F35131" w:rsidRPr="00B55D5B">
        <w:rPr>
          <w:rFonts w:ascii="Times New Roman" w:eastAsia="宋体" w:hAnsi="Times New Roman" w:cs="Times New Roman"/>
          <w:sz w:val="24"/>
          <w:szCs w:val="24"/>
        </w:rPr>
        <w:t>家族办公室</w:t>
      </w:r>
      <w:r w:rsidRPr="00B55D5B">
        <w:rPr>
          <w:rFonts w:ascii="Times New Roman" w:eastAsia="宋体" w:hAnsi="Times New Roman" w:cs="Times New Roman"/>
          <w:sz w:val="24"/>
          <w:szCs w:val="24"/>
        </w:rPr>
        <w:t>还是</w:t>
      </w:r>
      <w:r w:rsidR="00F35131" w:rsidRPr="00B55D5B">
        <w:rPr>
          <w:rFonts w:ascii="Times New Roman" w:eastAsia="宋体" w:hAnsi="Times New Roman" w:cs="Times New Roman"/>
          <w:sz w:val="24"/>
          <w:szCs w:val="24"/>
        </w:rPr>
        <w:t>认为有必要在不同大类资产及投资策略间进行分散化投资。鉴于此，家族办公室便产生了</w:t>
      </w:r>
      <w:r w:rsidR="00C327BF" w:rsidRPr="00B55D5B">
        <w:rPr>
          <w:rFonts w:ascii="Times New Roman" w:eastAsia="宋体" w:hAnsi="Times New Roman" w:cs="Times New Roman"/>
          <w:sz w:val="24"/>
          <w:szCs w:val="24"/>
        </w:rPr>
        <w:t>鉴别</w:t>
      </w:r>
      <w:r w:rsidR="00F35131" w:rsidRPr="00B55D5B">
        <w:rPr>
          <w:rFonts w:ascii="Times New Roman" w:eastAsia="宋体" w:hAnsi="Times New Roman" w:cs="Times New Roman"/>
          <w:sz w:val="24"/>
          <w:szCs w:val="24"/>
        </w:rPr>
        <w:t>对冲基金经理的服务需求</w:t>
      </w:r>
      <w:r w:rsidRPr="00B55D5B">
        <w:rPr>
          <w:rFonts w:ascii="Times New Roman" w:eastAsia="宋体" w:hAnsi="Times New Roman" w:cs="Times New Roman"/>
          <w:sz w:val="24"/>
          <w:szCs w:val="24"/>
        </w:rPr>
        <w:t>。</w:t>
      </w:r>
      <w:r w:rsidR="00C327BF" w:rsidRPr="00B55D5B">
        <w:rPr>
          <w:rFonts w:ascii="Times New Roman" w:eastAsia="宋体" w:hAnsi="Times New Roman" w:cs="Times New Roman"/>
          <w:sz w:val="24"/>
          <w:szCs w:val="24"/>
        </w:rPr>
        <w:t>我们的调查显示只有少部分家族</w:t>
      </w:r>
      <w:r w:rsidR="005E35AC" w:rsidRPr="00B55D5B">
        <w:rPr>
          <w:rFonts w:ascii="Times New Roman" w:eastAsia="宋体" w:hAnsi="Times New Roman" w:cs="Times New Roman" w:hint="eastAsia"/>
          <w:sz w:val="24"/>
          <w:szCs w:val="24"/>
        </w:rPr>
        <w:t>办公室</w:t>
      </w:r>
      <w:r w:rsidR="00C327BF" w:rsidRPr="00B55D5B">
        <w:rPr>
          <w:rFonts w:ascii="Times New Roman" w:eastAsia="宋体" w:hAnsi="Times New Roman" w:cs="Times New Roman"/>
          <w:sz w:val="24"/>
          <w:szCs w:val="24"/>
        </w:rPr>
        <w:t>有能力鉴别对冲基金经理</w:t>
      </w:r>
      <w:r w:rsidRPr="00B55D5B">
        <w:rPr>
          <w:rFonts w:ascii="Times New Roman" w:eastAsia="宋体" w:hAnsi="Times New Roman" w:cs="Times New Roman"/>
          <w:sz w:val="24"/>
          <w:szCs w:val="24"/>
        </w:rPr>
        <w:t>。</w:t>
      </w:r>
      <w:r w:rsidR="00C327BF" w:rsidRPr="00B55D5B">
        <w:rPr>
          <w:rFonts w:ascii="Times New Roman" w:eastAsia="宋体" w:hAnsi="Times New Roman" w:cs="Times New Roman"/>
          <w:sz w:val="24"/>
          <w:szCs w:val="24"/>
        </w:rPr>
        <w:t>绝大多数家族工作室对于对冲基金经理的鉴别的主要依据都是基金经理的口碑，而关于基金经理口碑的相关信息则大多是在诸如</w:t>
      </w:r>
      <w:r w:rsidRPr="00B55D5B">
        <w:rPr>
          <w:rFonts w:ascii="Times New Roman" w:eastAsia="宋体" w:hAnsi="Times New Roman" w:cs="Times New Roman"/>
          <w:sz w:val="24"/>
          <w:szCs w:val="24"/>
        </w:rPr>
        <w:t>乡村俱乐部</w:t>
      </w:r>
      <w:r w:rsidR="00C327BF" w:rsidRPr="00B55D5B">
        <w:rPr>
          <w:rFonts w:ascii="Times New Roman" w:eastAsia="宋体" w:hAnsi="Times New Roman" w:cs="Times New Roman"/>
          <w:sz w:val="24"/>
          <w:szCs w:val="24"/>
        </w:rPr>
        <w:t>这类</w:t>
      </w:r>
      <w:r w:rsidRPr="00B55D5B">
        <w:rPr>
          <w:rFonts w:ascii="Times New Roman" w:eastAsia="宋体" w:hAnsi="Times New Roman" w:cs="Times New Roman"/>
          <w:sz w:val="24"/>
          <w:szCs w:val="24"/>
        </w:rPr>
        <w:t>社交活动</w:t>
      </w:r>
      <w:r w:rsidR="00C327BF" w:rsidRPr="00B55D5B">
        <w:rPr>
          <w:rFonts w:ascii="Times New Roman" w:eastAsia="宋体" w:hAnsi="Times New Roman" w:cs="Times New Roman"/>
          <w:sz w:val="24"/>
          <w:szCs w:val="24"/>
        </w:rPr>
        <w:t>中得来的</w:t>
      </w:r>
      <w:r w:rsidRPr="00B55D5B">
        <w:rPr>
          <w:rFonts w:ascii="Times New Roman" w:eastAsia="宋体" w:hAnsi="Times New Roman" w:cs="Times New Roman"/>
          <w:sz w:val="24"/>
          <w:szCs w:val="24"/>
        </w:rPr>
        <w:t>。（听起来是不是很熟悉？）</w:t>
      </w:r>
    </w:p>
    <w:p w:rsidR="00EF172B" w:rsidRPr="00B55D5B" w:rsidRDefault="007A0CE6"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90</w:t>
      </w:r>
      <w:r w:rsidRPr="00B55D5B">
        <w:rPr>
          <w:rFonts w:ascii="Times New Roman" w:eastAsia="宋体" w:hAnsi="Times New Roman" w:cs="Times New Roman"/>
          <w:sz w:val="24"/>
          <w:szCs w:val="24"/>
        </w:rPr>
        <w:t>年代</w:t>
      </w:r>
      <w:r w:rsidR="003E3914" w:rsidRPr="00B55D5B">
        <w:rPr>
          <w:rFonts w:ascii="Times New Roman" w:eastAsia="宋体" w:hAnsi="Times New Roman" w:cs="Times New Roman"/>
          <w:sz w:val="24"/>
          <w:szCs w:val="24"/>
        </w:rPr>
        <w:t>早期</w:t>
      </w:r>
      <w:r w:rsidR="003E3914" w:rsidRPr="00B55D5B">
        <w:rPr>
          <w:rFonts w:ascii="Times New Roman" w:eastAsia="宋体" w:hAnsi="Times New Roman" w:cs="Times New Roman"/>
          <w:sz w:val="24"/>
          <w:szCs w:val="24"/>
        </w:rPr>
        <w:t>FOF</w:t>
      </w:r>
      <w:r w:rsidR="003E3914" w:rsidRPr="00B55D5B">
        <w:rPr>
          <w:rFonts w:ascii="Times New Roman" w:eastAsia="宋体" w:hAnsi="Times New Roman" w:cs="Times New Roman"/>
          <w:sz w:val="24"/>
          <w:szCs w:val="24"/>
        </w:rPr>
        <w:t>管理人大都在为</w:t>
      </w:r>
      <w:r w:rsidR="00DD1524" w:rsidRPr="00B55D5B">
        <w:rPr>
          <w:rFonts w:ascii="Times New Roman" w:eastAsia="宋体" w:hAnsi="Times New Roman" w:cs="Times New Roman"/>
          <w:sz w:val="24"/>
          <w:szCs w:val="24"/>
        </w:rPr>
        <w:t>筹集资本以开展业务而挣扎</w:t>
      </w:r>
      <w:r w:rsidR="003E3914" w:rsidRPr="00B55D5B">
        <w:rPr>
          <w:rFonts w:ascii="Times New Roman" w:eastAsia="宋体" w:hAnsi="Times New Roman" w:cs="Times New Roman"/>
          <w:sz w:val="24"/>
          <w:szCs w:val="24"/>
        </w:rPr>
        <w:t>。这一阶段，处于初创阶段并且尚在为</w:t>
      </w:r>
      <w:r w:rsidR="00DD1524" w:rsidRPr="00B55D5B">
        <w:rPr>
          <w:rFonts w:ascii="Times New Roman" w:eastAsia="宋体" w:hAnsi="Times New Roman" w:cs="Times New Roman"/>
          <w:sz w:val="24"/>
          <w:szCs w:val="24"/>
        </w:rPr>
        <w:t>筹集资本</w:t>
      </w:r>
      <w:r w:rsidR="003E3914" w:rsidRPr="00B55D5B">
        <w:rPr>
          <w:rFonts w:ascii="Times New Roman" w:eastAsia="宋体" w:hAnsi="Times New Roman" w:cs="Times New Roman"/>
          <w:sz w:val="24"/>
          <w:szCs w:val="24"/>
        </w:rPr>
        <w:t>而挣扎的</w:t>
      </w:r>
      <w:r w:rsidR="003E3914" w:rsidRPr="00B55D5B">
        <w:rPr>
          <w:rFonts w:ascii="Times New Roman" w:eastAsia="宋体" w:hAnsi="Times New Roman" w:cs="Times New Roman"/>
          <w:sz w:val="24"/>
          <w:szCs w:val="24"/>
        </w:rPr>
        <w:t>FOF</w:t>
      </w:r>
      <w:r w:rsidR="003E3914" w:rsidRPr="00B55D5B">
        <w:rPr>
          <w:rFonts w:ascii="Times New Roman" w:eastAsia="宋体" w:hAnsi="Times New Roman" w:cs="Times New Roman"/>
          <w:sz w:val="24"/>
          <w:szCs w:val="24"/>
        </w:rPr>
        <w:t>与财大气粗的家族办公室间难以建立合作关系</w:t>
      </w:r>
      <w:r w:rsidR="00EF172B" w:rsidRPr="00B55D5B">
        <w:rPr>
          <w:rFonts w:ascii="Times New Roman" w:eastAsia="宋体" w:hAnsi="Times New Roman" w:cs="Times New Roman"/>
          <w:sz w:val="24"/>
          <w:szCs w:val="24"/>
        </w:rPr>
        <w:t>。</w:t>
      </w:r>
      <w:r w:rsidR="00C2115F" w:rsidRPr="00B55D5B">
        <w:rPr>
          <w:rFonts w:ascii="Times New Roman" w:eastAsia="宋体" w:hAnsi="Times New Roman" w:cs="Times New Roman"/>
          <w:sz w:val="24"/>
          <w:szCs w:val="24"/>
        </w:rPr>
        <w:t>家族办公室与</w:t>
      </w:r>
      <w:r w:rsidR="00C2115F" w:rsidRPr="00B55D5B">
        <w:rPr>
          <w:rFonts w:ascii="Times New Roman" w:eastAsia="宋体" w:hAnsi="Times New Roman" w:cs="Times New Roman"/>
          <w:sz w:val="24"/>
          <w:szCs w:val="24"/>
        </w:rPr>
        <w:t>FOF</w:t>
      </w:r>
      <w:r w:rsidR="00C2115F" w:rsidRPr="00B55D5B">
        <w:rPr>
          <w:rFonts w:ascii="Times New Roman" w:eastAsia="宋体" w:hAnsi="Times New Roman" w:cs="Times New Roman"/>
          <w:sz w:val="24"/>
          <w:szCs w:val="24"/>
        </w:rPr>
        <w:t>间合作关系的建立</w:t>
      </w:r>
      <w:r w:rsidR="009C1EE0" w:rsidRPr="00B55D5B">
        <w:rPr>
          <w:rFonts w:ascii="Times New Roman" w:eastAsia="宋体" w:hAnsi="Times New Roman" w:cs="Times New Roman"/>
          <w:sz w:val="24"/>
          <w:szCs w:val="24"/>
        </w:rPr>
        <w:t>始于一些大型家族工作</w:t>
      </w:r>
      <w:r w:rsidR="009C1EE0" w:rsidRPr="00B55D5B">
        <w:rPr>
          <w:rFonts w:ascii="Times New Roman" w:eastAsia="宋体" w:hAnsi="Times New Roman" w:cs="Times New Roman"/>
          <w:sz w:val="24"/>
          <w:szCs w:val="24"/>
        </w:rPr>
        <w:lastRenderedPageBreak/>
        <w:t>室进军</w:t>
      </w:r>
      <w:r w:rsidR="009C1EE0" w:rsidRPr="00B55D5B">
        <w:rPr>
          <w:rFonts w:ascii="Times New Roman" w:eastAsia="宋体" w:hAnsi="Times New Roman" w:cs="Times New Roman"/>
          <w:sz w:val="24"/>
          <w:szCs w:val="24"/>
        </w:rPr>
        <w:t>FOF</w:t>
      </w:r>
      <w:r w:rsidR="009C1EE0" w:rsidRPr="00B55D5B">
        <w:rPr>
          <w:rFonts w:ascii="Times New Roman" w:eastAsia="宋体" w:hAnsi="Times New Roman" w:cs="Times New Roman"/>
          <w:sz w:val="24"/>
          <w:szCs w:val="24"/>
        </w:rPr>
        <w:t>管理行业并在行业内建立了在对冲基金筛选及投资方面具有较强能力的</w:t>
      </w:r>
      <w:r w:rsidR="009C1EE0" w:rsidRPr="00B55D5B">
        <w:rPr>
          <w:rFonts w:ascii="Times New Roman" w:eastAsia="宋体" w:hAnsi="Times New Roman" w:cs="Times New Roman"/>
          <w:sz w:val="24"/>
          <w:szCs w:val="24"/>
        </w:rPr>
        <w:t>FOF</w:t>
      </w:r>
      <w:r w:rsidR="009C1EE0" w:rsidRPr="00B55D5B">
        <w:rPr>
          <w:rFonts w:ascii="Times New Roman" w:eastAsia="宋体" w:hAnsi="Times New Roman" w:cs="Times New Roman"/>
          <w:sz w:val="24"/>
          <w:szCs w:val="24"/>
        </w:rPr>
        <w:t>管理机构。由于大型的家族</w:t>
      </w:r>
      <w:r w:rsidR="00313D72" w:rsidRPr="00B55D5B">
        <w:rPr>
          <w:rFonts w:ascii="Times New Roman" w:eastAsia="宋体" w:hAnsi="Times New Roman" w:cs="Times New Roman" w:hint="eastAsia"/>
          <w:sz w:val="24"/>
          <w:szCs w:val="24"/>
        </w:rPr>
        <w:t>办公室</w:t>
      </w:r>
      <w:r w:rsidR="009C1EE0" w:rsidRPr="00B55D5B">
        <w:rPr>
          <w:rFonts w:ascii="Times New Roman" w:eastAsia="宋体" w:hAnsi="Times New Roman" w:cs="Times New Roman"/>
          <w:sz w:val="24"/>
          <w:szCs w:val="24"/>
        </w:rPr>
        <w:t>与机构投资者较为相似，其与</w:t>
      </w:r>
      <w:r w:rsidR="009C1EE0" w:rsidRPr="00B55D5B">
        <w:rPr>
          <w:rFonts w:ascii="Times New Roman" w:eastAsia="宋体" w:hAnsi="Times New Roman" w:cs="Times New Roman"/>
          <w:sz w:val="24"/>
          <w:szCs w:val="24"/>
        </w:rPr>
        <w:t>FOF</w:t>
      </w:r>
      <w:r w:rsidR="009C1EE0" w:rsidRPr="00B55D5B">
        <w:rPr>
          <w:rFonts w:ascii="Times New Roman" w:eastAsia="宋体" w:hAnsi="Times New Roman" w:cs="Times New Roman"/>
          <w:sz w:val="24"/>
          <w:szCs w:val="24"/>
        </w:rPr>
        <w:t>的合作较为契合。自此私人财富管理与机构投资两个领域开始趋同，均开始通过投资对冲基金来追求超额收益。</w:t>
      </w:r>
    </w:p>
    <w:p w:rsidR="00EF172B" w:rsidRPr="00B55D5B" w:rsidRDefault="008B72C7" w:rsidP="00EF172B">
      <w:pPr>
        <w:spacing w:beforeLines="50" w:before="156" w:afterLines="50" w:after="156" w:line="360" w:lineRule="auto"/>
        <w:rPr>
          <w:rFonts w:ascii="Times New Roman" w:eastAsia="宋体" w:hAnsi="Times New Roman" w:cs="Times New Roman"/>
          <w:b/>
          <w:sz w:val="24"/>
          <w:szCs w:val="24"/>
        </w:rPr>
      </w:pPr>
      <w:r w:rsidRPr="00B55D5B">
        <w:rPr>
          <w:rFonts w:ascii="Times New Roman" w:eastAsia="宋体" w:hAnsi="Times New Roman" w:cs="Times New Roman" w:hint="eastAsia"/>
          <w:b/>
          <w:sz w:val="24"/>
          <w:szCs w:val="24"/>
        </w:rPr>
        <w:t>选择</w:t>
      </w:r>
      <w:r w:rsidR="005F1F30" w:rsidRPr="00B55D5B">
        <w:rPr>
          <w:rFonts w:ascii="Times New Roman" w:eastAsia="宋体" w:hAnsi="Times New Roman" w:cs="Times New Roman"/>
          <w:b/>
          <w:sz w:val="24"/>
          <w:szCs w:val="24"/>
        </w:rPr>
        <w:t>基金经理</w:t>
      </w:r>
    </w:p>
    <w:p w:rsidR="00EF172B" w:rsidRPr="00B55D5B" w:rsidRDefault="00F35131"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家族办公室</w:t>
      </w:r>
      <w:r w:rsidR="00EF172B" w:rsidRPr="00B55D5B">
        <w:rPr>
          <w:rFonts w:ascii="Times New Roman" w:eastAsia="宋体" w:hAnsi="Times New Roman" w:cs="Times New Roman"/>
          <w:sz w:val="24"/>
          <w:szCs w:val="24"/>
        </w:rPr>
        <w:t>和</w:t>
      </w:r>
      <w:r w:rsidR="00EF172B" w:rsidRPr="00B55D5B">
        <w:rPr>
          <w:rFonts w:ascii="Times New Roman" w:eastAsia="宋体" w:hAnsi="Times New Roman" w:cs="Times New Roman"/>
          <w:sz w:val="24"/>
          <w:szCs w:val="24"/>
        </w:rPr>
        <w:t>FOF</w:t>
      </w:r>
      <w:r w:rsidR="00EF172B" w:rsidRPr="00B55D5B">
        <w:rPr>
          <w:rFonts w:ascii="Times New Roman" w:eastAsia="宋体" w:hAnsi="Times New Roman" w:cs="Times New Roman"/>
          <w:sz w:val="24"/>
          <w:szCs w:val="24"/>
        </w:rPr>
        <w:t>的联合</w:t>
      </w:r>
      <w:r w:rsidR="005F1F30" w:rsidRPr="00B55D5B">
        <w:rPr>
          <w:rFonts w:ascii="Times New Roman" w:eastAsia="宋体" w:hAnsi="Times New Roman" w:cs="Times New Roman"/>
          <w:sz w:val="24"/>
          <w:szCs w:val="24"/>
        </w:rPr>
        <w:t>源于家族办公室意图学习基金筛选及尽职调查的技巧</w:t>
      </w:r>
      <w:r w:rsidR="00EF172B" w:rsidRPr="00B55D5B">
        <w:rPr>
          <w:rFonts w:ascii="Times New Roman" w:eastAsia="宋体" w:hAnsi="Times New Roman" w:cs="Times New Roman"/>
          <w:sz w:val="24"/>
          <w:szCs w:val="24"/>
        </w:rPr>
        <w:t>。</w:t>
      </w:r>
      <w:r w:rsidR="005F1F30" w:rsidRPr="00B55D5B">
        <w:rPr>
          <w:rFonts w:ascii="Times New Roman" w:eastAsia="宋体" w:hAnsi="Times New Roman" w:cs="Times New Roman"/>
          <w:sz w:val="24"/>
          <w:szCs w:val="24"/>
        </w:rPr>
        <w:t>在投资</w:t>
      </w:r>
      <w:r w:rsidR="005F1F30" w:rsidRPr="00B55D5B">
        <w:rPr>
          <w:rFonts w:ascii="Times New Roman" w:eastAsia="宋体" w:hAnsi="Times New Roman" w:cs="Times New Roman"/>
          <w:sz w:val="24"/>
          <w:szCs w:val="24"/>
        </w:rPr>
        <w:t>FOF</w:t>
      </w:r>
      <w:r w:rsidR="00FE1F88" w:rsidRPr="00B55D5B">
        <w:rPr>
          <w:rFonts w:ascii="Times New Roman" w:eastAsia="宋体" w:hAnsi="Times New Roman" w:cs="Times New Roman"/>
          <w:sz w:val="24"/>
          <w:szCs w:val="24"/>
        </w:rPr>
        <w:t>的过程中学习</w:t>
      </w:r>
      <w:r w:rsidR="005F1F30" w:rsidRPr="00B55D5B">
        <w:rPr>
          <w:rFonts w:ascii="Times New Roman" w:eastAsia="宋体" w:hAnsi="Times New Roman" w:cs="Times New Roman"/>
          <w:sz w:val="24"/>
          <w:szCs w:val="24"/>
        </w:rPr>
        <w:t>FOF</w:t>
      </w:r>
      <w:r w:rsidR="005F1F30" w:rsidRPr="00B55D5B">
        <w:rPr>
          <w:rFonts w:ascii="Times New Roman" w:eastAsia="宋体" w:hAnsi="Times New Roman" w:cs="Times New Roman"/>
          <w:sz w:val="24"/>
          <w:szCs w:val="24"/>
        </w:rPr>
        <w:t>如何筛选基金经理并如何在市场中获利，这</w:t>
      </w:r>
      <w:r w:rsidR="00FE1F88" w:rsidRPr="00B55D5B">
        <w:rPr>
          <w:rFonts w:ascii="Times New Roman" w:eastAsia="宋体" w:hAnsi="Times New Roman" w:cs="Times New Roman" w:hint="eastAsia"/>
          <w:sz w:val="24"/>
          <w:szCs w:val="24"/>
        </w:rPr>
        <w:t>点</w:t>
      </w:r>
      <w:r w:rsidR="00FE1F88" w:rsidRPr="00B55D5B">
        <w:rPr>
          <w:rFonts w:ascii="Times New Roman" w:eastAsia="宋体" w:hAnsi="Times New Roman" w:cs="Times New Roman"/>
          <w:sz w:val="24"/>
          <w:szCs w:val="24"/>
        </w:rPr>
        <w:t>对于投资者</w:t>
      </w:r>
      <w:r w:rsidR="00FE1F88" w:rsidRPr="00B55D5B">
        <w:rPr>
          <w:rFonts w:ascii="Times New Roman" w:eastAsia="宋体" w:hAnsi="Times New Roman" w:cs="Times New Roman" w:hint="eastAsia"/>
          <w:sz w:val="24"/>
          <w:szCs w:val="24"/>
        </w:rPr>
        <w:t>来说很有</w:t>
      </w:r>
      <w:r w:rsidR="005F1F30" w:rsidRPr="00B55D5B">
        <w:rPr>
          <w:rFonts w:ascii="Times New Roman" w:eastAsia="宋体" w:hAnsi="Times New Roman" w:cs="Times New Roman"/>
          <w:sz w:val="24"/>
          <w:szCs w:val="24"/>
        </w:rPr>
        <w:t>吸引力</w:t>
      </w:r>
      <w:r w:rsidR="00EF172B" w:rsidRPr="00B55D5B">
        <w:rPr>
          <w:rFonts w:ascii="Times New Roman" w:eastAsia="宋体" w:hAnsi="Times New Roman" w:cs="Times New Roman"/>
          <w:sz w:val="24"/>
          <w:szCs w:val="24"/>
        </w:rPr>
        <w:t>。这种合作关系的第二个</w:t>
      </w:r>
      <w:r w:rsidR="00D308EE" w:rsidRPr="00B55D5B">
        <w:rPr>
          <w:rFonts w:ascii="Times New Roman" w:eastAsia="宋体" w:hAnsi="Times New Roman" w:cs="Times New Roman"/>
          <w:sz w:val="24"/>
          <w:szCs w:val="24"/>
        </w:rPr>
        <w:t>优势在于</w:t>
      </w:r>
      <w:r w:rsidR="00EF172B" w:rsidRPr="00B55D5B">
        <w:rPr>
          <w:rFonts w:ascii="Times New Roman" w:eastAsia="宋体" w:hAnsi="Times New Roman" w:cs="Times New Roman"/>
          <w:sz w:val="24"/>
          <w:szCs w:val="24"/>
        </w:rPr>
        <w:t>，投资者可以</w:t>
      </w:r>
      <w:r w:rsidR="00D308EE" w:rsidRPr="00B55D5B">
        <w:rPr>
          <w:rFonts w:ascii="Times New Roman" w:eastAsia="宋体" w:hAnsi="Times New Roman" w:cs="Times New Roman"/>
          <w:sz w:val="24"/>
          <w:szCs w:val="24"/>
        </w:rPr>
        <w:t>掌握筛选基金经理的必要工具</w:t>
      </w:r>
      <w:r w:rsidR="00EF172B" w:rsidRPr="00B55D5B">
        <w:rPr>
          <w:rFonts w:ascii="Times New Roman" w:eastAsia="宋体" w:hAnsi="Times New Roman" w:cs="Times New Roman"/>
          <w:sz w:val="24"/>
          <w:szCs w:val="24"/>
        </w:rPr>
        <w:t>以及获得进入未知</w:t>
      </w:r>
      <w:r w:rsidR="005D336C" w:rsidRPr="00B55D5B">
        <w:rPr>
          <w:rFonts w:ascii="Times New Roman" w:eastAsia="宋体" w:hAnsi="Times New Roman" w:cs="Times New Roman"/>
          <w:sz w:val="24"/>
          <w:szCs w:val="24"/>
        </w:rPr>
        <w:t>投资</w:t>
      </w:r>
      <w:r w:rsidR="00EF172B" w:rsidRPr="00B55D5B">
        <w:rPr>
          <w:rFonts w:ascii="Times New Roman" w:eastAsia="宋体" w:hAnsi="Times New Roman" w:cs="Times New Roman"/>
          <w:sz w:val="24"/>
          <w:szCs w:val="24"/>
        </w:rPr>
        <w:t>领域的途径。许多</w:t>
      </w:r>
      <w:r w:rsidRPr="00B55D5B">
        <w:rPr>
          <w:rFonts w:ascii="Times New Roman" w:eastAsia="宋体" w:hAnsi="Times New Roman" w:cs="Times New Roman"/>
          <w:sz w:val="24"/>
          <w:szCs w:val="24"/>
        </w:rPr>
        <w:t>家族办公室</w:t>
      </w:r>
      <w:r w:rsidR="005D336C" w:rsidRPr="00B55D5B">
        <w:rPr>
          <w:rFonts w:ascii="Times New Roman" w:eastAsia="宋体" w:hAnsi="Times New Roman" w:cs="Times New Roman"/>
          <w:sz w:val="24"/>
          <w:szCs w:val="24"/>
        </w:rPr>
        <w:t>由</w:t>
      </w:r>
      <w:r w:rsidR="00EF172B" w:rsidRPr="00B55D5B">
        <w:rPr>
          <w:rFonts w:ascii="Times New Roman" w:eastAsia="宋体" w:hAnsi="Times New Roman" w:cs="Times New Roman"/>
          <w:sz w:val="24"/>
          <w:szCs w:val="24"/>
        </w:rPr>
        <w:t>成功的企业家</w:t>
      </w:r>
      <w:r w:rsidR="005D336C" w:rsidRPr="00B55D5B">
        <w:rPr>
          <w:rFonts w:ascii="Times New Roman" w:eastAsia="宋体" w:hAnsi="Times New Roman" w:cs="Times New Roman"/>
          <w:sz w:val="24"/>
          <w:szCs w:val="24"/>
        </w:rPr>
        <w:t>所创办</w:t>
      </w:r>
      <w:r w:rsidR="00EF172B" w:rsidRPr="00B55D5B">
        <w:rPr>
          <w:rFonts w:ascii="Times New Roman" w:eastAsia="宋体" w:hAnsi="Times New Roman" w:cs="Times New Roman"/>
          <w:sz w:val="24"/>
          <w:szCs w:val="24"/>
        </w:rPr>
        <w:t>，所以如果可以使家族获得</w:t>
      </w:r>
      <w:r w:rsidR="005D336C" w:rsidRPr="00B55D5B">
        <w:rPr>
          <w:rFonts w:ascii="Times New Roman" w:eastAsia="宋体" w:hAnsi="Times New Roman" w:cs="Times New Roman"/>
          <w:sz w:val="24"/>
          <w:szCs w:val="24"/>
        </w:rPr>
        <w:t>超额收益</w:t>
      </w:r>
      <w:r w:rsidR="00EF172B" w:rsidRPr="00B55D5B">
        <w:rPr>
          <w:rFonts w:ascii="Times New Roman" w:eastAsia="宋体" w:hAnsi="Times New Roman" w:cs="Times New Roman"/>
          <w:sz w:val="24"/>
          <w:szCs w:val="24"/>
        </w:rPr>
        <w:t>的话，他们仍然乐意投资于</w:t>
      </w:r>
      <w:r w:rsidR="005D336C" w:rsidRPr="00B55D5B">
        <w:rPr>
          <w:rFonts w:ascii="Times New Roman" w:eastAsia="宋体" w:hAnsi="Times New Roman" w:cs="Times New Roman"/>
          <w:sz w:val="24"/>
          <w:szCs w:val="24"/>
        </w:rPr>
        <w:t>那些没有太长历史业绩的基金经理</w:t>
      </w:r>
      <w:r w:rsidR="00EF172B" w:rsidRPr="00B55D5B">
        <w:rPr>
          <w:rFonts w:ascii="Times New Roman" w:eastAsia="宋体" w:hAnsi="Times New Roman" w:cs="Times New Roman"/>
          <w:sz w:val="24"/>
          <w:szCs w:val="24"/>
        </w:rPr>
        <w:t>。</w:t>
      </w:r>
    </w:p>
    <w:p w:rsidR="00EF172B" w:rsidRPr="00B55D5B" w:rsidRDefault="00EF172B"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Landmark Management</w:t>
      </w:r>
      <w:r w:rsidR="001767FD" w:rsidRPr="00B55D5B">
        <w:rPr>
          <w:rFonts w:ascii="Times New Roman" w:eastAsia="宋体" w:hAnsi="Times New Roman" w:cs="Times New Roman"/>
          <w:sz w:val="24"/>
          <w:szCs w:val="24"/>
        </w:rPr>
        <w:t>是一家位于纽约的多家族办公室，该公司的</w:t>
      </w:r>
      <w:r w:rsidR="008A724F" w:rsidRPr="00B55D5B">
        <w:rPr>
          <w:rFonts w:ascii="Times New Roman" w:eastAsia="宋体" w:hAnsi="Times New Roman" w:cs="Times New Roman"/>
          <w:sz w:val="24"/>
          <w:szCs w:val="24"/>
        </w:rPr>
        <w:t>Trip Samson</w:t>
      </w:r>
      <w:r w:rsidR="001767FD" w:rsidRPr="00B55D5B">
        <w:rPr>
          <w:rFonts w:ascii="Times New Roman" w:eastAsia="宋体" w:hAnsi="Times New Roman" w:cs="Times New Roman"/>
          <w:sz w:val="24"/>
          <w:szCs w:val="24"/>
        </w:rPr>
        <w:t>是该策略的率先使用者之一</w:t>
      </w:r>
      <w:r w:rsidRPr="00B55D5B">
        <w:rPr>
          <w:rFonts w:ascii="Times New Roman" w:eastAsia="宋体" w:hAnsi="Times New Roman" w:cs="Times New Roman"/>
          <w:sz w:val="24"/>
          <w:szCs w:val="24"/>
        </w:rPr>
        <w:t>。</w:t>
      </w:r>
    </w:p>
    <w:p w:rsidR="00EF172B" w:rsidRPr="00B55D5B" w:rsidRDefault="008A724F"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Trip</w:t>
      </w:r>
      <w:r w:rsidR="00EF172B" w:rsidRPr="00B55D5B">
        <w:rPr>
          <w:rFonts w:ascii="Times New Roman" w:eastAsia="宋体" w:hAnsi="Times New Roman" w:cs="Times New Roman"/>
          <w:sz w:val="24"/>
          <w:szCs w:val="24"/>
        </w:rPr>
        <w:t>的公司管理着数</w:t>
      </w:r>
      <w:proofErr w:type="gramStart"/>
      <w:r w:rsidR="00EF172B" w:rsidRPr="00B55D5B">
        <w:rPr>
          <w:rFonts w:ascii="Times New Roman" w:eastAsia="宋体" w:hAnsi="Times New Roman" w:cs="Times New Roman"/>
          <w:sz w:val="24"/>
          <w:szCs w:val="24"/>
        </w:rPr>
        <w:t>个</w:t>
      </w:r>
      <w:proofErr w:type="gramEnd"/>
      <w:r w:rsidR="00F35131" w:rsidRPr="00B55D5B">
        <w:rPr>
          <w:rFonts w:ascii="Times New Roman" w:eastAsia="宋体" w:hAnsi="Times New Roman" w:cs="Times New Roman"/>
          <w:sz w:val="24"/>
          <w:szCs w:val="24"/>
        </w:rPr>
        <w:t>家族办公室</w:t>
      </w:r>
      <w:r w:rsidR="00EF172B" w:rsidRPr="00B55D5B">
        <w:rPr>
          <w:rFonts w:ascii="Times New Roman" w:eastAsia="宋体" w:hAnsi="Times New Roman" w:cs="Times New Roman"/>
          <w:sz w:val="24"/>
          <w:szCs w:val="24"/>
        </w:rPr>
        <w:t>的资产，并且在</w:t>
      </w:r>
      <w:r w:rsidR="00EF172B" w:rsidRPr="00B55D5B">
        <w:rPr>
          <w:rFonts w:ascii="Times New Roman" w:eastAsia="宋体" w:hAnsi="Times New Roman" w:cs="Times New Roman"/>
          <w:sz w:val="24"/>
          <w:szCs w:val="24"/>
        </w:rPr>
        <w:t>90</w:t>
      </w:r>
      <w:r w:rsidR="00EF172B" w:rsidRPr="00B55D5B">
        <w:rPr>
          <w:rFonts w:ascii="Times New Roman" w:eastAsia="宋体" w:hAnsi="Times New Roman" w:cs="Times New Roman"/>
          <w:sz w:val="24"/>
          <w:szCs w:val="24"/>
        </w:rPr>
        <w:t>年代中期就开始投资于对冲基金。</w:t>
      </w:r>
      <w:r w:rsidR="001767FD" w:rsidRPr="00B55D5B">
        <w:rPr>
          <w:rFonts w:ascii="Times New Roman" w:eastAsia="宋体" w:hAnsi="Times New Roman" w:cs="Times New Roman"/>
          <w:sz w:val="24"/>
          <w:szCs w:val="24"/>
        </w:rPr>
        <w:t>其投资组合的目标除了</w:t>
      </w:r>
      <w:r w:rsidR="00EF172B" w:rsidRPr="00B55D5B">
        <w:rPr>
          <w:rFonts w:ascii="Times New Roman" w:eastAsia="宋体" w:hAnsi="Times New Roman" w:cs="Times New Roman"/>
          <w:sz w:val="24"/>
          <w:szCs w:val="24"/>
        </w:rPr>
        <w:t>分散公开市场风险</w:t>
      </w:r>
      <w:r w:rsidR="00FE1F88" w:rsidRPr="00B55D5B">
        <w:rPr>
          <w:rFonts w:ascii="Times New Roman" w:eastAsia="宋体" w:hAnsi="Times New Roman" w:cs="Times New Roman" w:hint="eastAsia"/>
          <w:sz w:val="24"/>
          <w:szCs w:val="24"/>
        </w:rPr>
        <w:t>外</w:t>
      </w:r>
      <w:r w:rsidR="00EF172B" w:rsidRPr="00B55D5B">
        <w:rPr>
          <w:rFonts w:ascii="Times New Roman" w:eastAsia="宋体" w:hAnsi="Times New Roman" w:cs="Times New Roman"/>
          <w:sz w:val="24"/>
          <w:szCs w:val="24"/>
        </w:rPr>
        <w:t>还需分散旗下数个家族持有的股票头寸的风险。在</w:t>
      </w:r>
      <w:r w:rsidRPr="00B55D5B">
        <w:rPr>
          <w:rFonts w:ascii="Times New Roman" w:eastAsia="宋体" w:hAnsi="Times New Roman" w:cs="Times New Roman"/>
          <w:sz w:val="24"/>
          <w:szCs w:val="24"/>
        </w:rPr>
        <w:t>Trip</w:t>
      </w:r>
      <w:r w:rsidR="00EF172B" w:rsidRPr="00B55D5B">
        <w:rPr>
          <w:rFonts w:ascii="Times New Roman" w:eastAsia="宋体" w:hAnsi="Times New Roman" w:cs="Times New Roman"/>
          <w:sz w:val="24"/>
          <w:szCs w:val="24"/>
        </w:rPr>
        <w:t>开始把目光投向对冲基金的时候，他遇见了两个同样开始涉足</w:t>
      </w:r>
      <w:r w:rsidR="00EF172B" w:rsidRPr="00B55D5B">
        <w:rPr>
          <w:rFonts w:ascii="Times New Roman" w:eastAsia="宋体" w:hAnsi="Times New Roman" w:cs="Times New Roman"/>
          <w:sz w:val="24"/>
          <w:szCs w:val="24"/>
        </w:rPr>
        <w:t>FOF</w:t>
      </w:r>
      <w:r w:rsidR="00EF172B" w:rsidRPr="00B55D5B">
        <w:rPr>
          <w:rFonts w:ascii="Times New Roman" w:eastAsia="宋体" w:hAnsi="Times New Roman" w:cs="Times New Roman"/>
          <w:sz w:val="24"/>
          <w:szCs w:val="24"/>
        </w:rPr>
        <w:t>的金融</w:t>
      </w:r>
      <w:r w:rsidR="001767FD" w:rsidRPr="00B55D5B">
        <w:rPr>
          <w:rFonts w:ascii="Times New Roman" w:eastAsia="宋体" w:hAnsi="Times New Roman" w:cs="Times New Roman"/>
          <w:sz w:val="24"/>
          <w:szCs w:val="24"/>
        </w:rPr>
        <w:t>行业</w:t>
      </w:r>
      <w:r w:rsidR="001767FD" w:rsidRPr="00B55D5B">
        <w:rPr>
          <w:rFonts w:ascii="Times New Roman" w:eastAsia="宋体" w:hAnsi="Times New Roman" w:cs="Times New Roman"/>
          <w:sz w:val="24"/>
          <w:szCs w:val="24"/>
        </w:rPr>
        <w:t>“</w:t>
      </w:r>
      <w:r w:rsidR="001767FD" w:rsidRPr="00B55D5B">
        <w:rPr>
          <w:rFonts w:ascii="Times New Roman" w:eastAsia="宋体" w:hAnsi="Times New Roman" w:cs="Times New Roman"/>
          <w:sz w:val="24"/>
          <w:szCs w:val="24"/>
        </w:rPr>
        <w:t>老兵</w:t>
      </w:r>
      <w:r w:rsidR="001767FD" w:rsidRPr="00B55D5B">
        <w:rPr>
          <w:rFonts w:ascii="Times New Roman" w:eastAsia="宋体" w:hAnsi="Times New Roman" w:cs="Times New Roman"/>
          <w:sz w:val="24"/>
          <w:szCs w:val="24"/>
        </w:rPr>
        <w:t>”</w:t>
      </w:r>
      <w:r w:rsidR="00EF172B" w:rsidRPr="00B55D5B">
        <w:rPr>
          <w:rFonts w:ascii="Times New Roman" w:eastAsia="宋体" w:hAnsi="Times New Roman" w:cs="Times New Roman"/>
          <w:sz w:val="24"/>
          <w:szCs w:val="24"/>
        </w:rPr>
        <w:t>。</w:t>
      </w:r>
      <w:r w:rsidR="00DD1524" w:rsidRPr="00B55D5B">
        <w:rPr>
          <w:rFonts w:ascii="Times New Roman" w:eastAsia="宋体" w:hAnsi="Times New Roman" w:cs="Times New Roman"/>
          <w:sz w:val="24"/>
          <w:szCs w:val="24"/>
        </w:rPr>
        <w:t>这两个人</w:t>
      </w:r>
      <w:r w:rsidR="00EF172B" w:rsidRPr="00B55D5B">
        <w:rPr>
          <w:rFonts w:ascii="Times New Roman" w:eastAsia="宋体" w:hAnsi="Times New Roman" w:cs="Times New Roman"/>
          <w:sz w:val="24"/>
          <w:szCs w:val="24"/>
        </w:rPr>
        <w:t>都需要资本，且都希望扩展自己现有的关系网。而</w:t>
      </w:r>
      <w:r w:rsidR="00DD1524" w:rsidRPr="00B55D5B">
        <w:rPr>
          <w:rFonts w:ascii="Times New Roman" w:eastAsia="宋体" w:hAnsi="Times New Roman" w:cs="Times New Roman"/>
          <w:sz w:val="24"/>
          <w:szCs w:val="24"/>
        </w:rPr>
        <w:t>Trip</w:t>
      </w:r>
      <w:r w:rsidR="00EF172B" w:rsidRPr="00B55D5B">
        <w:rPr>
          <w:rFonts w:ascii="Times New Roman" w:eastAsia="宋体" w:hAnsi="Times New Roman" w:cs="Times New Roman"/>
          <w:sz w:val="24"/>
          <w:szCs w:val="24"/>
        </w:rPr>
        <w:t>拥有资本，并且</w:t>
      </w:r>
      <w:r w:rsidR="00DD1524" w:rsidRPr="00B55D5B">
        <w:rPr>
          <w:rFonts w:ascii="Times New Roman" w:eastAsia="宋体" w:hAnsi="Times New Roman" w:cs="Times New Roman"/>
          <w:sz w:val="24"/>
          <w:szCs w:val="24"/>
        </w:rPr>
        <w:t>想涉足对冲基金行业，同时</w:t>
      </w:r>
      <w:r w:rsidR="00DD1524" w:rsidRPr="00B55D5B">
        <w:rPr>
          <w:rFonts w:ascii="Times New Roman" w:eastAsia="宋体" w:hAnsi="Times New Roman" w:cs="Times New Roman"/>
          <w:sz w:val="24"/>
          <w:szCs w:val="24"/>
        </w:rPr>
        <w:t>Trip</w:t>
      </w:r>
      <w:r w:rsidR="00EF172B" w:rsidRPr="00B55D5B">
        <w:rPr>
          <w:rFonts w:ascii="Times New Roman" w:eastAsia="宋体" w:hAnsi="Times New Roman" w:cs="Times New Roman"/>
          <w:sz w:val="24"/>
          <w:szCs w:val="24"/>
        </w:rPr>
        <w:t>认为</w:t>
      </w:r>
      <w:r w:rsidR="00DD1524" w:rsidRPr="00B55D5B">
        <w:rPr>
          <w:rFonts w:ascii="Times New Roman" w:eastAsia="宋体" w:hAnsi="Times New Roman" w:cs="Times New Roman"/>
          <w:sz w:val="24"/>
          <w:szCs w:val="24"/>
        </w:rPr>
        <w:t>与这两位行业老兵合作会是双赢的</w:t>
      </w:r>
      <w:r w:rsidR="00EF172B" w:rsidRPr="00B55D5B">
        <w:rPr>
          <w:rFonts w:ascii="Times New Roman" w:eastAsia="宋体" w:hAnsi="Times New Roman" w:cs="Times New Roman"/>
          <w:sz w:val="24"/>
          <w:szCs w:val="24"/>
        </w:rPr>
        <w:t>。事实证明正是如此。那个时候，</w:t>
      </w:r>
      <w:r w:rsidR="00EF172B" w:rsidRPr="00B55D5B">
        <w:rPr>
          <w:rFonts w:ascii="Times New Roman" w:eastAsia="宋体" w:hAnsi="Times New Roman" w:cs="Times New Roman"/>
          <w:sz w:val="24"/>
          <w:szCs w:val="24"/>
        </w:rPr>
        <w:t>FOF</w:t>
      </w:r>
      <w:r w:rsidR="00EF172B" w:rsidRPr="00B55D5B">
        <w:rPr>
          <w:rFonts w:ascii="Times New Roman" w:eastAsia="宋体" w:hAnsi="Times New Roman" w:cs="Times New Roman"/>
          <w:sz w:val="24"/>
          <w:szCs w:val="24"/>
        </w:rPr>
        <w:t>的</w:t>
      </w:r>
      <w:r w:rsidR="00DD1524" w:rsidRPr="00B55D5B">
        <w:rPr>
          <w:rFonts w:ascii="Times New Roman" w:eastAsia="宋体" w:hAnsi="Times New Roman" w:cs="Times New Roman"/>
          <w:sz w:val="24"/>
          <w:szCs w:val="24"/>
        </w:rPr>
        <w:t>投资</w:t>
      </w:r>
      <w:r w:rsidR="00EF172B" w:rsidRPr="00B55D5B">
        <w:rPr>
          <w:rFonts w:ascii="Times New Roman" w:eastAsia="宋体" w:hAnsi="Times New Roman" w:cs="Times New Roman"/>
          <w:sz w:val="24"/>
          <w:szCs w:val="24"/>
        </w:rPr>
        <w:t>回报</w:t>
      </w:r>
      <w:r w:rsidR="00DD1524" w:rsidRPr="00B55D5B">
        <w:rPr>
          <w:rFonts w:ascii="Times New Roman" w:eastAsia="宋体" w:hAnsi="Times New Roman" w:cs="Times New Roman"/>
          <w:sz w:val="24"/>
          <w:szCs w:val="24"/>
        </w:rPr>
        <w:t>与</w:t>
      </w:r>
      <w:r w:rsidR="00EF172B" w:rsidRPr="00B55D5B">
        <w:rPr>
          <w:rFonts w:ascii="Times New Roman" w:eastAsia="宋体" w:hAnsi="Times New Roman" w:cs="Times New Roman"/>
          <w:sz w:val="24"/>
          <w:szCs w:val="24"/>
        </w:rPr>
        <w:t>对冲基金一样</w:t>
      </w:r>
      <w:r w:rsidR="00DD1524" w:rsidRPr="00B55D5B">
        <w:rPr>
          <w:rFonts w:ascii="Times New Roman" w:eastAsia="宋体" w:hAnsi="Times New Roman" w:cs="Times New Roman"/>
          <w:sz w:val="24"/>
          <w:szCs w:val="24"/>
        </w:rPr>
        <w:t>都极为可观。</w:t>
      </w:r>
      <w:r w:rsidR="00EF172B" w:rsidRPr="00B55D5B">
        <w:rPr>
          <w:rFonts w:ascii="Times New Roman" w:eastAsia="宋体" w:hAnsi="Times New Roman" w:cs="Times New Roman"/>
          <w:sz w:val="24"/>
          <w:szCs w:val="24"/>
        </w:rPr>
        <w:t>他们的冒险获得了成功。</w:t>
      </w:r>
    </w:p>
    <w:p w:rsidR="00EF172B" w:rsidRPr="00B55D5B" w:rsidRDefault="00EF172B"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得益于与这些</w:t>
      </w:r>
      <w:r w:rsidR="005940F2" w:rsidRPr="00B55D5B">
        <w:rPr>
          <w:rFonts w:ascii="Times New Roman" w:eastAsia="宋体" w:hAnsi="Times New Roman" w:cs="Times New Roman"/>
          <w:sz w:val="24"/>
          <w:szCs w:val="24"/>
        </w:rPr>
        <w:t>事业</w:t>
      </w:r>
      <w:r w:rsidRPr="00B55D5B">
        <w:rPr>
          <w:rFonts w:ascii="Times New Roman" w:eastAsia="宋体" w:hAnsi="Times New Roman" w:cs="Times New Roman"/>
          <w:sz w:val="24"/>
          <w:szCs w:val="24"/>
        </w:rPr>
        <w:t>起步</w:t>
      </w:r>
      <w:r w:rsidR="005940F2" w:rsidRPr="00B55D5B">
        <w:rPr>
          <w:rFonts w:ascii="Times New Roman" w:eastAsia="宋体" w:hAnsi="Times New Roman" w:cs="Times New Roman"/>
          <w:sz w:val="24"/>
          <w:szCs w:val="24"/>
        </w:rPr>
        <w:t>阶段</w:t>
      </w:r>
      <w:r w:rsidRPr="00B55D5B">
        <w:rPr>
          <w:rFonts w:ascii="Times New Roman" w:eastAsia="宋体" w:hAnsi="Times New Roman" w:cs="Times New Roman"/>
          <w:sz w:val="24"/>
          <w:szCs w:val="24"/>
        </w:rPr>
        <w:t>基金经理的关系，</w:t>
      </w:r>
      <w:r w:rsidR="008A724F" w:rsidRPr="00B55D5B">
        <w:rPr>
          <w:rFonts w:ascii="Times New Roman" w:eastAsia="宋体" w:hAnsi="Times New Roman" w:cs="Times New Roman"/>
          <w:sz w:val="24"/>
          <w:szCs w:val="24"/>
        </w:rPr>
        <w:t>Trip</w:t>
      </w:r>
      <w:r w:rsidRPr="00B55D5B">
        <w:rPr>
          <w:rFonts w:ascii="Times New Roman" w:eastAsia="宋体" w:hAnsi="Times New Roman" w:cs="Times New Roman"/>
          <w:sz w:val="24"/>
          <w:szCs w:val="24"/>
        </w:rPr>
        <w:t>开始</w:t>
      </w:r>
      <w:r w:rsidR="005940F2" w:rsidRPr="00B55D5B">
        <w:rPr>
          <w:rFonts w:ascii="Times New Roman" w:eastAsia="宋体" w:hAnsi="Times New Roman" w:cs="Times New Roman"/>
          <w:sz w:val="24"/>
          <w:szCs w:val="24"/>
        </w:rPr>
        <w:t>将业务</w:t>
      </w:r>
      <w:r w:rsidRPr="00B55D5B">
        <w:rPr>
          <w:rFonts w:ascii="Times New Roman" w:eastAsia="宋体" w:hAnsi="Times New Roman" w:cs="Times New Roman"/>
          <w:sz w:val="24"/>
          <w:szCs w:val="24"/>
        </w:rPr>
        <w:t>扩展到对冲基金</w:t>
      </w:r>
      <w:r w:rsidR="005940F2" w:rsidRPr="00B55D5B">
        <w:rPr>
          <w:rFonts w:ascii="Times New Roman" w:eastAsia="宋体" w:hAnsi="Times New Roman" w:cs="Times New Roman"/>
          <w:sz w:val="24"/>
          <w:szCs w:val="24"/>
        </w:rPr>
        <w:t>直接</w:t>
      </w:r>
      <w:r w:rsidRPr="00B55D5B">
        <w:rPr>
          <w:rFonts w:ascii="Times New Roman" w:eastAsia="宋体" w:hAnsi="Times New Roman" w:cs="Times New Roman"/>
          <w:sz w:val="24"/>
          <w:szCs w:val="24"/>
        </w:rPr>
        <w:t>投资</w:t>
      </w:r>
      <w:r w:rsidR="005940F2" w:rsidRPr="00B55D5B">
        <w:rPr>
          <w:rFonts w:ascii="Times New Roman" w:eastAsia="宋体" w:hAnsi="Times New Roman" w:cs="Times New Roman"/>
          <w:sz w:val="24"/>
          <w:szCs w:val="24"/>
        </w:rPr>
        <w:t>领域</w:t>
      </w:r>
      <w:r w:rsidRPr="00B55D5B">
        <w:rPr>
          <w:rFonts w:ascii="Times New Roman" w:eastAsia="宋体" w:hAnsi="Times New Roman" w:cs="Times New Roman"/>
          <w:sz w:val="24"/>
          <w:szCs w:val="24"/>
        </w:rPr>
        <w:t>。</w:t>
      </w:r>
      <w:r w:rsidR="009617A3" w:rsidRPr="00B55D5B">
        <w:rPr>
          <w:rFonts w:ascii="Times New Roman" w:eastAsia="宋体" w:hAnsi="Times New Roman" w:cs="Times New Roman"/>
          <w:sz w:val="24"/>
          <w:szCs w:val="24"/>
        </w:rPr>
        <w:t>其业务的扩展不仅帮助其实现客户的投资目标</w:t>
      </w:r>
      <w:r w:rsidRPr="00B55D5B">
        <w:rPr>
          <w:rFonts w:ascii="Times New Roman" w:eastAsia="宋体" w:hAnsi="Times New Roman" w:cs="Times New Roman"/>
          <w:sz w:val="24"/>
          <w:szCs w:val="24"/>
        </w:rPr>
        <w:t>，</w:t>
      </w:r>
      <w:r w:rsidR="00A2345D" w:rsidRPr="00B55D5B">
        <w:rPr>
          <w:rFonts w:ascii="Times New Roman" w:eastAsia="宋体" w:hAnsi="Times New Roman" w:cs="Times New Roman"/>
          <w:sz w:val="24"/>
          <w:szCs w:val="24"/>
        </w:rPr>
        <w:t>同时也</w:t>
      </w:r>
      <w:r w:rsidR="00A2345D" w:rsidRPr="00B55D5B">
        <w:rPr>
          <w:rFonts w:ascii="Times New Roman" w:eastAsia="宋体" w:hAnsi="Times New Roman" w:cs="Times New Roman" w:hint="eastAsia"/>
          <w:sz w:val="24"/>
          <w:szCs w:val="24"/>
        </w:rPr>
        <w:t>使得</w:t>
      </w:r>
      <w:r w:rsidR="009617A3" w:rsidRPr="00B55D5B">
        <w:rPr>
          <w:rFonts w:ascii="Times New Roman" w:eastAsia="宋体" w:hAnsi="Times New Roman" w:cs="Times New Roman"/>
          <w:sz w:val="24"/>
          <w:szCs w:val="24"/>
        </w:rPr>
        <w:t>公司及客户在</w:t>
      </w:r>
      <w:r w:rsidR="009617A3" w:rsidRPr="00B55D5B">
        <w:rPr>
          <w:rFonts w:ascii="Times New Roman" w:eastAsia="宋体" w:hAnsi="Times New Roman" w:cs="Times New Roman"/>
          <w:sz w:val="24"/>
          <w:szCs w:val="24"/>
        </w:rPr>
        <w:t>2000</w:t>
      </w:r>
      <w:r w:rsidR="009617A3" w:rsidRPr="00B55D5B">
        <w:rPr>
          <w:rFonts w:ascii="Times New Roman" w:eastAsia="宋体" w:hAnsi="Times New Roman" w:cs="Times New Roman"/>
          <w:sz w:val="24"/>
          <w:szCs w:val="24"/>
        </w:rPr>
        <w:t>年</w:t>
      </w:r>
      <w:r w:rsidR="009617A3" w:rsidRPr="00B55D5B">
        <w:rPr>
          <w:rFonts w:ascii="Times New Roman" w:eastAsia="宋体" w:hAnsi="Times New Roman" w:cs="Times New Roman"/>
          <w:sz w:val="24"/>
          <w:szCs w:val="24"/>
        </w:rPr>
        <w:t>~2002</w:t>
      </w:r>
      <w:r w:rsidR="009617A3" w:rsidRPr="00B55D5B">
        <w:rPr>
          <w:rFonts w:ascii="Times New Roman" w:eastAsia="宋体" w:hAnsi="Times New Roman" w:cs="Times New Roman"/>
          <w:sz w:val="24"/>
          <w:szCs w:val="24"/>
        </w:rPr>
        <w:t>年的科技泡沫中全身而退</w:t>
      </w:r>
      <w:r w:rsidRPr="00B55D5B">
        <w:rPr>
          <w:rFonts w:ascii="Times New Roman" w:eastAsia="宋体" w:hAnsi="Times New Roman" w:cs="Times New Roman"/>
          <w:sz w:val="24"/>
          <w:szCs w:val="24"/>
        </w:rPr>
        <w:t>。</w:t>
      </w:r>
      <w:r w:rsidR="009617A3" w:rsidRPr="00B55D5B">
        <w:rPr>
          <w:rFonts w:ascii="Times New Roman" w:eastAsia="宋体" w:hAnsi="Times New Roman" w:cs="Times New Roman"/>
          <w:sz w:val="24"/>
          <w:szCs w:val="24"/>
        </w:rPr>
        <w:t>Trip</w:t>
      </w:r>
      <w:r w:rsidRPr="00B55D5B">
        <w:rPr>
          <w:rFonts w:ascii="Times New Roman" w:eastAsia="宋体" w:hAnsi="Times New Roman" w:cs="Times New Roman"/>
          <w:sz w:val="24"/>
          <w:szCs w:val="24"/>
        </w:rPr>
        <w:t>发现</w:t>
      </w:r>
      <w:r w:rsidR="009617A3" w:rsidRPr="00B55D5B">
        <w:rPr>
          <w:rFonts w:ascii="Times New Roman" w:eastAsia="宋体" w:hAnsi="Times New Roman" w:cs="Times New Roman"/>
          <w:sz w:val="24"/>
          <w:szCs w:val="24"/>
        </w:rPr>
        <w:t>该时期</w:t>
      </w:r>
      <w:r w:rsidRPr="00B55D5B">
        <w:rPr>
          <w:rFonts w:ascii="Times New Roman" w:eastAsia="宋体" w:hAnsi="Times New Roman" w:cs="Times New Roman"/>
          <w:sz w:val="24"/>
          <w:szCs w:val="24"/>
        </w:rPr>
        <w:t>FOF</w:t>
      </w:r>
      <w:r w:rsidR="009617A3" w:rsidRPr="00B55D5B">
        <w:rPr>
          <w:rFonts w:ascii="Times New Roman" w:eastAsia="宋体" w:hAnsi="Times New Roman" w:cs="Times New Roman"/>
          <w:sz w:val="24"/>
          <w:szCs w:val="24"/>
        </w:rPr>
        <w:t>的投资过度分散化了</w:t>
      </w:r>
      <w:r w:rsidRPr="00B55D5B">
        <w:rPr>
          <w:rFonts w:ascii="Times New Roman" w:eastAsia="宋体" w:hAnsi="Times New Roman" w:cs="Times New Roman"/>
          <w:sz w:val="24"/>
          <w:szCs w:val="24"/>
        </w:rPr>
        <w:t>，</w:t>
      </w:r>
      <w:r w:rsidR="00A2345D" w:rsidRPr="00B55D5B">
        <w:rPr>
          <w:rFonts w:ascii="Times New Roman" w:eastAsia="宋体" w:hAnsi="Times New Roman" w:cs="Times New Roman"/>
          <w:sz w:val="24"/>
          <w:szCs w:val="24"/>
        </w:rPr>
        <w:t>于是他</w:t>
      </w:r>
      <w:r w:rsidR="00A2345D" w:rsidRPr="00B55D5B">
        <w:rPr>
          <w:rFonts w:ascii="Times New Roman" w:eastAsia="宋体" w:hAnsi="Times New Roman" w:cs="Times New Roman" w:hint="eastAsia"/>
          <w:sz w:val="24"/>
          <w:szCs w:val="24"/>
        </w:rPr>
        <w:t>选择</w:t>
      </w:r>
      <w:r w:rsidR="009617A3" w:rsidRPr="00B55D5B">
        <w:rPr>
          <w:rFonts w:ascii="Times New Roman" w:eastAsia="宋体" w:hAnsi="Times New Roman" w:cs="Times New Roman"/>
          <w:sz w:val="24"/>
          <w:szCs w:val="24"/>
        </w:rPr>
        <w:t>直接投资</w:t>
      </w:r>
      <w:r w:rsidR="00A2345D" w:rsidRPr="00B55D5B">
        <w:rPr>
          <w:rFonts w:ascii="Times New Roman" w:eastAsia="宋体" w:hAnsi="Times New Roman" w:cs="Times New Roman" w:hint="eastAsia"/>
          <w:sz w:val="24"/>
          <w:szCs w:val="24"/>
        </w:rPr>
        <w:t>对冲基金</w:t>
      </w:r>
      <w:r w:rsidRPr="00B55D5B">
        <w:rPr>
          <w:rFonts w:ascii="Times New Roman" w:eastAsia="宋体" w:hAnsi="Times New Roman" w:cs="Times New Roman"/>
          <w:sz w:val="24"/>
          <w:szCs w:val="24"/>
        </w:rPr>
        <w:t>。他的企业已经成为一个专业的</w:t>
      </w:r>
      <w:r w:rsidRPr="00B55D5B">
        <w:rPr>
          <w:rFonts w:ascii="Times New Roman" w:eastAsia="宋体" w:hAnsi="Times New Roman" w:cs="Times New Roman"/>
          <w:sz w:val="24"/>
          <w:szCs w:val="24"/>
        </w:rPr>
        <w:t>FOF</w:t>
      </w:r>
      <w:r w:rsidR="009617A3" w:rsidRPr="00B55D5B">
        <w:rPr>
          <w:rFonts w:ascii="Times New Roman" w:eastAsia="宋体" w:hAnsi="Times New Roman" w:cs="Times New Roman"/>
          <w:sz w:val="24"/>
          <w:szCs w:val="24"/>
        </w:rPr>
        <w:t>管理人</w:t>
      </w:r>
      <w:r w:rsidRPr="00B55D5B">
        <w:rPr>
          <w:rFonts w:ascii="Times New Roman" w:eastAsia="宋体" w:hAnsi="Times New Roman" w:cs="Times New Roman"/>
          <w:sz w:val="24"/>
          <w:szCs w:val="24"/>
        </w:rPr>
        <w:t>。</w:t>
      </w:r>
    </w:p>
    <w:p w:rsidR="00EF172B" w:rsidRPr="00B55D5B" w:rsidRDefault="008B72C7" w:rsidP="007C3B4E">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在与家族办公室的广泛接触中，</w:t>
      </w:r>
      <w:r w:rsidRPr="00B55D5B">
        <w:rPr>
          <w:rFonts w:ascii="Times New Roman" w:eastAsia="宋体" w:hAnsi="Times New Roman" w:cs="Times New Roman" w:hint="eastAsia"/>
          <w:sz w:val="24"/>
          <w:szCs w:val="24"/>
        </w:rPr>
        <w:t>FOF</w:t>
      </w:r>
      <w:r w:rsidRPr="00B55D5B">
        <w:rPr>
          <w:rFonts w:ascii="Times New Roman" w:eastAsia="宋体" w:hAnsi="Times New Roman" w:cs="Times New Roman" w:hint="eastAsia"/>
          <w:sz w:val="24"/>
          <w:szCs w:val="24"/>
        </w:rPr>
        <w:t>逐渐被</w:t>
      </w:r>
      <w:r w:rsidRPr="00B55D5B">
        <w:rPr>
          <w:rFonts w:ascii="Times New Roman" w:eastAsia="宋体" w:hAnsi="Times New Roman" w:cs="Times New Roman" w:hint="eastAsia"/>
          <w:sz w:val="24"/>
          <w:szCs w:val="24"/>
        </w:rPr>
        <w:t>Trip</w:t>
      </w:r>
      <w:r w:rsidRPr="00B55D5B">
        <w:rPr>
          <w:rFonts w:ascii="Times New Roman" w:eastAsia="宋体" w:hAnsi="Times New Roman" w:cs="Times New Roman" w:hint="eastAsia"/>
          <w:sz w:val="24"/>
          <w:szCs w:val="24"/>
        </w:rPr>
        <w:t>及很多即希望投资于对冲基金又</w:t>
      </w:r>
      <w:r w:rsidR="00190381" w:rsidRPr="00B55D5B">
        <w:rPr>
          <w:rFonts w:ascii="Times New Roman" w:eastAsia="宋体" w:hAnsi="Times New Roman" w:cs="Times New Roman" w:hint="eastAsia"/>
          <w:sz w:val="24"/>
          <w:szCs w:val="24"/>
        </w:rPr>
        <w:t>不愿雇佣相关团队的投资者所认可。即便是那些自身经验丰富，不吝惜于</w:t>
      </w:r>
      <w:r w:rsidR="00190381" w:rsidRPr="00B55D5B">
        <w:rPr>
          <w:rFonts w:ascii="Times New Roman" w:eastAsia="宋体" w:hAnsi="Times New Roman" w:cs="Times New Roman" w:hint="eastAsia"/>
          <w:sz w:val="24"/>
          <w:szCs w:val="24"/>
        </w:rPr>
        <w:lastRenderedPageBreak/>
        <w:t>人力成本，并且以直接投资为主的家族办公室，也不会放弃和</w:t>
      </w:r>
      <w:r w:rsidR="00190381" w:rsidRPr="00B55D5B">
        <w:rPr>
          <w:rFonts w:ascii="Times New Roman" w:eastAsia="宋体" w:hAnsi="Times New Roman" w:cs="Times New Roman" w:hint="eastAsia"/>
          <w:sz w:val="24"/>
          <w:szCs w:val="24"/>
        </w:rPr>
        <w:t>FOF</w:t>
      </w:r>
      <w:r w:rsidR="00190381" w:rsidRPr="00B55D5B">
        <w:rPr>
          <w:rFonts w:ascii="Times New Roman" w:eastAsia="宋体" w:hAnsi="Times New Roman" w:cs="Times New Roman" w:hint="eastAsia"/>
          <w:sz w:val="24"/>
          <w:szCs w:val="24"/>
        </w:rPr>
        <w:t>的合作关系，他们通常把</w:t>
      </w:r>
      <w:r w:rsidR="00190381" w:rsidRPr="00B55D5B">
        <w:rPr>
          <w:rFonts w:ascii="Times New Roman" w:eastAsia="宋体" w:hAnsi="Times New Roman" w:cs="Times New Roman" w:hint="eastAsia"/>
          <w:sz w:val="24"/>
          <w:szCs w:val="24"/>
        </w:rPr>
        <w:t>FOF</w:t>
      </w:r>
      <w:r w:rsidR="00190381" w:rsidRPr="00B55D5B">
        <w:rPr>
          <w:rFonts w:ascii="Times New Roman" w:eastAsia="宋体" w:hAnsi="Times New Roman" w:cs="Times New Roman" w:hint="eastAsia"/>
          <w:sz w:val="24"/>
          <w:szCs w:val="24"/>
        </w:rPr>
        <w:t>作为外部研究资源的提供方</w:t>
      </w:r>
      <w:r w:rsidR="00EF172B" w:rsidRPr="00B55D5B">
        <w:rPr>
          <w:rFonts w:ascii="Times New Roman" w:eastAsia="宋体" w:hAnsi="Times New Roman" w:cs="Times New Roman"/>
          <w:sz w:val="24"/>
          <w:szCs w:val="24"/>
        </w:rPr>
        <w:t>。一般来说，</w:t>
      </w:r>
      <w:r w:rsidR="00F35131" w:rsidRPr="00B55D5B">
        <w:rPr>
          <w:rFonts w:ascii="Times New Roman" w:eastAsia="宋体" w:hAnsi="Times New Roman" w:cs="Times New Roman"/>
          <w:sz w:val="24"/>
          <w:szCs w:val="24"/>
        </w:rPr>
        <w:t>家族办公室</w:t>
      </w:r>
      <w:r w:rsidR="00190381" w:rsidRPr="00B55D5B">
        <w:rPr>
          <w:rFonts w:ascii="Times New Roman" w:eastAsia="宋体" w:hAnsi="Times New Roman" w:cs="Times New Roman" w:hint="eastAsia"/>
          <w:sz w:val="24"/>
          <w:szCs w:val="24"/>
        </w:rPr>
        <w:t>在投资对冲基金的过程中更为关心</w:t>
      </w:r>
      <w:r w:rsidR="007C3B4E" w:rsidRPr="00B55D5B">
        <w:rPr>
          <w:rFonts w:ascii="Times New Roman" w:eastAsia="宋体" w:hAnsi="Times New Roman" w:cs="Times New Roman" w:hint="eastAsia"/>
          <w:sz w:val="24"/>
          <w:szCs w:val="24"/>
        </w:rPr>
        <w:t>所投资基金的定制化程度</w:t>
      </w:r>
      <w:r w:rsidR="00190381" w:rsidRPr="00B55D5B">
        <w:rPr>
          <w:rFonts w:ascii="Times New Roman" w:eastAsia="宋体" w:hAnsi="Times New Roman" w:cs="Times New Roman" w:hint="eastAsia"/>
          <w:sz w:val="24"/>
          <w:szCs w:val="24"/>
        </w:rPr>
        <w:t>，而不像传统机构投资者那样更关心组合的波动性</w:t>
      </w:r>
      <w:r w:rsidR="007C3B4E" w:rsidRPr="00B55D5B">
        <w:rPr>
          <w:rFonts w:ascii="Times New Roman" w:eastAsia="宋体" w:hAnsi="Times New Roman" w:cs="Times New Roman" w:hint="eastAsia"/>
          <w:sz w:val="24"/>
          <w:szCs w:val="24"/>
        </w:rPr>
        <w:t>，他们力图通过投资更为定制化的产品而获得“出其不意”的高额投资回报</w:t>
      </w:r>
      <w:r w:rsidR="00EF172B" w:rsidRPr="00B55D5B">
        <w:rPr>
          <w:rFonts w:ascii="Times New Roman" w:eastAsia="宋体" w:hAnsi="Times New Roman" w:cs="Times New Roman"/>
          <w:sz w:val="24"/>
          <w:szCs w:val="24"/>
        </w:rPr>
        <w:t>。</w:t>
      </w:r>
      <w:r w:rsidR="007C3B4E" w:rsidRPr="00B55D5B">
        <w:rPr>
          <w:rFonts w:ascii="Times New Roman" w:eastAsia="宋体" w:hAnsi="Times New Roman" w:cs="Times New Roman" w:hint="eastAsia"/>
          <w:sz w:val="24"/>
          <w:szCs w:val="24"/>
        </w:rPr>
        <w:t>相对于</w:t>
      </w:r>
      <w:r w:rsidR="007C3B4E" w:rsidRPr="00B55D5B">
        <w:rPr>
          <w:rFonts w:ascii="Times New Roman" w:eastAsia="宋体" w:hAnsi="Times New Roman" w:cs="Times New Roman" w:hint="eastAsia"/>
          <w:sz w:val="24"/>
          <w:szCs w:val="24"/>
        </w:rPr>
        <w:t>FOF</w:t>
      </w:r>
      <w:r w:rsidR="007C3B4E" w:rsidRPr="00B55D5B">
        <w:rPr>
          <w:rFonts w:ascii="Times New Roman" w:eastAsia="宋体" w:hAnsi="Times New Roman" w:cs="Times New Roman" w:hint="eastAsia"/>
          <w:sz w:val="24"/>
          <w:szCs w:val="24"/>
        </w:rPr>
        <w:t>能够分散风险的优势，家族办公室更为偏好长期持有定制化对冲基金而带来的税收优惠</w:t>
      </w:r>
      <w:r w:rsidR="00EF172B" w:rsidRPr="00B55D5B">
        <w:rPr>
          <w:rFonts w:ascii="Times New Roman" w:eastAsia="宋体" w:hAnsi="Times New Roman" w:cs="Times New Roman"/>
          <w:sz w:val="24"/>
          <w:szCs w:val="24"/>
        </w:rPr>
        <w:t>。</w:t>
      </w:r>
      <w:r w:rsidR="007C3B4E" w:rsidRPr="00B55D5B">
        <w:rPr>
          <w:rFonts w:ascii="Times New Roman" w:eastAsia="宋体" w:hAnsi="Times New Roman" w:cs="Times New Roman" w:hint="eastAsia"/>
          <w:sz w:val="24"/>
          <w:szCs w:val="24"/>
        </w:rPr>
        <w:t>而</w:t>
      </w:r>
      <w:r w:rsidR="00EF172B" w:rsidRPr="00B55D5B">
        <w:rPr>
          <w:rFonts w:ascii="Times New Roman" w:eastAsia="宋体" w:hAnsi="Times New Roman" w:cs="Times New Roman"/>
          <w:sz w:val="24"/>
          <w:szCs w:val="24"/>
        </w:rPr>
        <w:t>在</w:t>
      </w:r>
      <w:r w:rsidR="007C3B4E" w:rsidRPr="00B55D5B">
        <w:rPr>
          <w:rFonts w:ascii="Times New Roman" w:eastAsia="宋体" w:hAnsi="Times New Roman" w:cs="Times New Roman" w:hint="eastAsia"/>
          <w:sz w:val="24"/>
          <w:szCs w:val="24"/>
        </w:rPr>
        <w:t>家族办公室</w:t>
      </w:r>
      <w:r w:rsidR="00EF172B" w:rsidRPr="00B55D5B">
        <w:rPr>
          <w:rFonts w:ascii="Times New Roman" w:eastAsia="宋体" w:hAnsi="Times New Roman" w:cs="Times New Roman"/>
          <w:sz w:val="24"/>
          <w:szCs w:val="24"/>
        </w:rPr>
        <w:t>投资</w:t>
      </w:r>
      <w:r w:rsidR="00EF172B" w:rsidRPr="00B55D5B">
        <w:rPr>
          <w:rFonts w:ascii="Times New Roman" w:eastAsia="宋体" w:hAnsi="Times New Roman" w:cs="Times New Roman"/>
          <w:sz w:val="24"/>
          <w:szCs w:val="24"/>
        </w:rPr>
        <w:t>FOF</w:t>
      </w:r>
      <w:r w:rsidR="00EF172B" w:rsidRPr="00B55D5B">
        <w:rPr>
          <w:rFonts w:ascii="Times New Roman" w:eastAsia="宋体" w:hAnsi="Times New Roman" w:cs="Times New Roman"/>
          <w:sz w:val="24"/>
          <w:szCs w:val="24"/>
        </w:rPr>
        <w:t>的时候，</w:t>
      </w:r>
      <w:r w:rsidR="007C3B4E" w:rsidRPr="00B55D5B">
        <w:rPr>
          <w:rFonts w:ascii="Times New Roman" w:eastAsia="宋体" w:hAnsi="Times New Roman" w:cs="Times New Roman" w:hint="eastAsia"/>
          <w:sz w:val="24"/>
          <w:szCs w:val="24"/>
        </w:rPr>
        <w:t>他们</w:t>
      </w:r>
      <w:r w:rsidR="00EF172B" w:rsidRPr="00B55D5B">
        <w:rPr>
          <w:rFonts w:ascii="Times New Roman" w:eastAsia="宋体" w:hAnsi="Times New Roman" w:cs="Times New Roman"/>
          <w:sz w:val="24"/>
          <w:szCs w:val="24"/>
        </w:rPr>
        <w:t>更喜欢</w:t>
      </w:r>
      <w:r w:rsidR="007C3B4E" w:rsidRPr="00B55D5B">
        <w:rPr>
          <w:rFonts w:ascii="Times New Roman" w:eastAsia="宋体" w:hAnsi="Times New Roman" w:cs="Times New Roman" w:hint="eastAsia"/>
          <w:sz w:val="24"/>
          <w:szCs w:val="24"/>
        </w:rPr>
        <w:t>诸如</w:t>
      </w:r>
      <w:r w:rsidR="00EF172B" w:rsidRPr="00B55D5B">
        <w:rPr>
          <w:rFonts w:ascii="Times New Roman" w:eastAsia="宋体" w:hAnsi="Times New Roman" w:cs="Times New Roman"/>
          <w:sz w:val="24"/>
          <w:szCs w:val="24"/>
        </w:rPr>
        <w:t>新兴市场投资、不良</w:t>
      </w:r>
      <w:r w:rsidR="007C3B4E" w:rsidRPr="00B55D5B">
        <w:rPr>
          <w:rFonts w:ascii="Times New Roman" w:eastAsia="宋体" w:hAnsi="Times New Roman" w:cs="Times New Roman" w:hint="eastAsia"/>
          <w:sz w:val="24"/>
          <w:szCs w:val="24"/>
        </w:rPr>
        <w:t>资产</w:t>
      </w:r>
      <w:r w:rsidR="00EF172B" w:rsidRPr="00B55D5B">
        <w:rPr>
          <w:rFonts w:ascii="Times New Roman" w:eastAsia="宋体" w:hAnsi="Times New Roman" w:cs="Times New Roman"/>
          <w:sz w:val="24"/>
          <w:szCs w:val="24"/>
        </w:rPr>
        <w:t>投资或特定</w:t>
      </w:r>
      <w:r w:rsidR="007C3B4E" w:rsidRPr="00B55D5B">
        <w:rPr>
          <w:rFonts w:ascii="Times New Roman" w:eastAsia="宋体" w:hAnsi="Times New Roman" w:cs="Times New Roman" w:hint="eastAsia"/>
          <w:sz w:val="24"/>
          <w:szCs w:val="24"/>
        </w:rPr>
        <w:t>行业</w:t>
      </w:r>
      <w:r w:rsidR="00EF172B" w:rsidRPr="00B55D5B">
        <w:rPr>
          <w:rFonts w:ascii="Times New Roman" w:eastAsia="宋体" w:hAnsi="Times New Roman" w:cs="Times New Roman"/>
          <w:sz w:val="24"/>
          <w:szCs w:val="24"/>
        </w:rPr>
        <w:t>投资</w:t>
      </w:r>
      <w:r w:rsidR="007C3B4E" w:rsidRPr="00B55D5B">
        <w:rPr>
          <w:rFonts w:ascii="Times New Roman" w:eastAsia="宋体" w:hAnsi="Times New Roman" w:cs="Times New Roman" w:hint="eastAsia"/>
          <w:sz w:val="24"/>
          <w:szCs w:val="24"/>
        </w:rPr>
        <w:t>这类</w:t>
      </w:r>
      <w:r w:rsidR="00755244" w:rsidRPr="00B55D5B">
        <w:rPr>
          <w:rFonts w:ascii="Times New Roman" w:eastAsia="宋体" w:hAnsi="Times New Roman" w:cs="Times New Roman" w:hint="eastAsia"/>
          <w:sz w:val="24"/>
          <w:szCs w:val="24"/>
        </w:rPr>
        <w:t>利基</w:t>
      </w:r>
      <w:r w:rsidR="007C3B4E" w:rsidRPr="00B55D5B">
        <w:rPr>
          <w:rFonts w:ascii="Times New Roman" w:eastAsia="宋体" w:hAnsi="Times New Roman" w:cs="Times New Roman" w:hint="eastAsia"/>
          <w:sz w:val="24"/>
          <w:szCs w:val="24"/>
        </w:rPr>
        <w:t>投资策略</w:t>
      </w:r>
      <w:r w:rsidR="00EF172B" w:rsidRPr="00B55D5B">
        <w:rPr>
          <w:rFonts w:ascii="Times New Roman" w:eastAsia="宋体" w:hAnsi="Times New Roman" w:cs="Times New Roman"/>
          <w:sz w:val="24"/>
          <w:szCs w:val="24"/>
        </w:rPr>
        <w:t>。</w:t>
      </w:r>
    </w:p>
    <w:p w:rsidR="00EF172B" w:rsidRPr="00B55D5B" w:rsidRDefault="00EF172B" w:rsidP="00EF172B">
      <w:pPr>
        <w:spacing w:beforeLines="50" w:before="156" w:afterLines="50" w:after="156" w:line="360" w:lineRule="auto"/>
        <w:rPr>
          <w:rFonts w:ascii="Times New Roman" w:eastAsia="宋体" w:hAnsi="Times New Roman" w:cs="Times New Roman"/>
          <w:b/>
          <w:sz w:val="24"/>
          <w:szCs w:val="24"/>
        </w:rPr>
      </w:pPr>
      <w:r w:rsidRPr="00B55D5B">
        <w:rPr>
          <w:rFonts w:ascii="Times New Roman" w:eastAsia="宋体" w:hAnsi="Times New Roman" w:cs="Times New Roman"/>
          <w:b/>
          <w:sz w:val="24"/>
          <w:szCs w:val="24"/>
        </w:rPr>
        <w:t>谁来投资</w:t>
      </w:r>
    </w:p>
    <w:p w:rsidR="00EF172B" w:rsidRPr="00B55D5B" w:rsidRDefault="00EF172B" w:rsidP="00EF172B">
      <w:pPr>
        <w:spacing w:beforeLines="50" w:before="156" w:afterLines="50" w:after="156" w:line="360" w:lineRule="auto"/>
        <w:ind w:firstLine="555"/>
        <w:rPr>
          <w:rFonts w:ascii="Times New Roman" w:eastAsia="宋体" w:hAnsi="Times New Roman" w:cs="Times New Roman"/>
          <w:sz w:val="24"/>
          <w:szCs w:val="24"/>
        </w:rPr>
      </w:pPr>
      <w:r w:rsidRPr="00B55D5B">
        <w:rPr>
          <w:rFonts w:ascii="Times New Roman" w:eastAsia="宋体" w:hAnsi="Times New Roman" w:cs="Times New Roman"/>
          <w:sz w:val="24"/>
          <w:szCs w:val="24"/>
        </w:rPr>
        <w:t>每个</w:t>
      </w:r>
      <w:r w:rsidR="00F35131" w:rsidRPr="00B55D5B">
        <w:rPr>
          <w:rFonts w:ascii="Times New Roman" w:eastAsia="宋体" w:hAnsi="Times New Roman" w:cs="Times New Roman"/>
          <w:sz w:val="24"/>
          <w:szCs w:val="24"/>
        </w:rPr>
        <w:t>家族办公室</w:t>
      </w:r>
      <w:r w:rsidR="009A20B8" w:rsidRPr="00B55D5B">
        <w:rPr>
          <w:rFonts w:ascii="Times New Roman" w:eastAsia="宋体" w:hAnsi="Times New Roman" w:cs="Times New Roman" w:hint="eastAsia"/>
          <w:sz w:val="24"/>
          <w:szCs w:val="24"/>
        </w:rPr>
        <w:t>的投资标准都不尽相同。但可以明确的是，忽略掉部分市场动荡时期以及个别欺诈案例的影响，</w:t>
      </w:r>
      <w:r w:rsidR="00944813" w:rsidRPr="00B55D5B">
        <w:rPr>
          <w:rFonts w:ascii="Times New Roman" w:eastAsia="宋体" w:hAnsi="Times New Roman" w:cs="Times New Roman" w:hint="eastAsia"/>
          <w:sz w:val="24"/>
          <w:szCs w:val="24"/>
        </w:rPr>
        <w:t>随</w:t>
      </w:r>
      <w:r w:rsidR="009A20B8" w:rsidRPr="00B55D5B">
        <w:rPr>
          <w:rFonts w:ascii="Times New Roman" w:eastAsia="宋体" w:hAnsi="Times New Roman" w:cs="Times New Roman" w:hint="eastAsia"/>
          <w:sz w:val="24"/>
          <w:szCs w:val="24"/>
        </w:rPr>
        <w:t>着</w:t>
      </w:r>
      <w:r w:rsidRPr="00B55D5B">
        <w:rPr>
          <w:rFonts w:ascii="Times New Roman" w:eastAsia="宋体" w:hAnsi="Times New Roman" w:cs="Times New Roman"/>
          <w:sz w:val="24"/>
          <w:szCs w:val="24"/>
        </w:rPr>
        <w:t>全球范围内高净值</w:t>
      </w:r>
      <w:r w:rsidR="00D378F8" w:rsidRPr="00B55D5B">
        <w:rPr>
          <w:rFonts w:ascii="Times New Roman" w:eastAsia="宋体" w:hAnsi="Times New Roman" w:cs="Times New Roman" w:hint="eastAsia"/>
          <w:sz w:val="24"/>
          <w:szCs w:val="24"/>
        </w:rPr>
        <w:t>客户</w:t>
      </w:r>
      <w:r w:rsidRPr="00B55D5B">
        <w:rPr>
          <w:rFonts w:ascii="Times New Roman" w:eastAsia="宋体" w:hAnsi="Times New Roman" w:cs="Times New Roman"/>
          <w:sz w:val="24"/>
          <w:szCs w:val="24"/>
        </w:rPr>
        <w:t>和</w:t>
      </w:r>
      <w:r w:rsidR="00F35131" w:rsidRPr="00B55D5B">
        <w:rPr>
          <w:rFonts w:ascii="Times New Roman" w:eastAsia="宋体" w:hAnsi="Times New Roman" w:cs="Times New Roman"/>
          <w:sz w:val="24"/>
          <w:szCs w:val="24"/>
        </w:rPr>
        <w:t>家族办公室</w:t>
      </w:r>
      <w:r w:rsidRPr="00B55D5B">
        <w:rPr>
          <w:rFonts w:ascii="Times New Roman" w:eastAsia="宋体" w:hAnsi="Times New Roman" w:cs="Times New Roman"/>
          <w:sz w:val="24"/>
          <w:szCs w:val="24"/>
        </w:rPr>
        <w:t>资产</w:t>
      </w:r>
      <w:r w:rsidR="009A20B8" w:rsidRPr="00B55D5B">
        <w:rPr>
          <w:rFonts w:ascii="Times New Roman" w:eastAsia="宋体" w:hAnsi="Times New Roman" w:cs="Times New Roman" w:hint="eastAsia"/>
          <w:sz w:val="24"/>
          <w:szCs w:val="24"/>
        </w:rPr>
        <w:t>的不断</w:t>
      </w:r>
      <w:r w:rsidRPr="00B55D5B">
        <w:rPr>
          <w:rFonts w:ascii="Times New Roman" w:eastAsia="宋体" w:hAnsi="Times New Roman" w:cs="Times New Roman"/>
          <w:sz w:val="24"/>
          <w:szCs w:val="24"/>
        </w:rPr>
        <w:t>增长</w:t>
      </w:r>
      <w:r w:rsidR="009A20B8" w:rsidRPr="00B55D5B">
        <w:rPr>
          <w:rFonts w:ascii="Times New Roman" w:eastAsia="宋体" w:hAnsi="Times New Roman" w:cs="Times New Roman" w:hint="eastAsia"/>
          <w:sz w:val="24"/>
          <w:szCs w:val="24"/>
        </w:rPr>
        <w:t>，这一类投资者的资产势必会不断的涌入对冲基金及</w:t>
      </w:r>
      <w:r w:rsidR="009A20B8" w:rsidRPr="00B55D5B">
        <w:rPr>
          <w:rFonts w:ascii="Times New Roman" w:eastAsia="宋体" w:hAnsi="Times New Roman" w:cs="Times New Roman" w:hint="eastAsia"/>
          <w:sz w:val="24"/>
          <w:szCs w:val="24"/>
        </w:rPr>
        <w:t>FOF</w:t>
      </w:r>
      <w:r w:rsidR="009A20B8" w:rsidRPr="00B55D5B">
        <w:rPr>
          <w:rFonts w:ascii="Times New Roman" w:eastAsia="宋体" w:hAnsi="Times New Roman" w:cs="Times New Roman" w:hint="eastAsia"/>
          <w:sz w:val="24"/>
          <w:szCs w:val="24"/>
        </w:rPr>
        <w:t>之中</w:t>
      </w:r>
      <w:r w:rsidRPr="00B55D5B">
        <w:rPr>
          <w:rFonts w:ascii="Times New Roman" w:eastAsia="宋体" w:hAnsi="Times New Roman" w:cs="Times New Roman"/>
          <w:sz w:val="24"/>
          <w:szCs w:val="24"/>
        </w:rPr>
        <w:t>（见图</w:t>
      </w:r>
      <w:r w:rsidRPr="00B55D5B">
        <w:rPr>
          <w:rFonts w:ascii="Times New Roman" w:eastAsia="宋体" w:hAnsi="Times New Roman" w:cs="Times New Roman"/>
          <w:sz w:val="24"/>
          <w:szCs w:val="24"/>
        </w:rPr>
        <w:t>6.1A</w:t>
      </w:r>
      <w:r w:rsidRPr="00B55D5B">
        <w:rPr>
          <w:rFonts w:ascii="Times New Roman" w:eastAsia="宋体" w:hAnsi="Times New Roman" w:cs="Times New Roman"/>
          <w:sz w:val="24"/>
          <w:szCs w:val="24"/>
        </w:rPr>
        <w:t>和</w:t>
      </w:r>
      <w:r w:rsidRPr="00B55D5B">
        <w:rPr>
          <w:rFonts w:ascii="Times New Roman" w:eastAsia="宋体" w:hAnsi="Times New Roman" w:cs="Times New Roman"/>
          <w:sz w:val="24"/>
          <w:szCs w:val="24"/>
        </w:rPr>
        <w:t>6.1B</w:t>
      </w:r>
      <w:r w:rsidRPr="00B55D5B">
        <w:rPr>
          <w:rFonts w:ascii="Times New Roman" w:eastAsia="宋体" w:hAnsi="Times New Roman" w:cs="Times New Roman"/>
          <w:sz w:val="24"/>
          <w:szCs w:val="24"/>
        </w:rPr>
        <w:t>）。</w:t>
      </w:r>
    </w:p>
    <w:p w:rsidR="00EF172B" w:rsidRPr="00B55D5B" w:rsidRDefault="00944813" w:rsidP="00EF172B">
      <w:pPr>
        <w:spacing w:beforeLines="50" w:before="156" w:afterLines="50" w:after="156" w:line="360" w:lineRule="auto"/>
        <w:ind w:firstLine="555"/>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家族办公室在内部结构及组织形式方面与机构投资者较为不同，他们通常都是向有决策权的家族成员汇报投资建议并由有决策权的家族成员直接</w:t>
      </w:r>
      <w:r w:rsidR="00D378F8" w:rsidRPr="00B55D5B">
        <w:rPr>
          <w:rFonts w:ascii="Times New Roman" w:eastAsia="宋体" w:hAnsi="Times New Roman" w:cs="Times New Roman" w:hint="eastAsia"/>
          <w:sz w:val="24"/>
          <w:szCs w:val="24"/>
        </w:rPr>
        <w:t>做</w:t>
      </w:r>
      <w:r w:rsidRPr="00B55D5B">
        <w:rPr>
          <w:rFonts w:ascii="Times New Roman" w:eastAsia="宋体" w:hAnsi="Times New Roman" w:cs="Times New Roman" w:hint="eastAsia"/>
          <w:sz w:val="24"/>
          <w:szCs w:val="24"/>
        </w:rPr>
        <w:t>出投资决策，这样对于机构投资者的投资流程更为高效</w:t>
      </w:r>
      <w:r w:rsidR="00EF172B" w:rsidRPr="00B55D5B">
        <w:rPr>
          <w:rFonts w:ascii="Times New Roman" w:eastAsia="宋体" w:hAnsi="Times New Roman" w:cs="Times New Roman"/>
          <w:sz w:val="24"/>
          <w:szCs w:val="24"/>
        </w:rPr>
        <w:t>。</w:t>
      </w:r>
      <w:r w:rsidR="00251EE6" w:rsidRPr="00B55D5B">
        <w:rPr>
          <w:rFonts w:ascii="Times New Roman" w:eastAsia="宋体" w:hAnsi="Times New Roman" w:cs="Times New Roman" w:hint="eastAsia"/>
          <w:sz w:val="24"/>
          <w:szCs w:val="24"/>
        </w:rPr>
        <w:t>更为高效的投资决策程序对于投资者及其所投资的基金来说都是更有利的</w:t>
      </w:r>
      <w:r w:rsidR="00EF172B" w:rsidRPr="00B55D5B">
        <w:rPr>
          <w:rFonts w:ascii="Times New Roman" w:eastAsia="宋体" w:hAnsi="Times New Roman" w:cs="Times New Roman"/>
          <w:sz w:val="24"/>
          <w:szCs w:val="24"/>
        </w:rPr>
        <w:t>。</w:t>
      </w:r>
      <w:r w:rsidR="00251EE6" w:rsidRPr="00B55D5B">
        <w:rPr>
          <w:rFonts w:ascii="Times New Roman" w:eastAsia="宋体" w:hAnsi="Times New Roman" w:cs="Times New Roman" w:hint="eastAsia"/>
          <w:sz w:val="24"/>
          <w:szCs w:val="24"/>
        </w:rPr>
        <w:t>而许多机构投资者的投资决策程序却日渐低效，他们受困于对于投资策略以及组合管理并不</w:t>
      </w:r>
      <w:proofErr w:type="gramStart"/>
      <w:r w:rsidR="00251EE6" w:rsidRPr="00B55D5B">
        <w:rPr>
          <w:rFonts w:ascii="Times New Roman" w:eastAsia="宋体" w:hAnsi="Times New Roman" w:cs="Times New Roman" w:hint="eastAsia"/>
          <w:sz w:val="24"/>
          <w:szCs w:val="24"/>
        </w:rPr>
        <w:t>甚了解</w:t>
      </w:r>
      <w:proofErr w:type="gramEnd"/>
      <w:r w:rsidR="00251EE6" w:rsidRPr="00B55D5B">
        <w:rPr>
          <w:rFonts w:ascii="Times New Roman" w:eastAsia="宋体" w:hAnsi="Times New Roman" w:cs="Times New Roman" w:hint="eastAsia"/>
          <w:sz w:val="24"/>
          <w:szCs w:val="24"/>
        </w:rPr>
        <w:t>的董事会所指定的条条框框无法迅速</w:t>
      </w:r>
      <w:r w:rsidR="009615F0" w:rsidRPr="00B55D5B">
        <w:rPr>
          <w:rFonts w:ascii="Times New Roman" w:eastAsia="宋体" w:hAnsi="Times New Roman" w:cs="Times New Roman" w:hint="eastAsia"/>
          <w:sz w:val="24"/>
          <w:szCs w:val="24"/>
        </w:rPr>
        <w:t>做出</w:t>
      </w:r>
      <w:r w:rsidR="00251EE6" w:rsidRPr="00B55D5B">
        <w:rPr>
          <w:rFonts w:ascii="Times New Roman" w:eastAsia="宋体" w:hAnsi="Times New Roman" w:cs="Times New Roman" w:hint="eastAsia"/>
          <w:sz w:val="24"/>
          <w:szCs w:val="24"/>
        </w:rPr>
        <w:t>决策。</w:t>
      </w:r>
    </w:p>
    <w:p w:rsidR="00EF172B" w:rsidRPr="00B55D5B" w:rsidRDefault="00EF172B" w:rsidP="00EF172B">
      <w:pPr>
        <w:snapToGrid w:val="0"/>
        <w:spacing w:line="360" w:lineRule="auto"/>
        <w:jc w:val="left"/>
        <w:rPr>
          <w:rFonts w:ascii="Times New Roman" w:eastAsia="宋体" w:hAnsi="Times New Roman" w:cs="Times New Roman"/>
          <w:sz w:val="24"/>
          <w:szCs w:val="24"/>
        </w:rPr>
      </w:pPr>
      <w:r w:rsidRPr="00B55D5B">
        <w:rPr>
          <w:rFonts w:ascii="Times New Roman" w:eastAsia="宋体" w:hAnsi="Times New Roman" w:cs="Times New Roman"/>
          <w:b/>
          <w:sz w:val="24"/>
          <w:szCs w:val="24"/>
        </w:rPr>
        <w:t>图</w:t>
      </w:r>
      <w:r w:rsidRPr="00B55D5B">
        <w:rPr>
          <w:rFonts w:ascii="Times New Roman" w:eastAsia="宋体" w:hAnsi="Times New Roman" w:cs="Times New Roman"/>
          <w:b/>
          <w:sz w:val="24"/>
          <w:szCs w:val="24"/>
        </w:rPr>
        <w:t xml:space="preserve">6.1A </w:t>
      </w:r>
      <w:r w:rsidR="000A5352" w:rsidRPr="00B55D5B">
        <w:rPr>
          <w:rFonts w:ascii="Times New Roman" w:eastAsia="宋体" w:hAnsi="Times New Roman" w:cs="Times New Roman" w:hint="eastAsia"/>
          <w:sz w:val="24"/>
          <w:szCs w:val="24"/>
        </w:rPr>
        <w:t>预期会</w:t>
      </w:r>
      <w:r w:rsidR="000A5352" w:rsidRPr="00B55D5B">
        <w:rPr>
          <w:rFonts w:ascii="Times New Roman" w:eastAsia="宋体" w:hAnsi="Times New Roman" w:cs="Times New Roman"/>
          <w:sz w:val="24"/>
          <w:szCs w:val="24"/>
        </w:rPr>
        <w:t>赎回各类基金的投资者比例</w:t>
      </w:r>
    </w:p>
    <w:p w:rsidR="009615F0" w:rsidRPr="00B55D5B" w:rsidRDefault="009615F0" w:rsidP="00EF172B">
      <w:pPr>
        <w:snapToGrid w:val="0"/>
        <w:spacing w:line="360" w:lineRule="auto"/>
        <w:jc w:val="left"/>
        <w:rPr>
          <w:rFonts w:ascii="Times New Roman" w:eastAsia="宋体" w:hAnsi="Times New Roman" w:cs="Times New Roman"/>
          <w:b/>
          <w:sz w:val="24"/>
          <w:szCs w:val="24"/>
        </w:rPr>
      </w:pPr>
      <w:r w:rsidRPr="00B55D5B">
        <w:rPr>
          <w:noProof/>
        </w:rPr>
        <w:drawing>
          <wp:inline distT="0" distB="0" distL="0" distR="0" wp14:anchorId="440F7A76" wp14:editId="20D9D96F">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172B" w:rsidRPr="00B55D5B" w:rsidRDefault="00EF172B" w:rsidP="00EF172B">
      <w:pPr>
        <w:snapToGrid w:val="0"/>
        <w:spacing w:line="360" w:lineRule="auto"/>
        <w:jc w:val="left"/>
        <w:rPr>
          <w:rFonts w:ascii="Times New Roman" w:eastAsia="宋体" w:hAnsi="Times New Roman" w:cs="Times New Roman"/>
          <w:sz w:val="24"/>
          <w:szCs w:val="24"/>
        </w:rPr>
      </w:pPr>
      <w:bookmarkStart w:id="0" w:name="OLE_LINK3"/>
      <w:bookmarkStart w:id="1" w:name="OLE_LINK4"/>
      <w:r w:rsidRPr="00B55D5B">
        <w:rPr>
          <w:rFonts w:ascii="Times New Roman" w:eastAsia="宋体" w:hAnsi="Times New Roman" w:cs="Times New Roman"/>
          <w:i/>
          <w:sz w:val="24"/>
          <w:szCs w:val="24"/>
        </w:rPr>
        <w:lastRenderedPageBreak/>
        <w:t>数据来源</w:t>
      </w:r>
      <w:bookmarkEnd w:id="0"/>
      <w:bookmarkEnd w:id="1"/>
      <w:r w:rsidRPr="00B55D5B">
        <w:rPr>
          <w:rFonts w:ascii="Times New Roman" w:eastAsia="宋体" w:hAnsi="Times New Roman" w:cs="Times New Roman"/>
          <w:i/>
          <w:sz w:val="24"/>
          <w:szCs w:val="24"/>
        </w:rPr>
        <w:t>：</w:t>
      </w:r>
      <w:proofErr w:type="gramStart"/>
      <w:r w:rsidRPr="00B55D5B">
        <w:rPr>
          <w:rFonts w:ascii="Times New Roman" w:eastAsia="宋体" w:hAnsi="Times New Roman" w:cs="Times New Roman"/>
          <w:sz w:val="24"/>
          <w:szCs w:val="24"/>
        </w:rPr>
        <w:t>IPI Family Performance Tracking® Survey 2008.</w:t>
      </w:r>
      <w:proofErr w:type="gramEnd"/>
    </w:p>
    <w:p w:rsidR="000A5352" w:rsidRPr="00B55D5B" w:rsidRDefault="000A5352" w:rsidP="000A5352">
      <w:pPr>
        <w:snapToGrid w:val="0"/>
        <w:spacing w:line="360" w:lineRule="auto"/>
        <w:jc w:val="left"/>
        <w:rPr>
          <w:rFonts w:ascii="Times New Roman" w:eastAsia="宋体" w:hAnsi="Times New Roman" w:cs="Times New Roman"/>
          <w:sz w:val="24"/>
          <w:szCs w:val="24"/>
        </w:rPr>
      </w:pPr>
      <w:r w:rsidRPr="00B55D5B">
        <w:rPr>
          <w:rFonts w:ascii="Times New Roman" w:eastAsia="宋体" w:hAnsi="Times New Roman" w:cs="Times New Roman"/>
          <w:b/>
          <w:sz w:val="24"/>
          <w:szCs w:val="24"/>
        </w:rPr>
        <w:t>图</w:t>
      </w:r>
      <w:r w:rsidRPr="00B55D5B">
        <w:rPr>
          <w:rFonts w:ascii="Times New Roman" w:eastAsia="宋体" w:hAnsi="Times New Roman" w:cs="Times New Roman"/>
          <w:b/>
          <w:sz w:val="24"/>
          <w:szCs w:val="24"/>
        </w:rPr>
        <w:t xml:space="preserve">6.1B </w:t>
      </w:r>
      <w:r w:rsidRPr="00B55D5B">
        <w:rPr>
          <w:rFonts w:ascii="Times New Roman" w:eastAsia="宋体" w:hAnsi="Times New Roman" w:cs="Times New Roman" w:hint="eastAsia"/>
          <w:sz w:val="24"/>
          <w:szCs w:val="24"/>
        </w:rPr>
        <w:t>预期会</w:t>
      </w:r>
      <w:r w:rsidRPr="00B55D5B">
        <w:rPr>
          <w:rFonts w:ascii="Times New Roman" w:eastAsia="宋体" w:hAnsi="Times New Roman" w:cs="Times New Roman"/>
          <w:sz w:val="24"/>
          <w:szCs w:val="24"/>
        </w:rPr>
        <w:t>增加认购各类基金的投资者比例</w:t>
      </w:r>
    </w:p>
    <w:p w:rsidR="009615F0" w:rsidRPr="00B55D5B" w:rsidRDefault="009615F0" w:rsidP="000A5352">
      <w:pPr>
        <w:snapToGrid w:val="0"/>
        <w:spacing w:line="360" w:lineRule="auto"/>
        <w:jc w:val="left"/>
        <w:rPr>
          <w:rFonts w:ascii="Times New Roman" w:eastAsia="宋体" w:hAnsi="Times New Roman" w:cs="Times New Roman"/>
          <w:b/>
          <w:sz w:val="24"/>
          <w:szCs w:val="24"/>
        </w:rPr>
      </w:pPr>
      <w:r w:rsidRPr="00B55D5B">
        <w:rPr>
          <w:noProof/>
        </w:rPr>
        <w:drawing>
          <wp:inline distT="0" distB="0" distL="0" distR="0" wp14:anchorId="44A6E4F8" wp14:editId="51AAE81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5352" w:rsidRPr="00B55D5B" w:rsidRDefault="000A5352" w:rsidP="000A5352">
      <w:pPr>
        <w:spacing w:line="360" w:lineRule="auto"/>
        <w:rPr>
          <w:rFonts w:ascii="Times New Roman" w:eastAsia="宋体" w:hAnsi="Times New Roman" w:cs="Times New Roman"/>
          <w:b/>
          <w:sz w:val="24"/>
          <w:szCs w:val="24"/>
        </w:rPr>
      </w:pPr>
      <w:r w:rsidRPr="00B55D5B">
        <w:rPr>
          <w:rFonts w:ascii="Times New Roman" w:eastAsia="宋体" w:hAnsi="Times New Roman" w:cs="Times New Roman"/>
          <w:i/>
          <w:sz w:val="24"/>
          <w:szCs w:val="24"/>
        </w:rPr>
        <w:t>数据来源：</w:t>
      </w:r>
      <w:proofErr w:type="gramStart"/>
      <w:r w:rsidRPr="00B55D5B">
        <w:rPr>
          <w:rFonts w:ascii="Times New Roman" w:eastAsia="宋体" w:hAnsi="Times New Roman" w:cs="Times New Roman"/>
          <w:sz w:val="24"/>
          <w:szCs w:val="24"/>
        </w:rPr>
        <w:t>IPI Family Performance Tracking® Survey 2008.</w:t>
      </w:r>
      <w:proofErr w:type="gramEnd"/>
    </w:p>
    <w:p w:rsidR="000A5352" w:rsidRPr="00B55D5B" w:rsidRDefault="000A5352" w:rsidP="00EF172B">
      <w:pPr>
        <w:snapToGrid w:val="0"/>
        <w:spacing w:line="360" w:lineRule="auto"/>
        <w:jc w:val="left"/>
        <w:rPr>
          <w:rFonts w:ascii="Times New Roman" w:eastAsia="宋体" w:hAnsi="Times New Roman" w:cs="Times New Roman"/>
          <w:sz w:val="24"/>
          <w:szCs w:val="24"/>
        </w:rPr>
      </w:pPr>
    </w:p>
    <w:p w:rsidR="00EF172B" w:rsidRPr="00B55D5B" w:rsidRDefault="00251EE6" w:rsidP="00EF172B">
      <w:pPr>
        <w:spacing w:beforeLines="50" w:before="156" w:afterLines="50" w:after="156" w:line="360" w:lineRule="auto"/>
        <w:ind w:firstLine="555"/>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过去数年中推动资产管理行业</w:t>
      </w:r>
      <w:r w:rsidR="00AF5D9D" w:rsidRPr="00B55D5B">
        <w:rPr>
          <w:rFonts w:ascii="Times New Roman" w:eastAsia="宋体" w:hAnsi="Times New Roman" w:cs="Times New Roman" w:hint="eastAsia"/>
          <w:sz w:val="24"/>
          <w:szCs w:val="24"/>
        </w:rPr>
        <w:t>规模不断壮大的一股重要力量是大型州立养老金</w:t>
      </w:r>
      <w:r w:rsidRPr="00B55D5B">
        <w:rPr>
          <w:rFonts w:ascii="Times New Roman" w:eastAsia="宋体" w:hAnsi="Times New Roman" w:cs="Times New Roman"/>
          <w:sz w:val="24"/>
          <w:szCs w:val="24"/>
        </w:rPr>
        <w:t>。</w:t>
      </w:r>
      <w:r w:rsidR="00AF5D9D" w:rsidRPr="00B55D5B">
        <w:rPr>
          <w:rFonts w:ascii="Times New Roman" w:eastAsia="宋体" w:hAnsi="Times New Roman" w:cs="Times New Roman" w:hint="eastAsia"/>
          <w:sz w:val="24"/>
          <w:szCs w:val="24"/>
        </w:rPr>
        <w:t>大型州立养老金无疑是市场上的“庞然大物”，他们懂得并善于利用自己的规模优势及市场地位</w:t>
      </w:r>
      <w:r w:rsidR="00EF172B" w:rsidRPr="00B55D5B">
        <w:rPr>
          <w:rFonts w:ascii="Times New Roman" w:eastAsia="宋体" w:hAnsi="Times New Roman" w:cs="Times New Roman"/>
          <w:sz w:val="24"/>
          <w:szCs w:val="24"/>
        </w:rPr>
        <w:t>。</w:t>
      </w:r>
      <w:r w:rsidR="00AF5D9D" w:rsidRPr="00B55D5B">
        <w:rPr>
          <w:rFonts w:ascii="Times New Roman" w:eastAsia="宋体" w:hAnsi="Times New Roman" w:cs="Times New Roman" w:hint="eastAsia"/>
          <w:sz w:val="24"/>
          <w:szCs w:val="24"/>
        </w:rPr>
        <w:t>著名的大型州立养老金</w:t>
      </w:r>
      <w:r w:rsidR="00EF172B" w:rsidRPr="00B55D5B">
        <w:rPr>
          <w:rFonts w:ascii="Times New Roman" w:eastAsia="宋体" w:hAnsi="Times New Roman" w:cs="Times New Roman"/>
          <w:sz w:val="24"/>
          <w:szCs w:val="24"/>
        </w:rPr>
        <w:t>包括</w:t>
      </w:r>
      <w:r w:rsidR="00AF5D9D" w:rsidRPr="00B55D5B">
        <w:rPr>
          <w:rFonts w:ascii="Times New Roman" w:eastAsia="宋体" w:hAnsi="Times New Roman" w:cs="Times New Roman" w:hint="eastAsia"/>
          <w:sz w:val="24"/>
          <w:szCs w:val="24"/>
        </w:rPr>
        <w:t>，</w:t>
      </w:r>
      <w:r w:rsidR="00EF172B" w:rsidRPr="00B55D5B">
        <w:rPr>
          <w:rFonts w:ascii="Times New Roman" w:eastAsia="宋体" w:hAnsi="Times New Roman" w:cs="Times New Roman"/>
          <w:sz w:val="24"/>
          <w:szCs w:val="24"/>
        </w:rPr>
        <w:t>阿拉斯</w:t>
      </w:r>
      <w:r w:rsidR="002C29ED" w:rsidRPr="00B55D5B">
        <w:rPr>
          <w:rFonts w:ascii="Times New Roman" w:eastAsia="宋体" w:hAnsi="Times New Roman" w:cs="Times New Roman" w:hint="eastAsia"/>
          <w:sz w:val="24"/>
          <w:szCs w:val="24"/>
        </w:rPr>
        <w:t>加</w:t>
      </w:r>
      <w:r w:rsidR="00EF172B" w:rsidRPr="00B55D5B">
        <w:rPr>
          <w:rFonts w:ascii="Times New Roman" w:eastAsia="宋体" w:hAnsi="Times New Roman" w:cs="Times New Roman"/>
          <w:sz w:val="24"/>
          <w:szCs w:val="24"/>
        </w:rPr>
        <w:t>永久基金（</w:t>
      </w:r>
      <w:r w:rsidR="00EF172B" w:rsidRPr="00B55D5B">
        <w:rPr>
          <w:rFonts w:ascii="Times New Roman" w:eastAsia="宋体" w:hAnsi="Times New Roman" w:cs="Times New Roman"/>
          <w:sz w:val="24"/>
          <w:szCs w:val="24"/>
        </w:rPr>
        <w:t>Alaska Permanent Fund</w:t>
      </w:r>
      <w:r w:rsidR="00EF172B" w:rsidRPr="00B55D5B">
        <w:rPr>
          <w:rFonts w:ascii="Times New Roman" w:eastAsia="宋体" w:hAnsi="Times New Roman" w:cs="Times New Roman"/>
          <w:sz w:val="24"/>
          <w:szCs w:val="24"/>
        </w:rPr>
        <w:t>）</w:t>
      </w:r>
      <w:r w:rsidR="00AF5D9D" w:rsidRPr="00B55D5B">
        <w:rPr>
          <w:rFonts w:ascii="Times New Roman" w:eastAsia="宋体" w:hAnsi="Times New Roman" w:cs="Times New Roman" w:hint="eastAsia"/>
          <w:sz w:val="24"/>
          <w:szCs w:val="24"/>
        </w:rPr>
        <w:t>，</w:t>
      </w:r>
      <w:r w:rsidR="00EF172B" w:rsidRPr="00B55D5B">
        <w:rPr>
          <w:rFonts w:ascii="Times New Roman" w:eastAsia="宋体" w:hAnsi="Times New Roman" w:cs="Times New Roman"/>
          <w:sz w:val="24"/>
          <w:szCs w:val="24"/>
        </w:rPr>
        <w:t>马萨诸塞养老储备投资（</w:t>
      </w:r>
      <w:r w:rsidR="00EF172B" w:rsidRPr="00B55D5B">
        <w:rPr>
          <w:rFonts w:ascii="Times New Roman" w:eastAsia="宋体" w:hAnsi="Times New Roman" w:cs="Times New Roman"/>
          <w:sz w:val="24"/>
          <w:szCs w:val="24"/>
        </w:rPr>
        <w:t>Massachusetts Pensions Reserves Investment</w:t>
      </w:r>
      <w:r w:rsidR="00EF172B" w:rsidRPr="00B55D5B">
        <w:rPr>
          <w:rFonts w:ascii="Times New Roman" w:eastAsia="宋体" w:hAnsi="Times New Roman" w:cs="Times New Roman"/>
          <w:sz w:val="24"/>
          <w:szCs w:val="24"/>
        </w:rPr>
        <w:t>）</w:t>
      </w:r>
      <w:r w:rsidR="00AF5D9D" w:rsidRPr="00B55D5B">
        <w:rPr>
          <w:rFonts w:ascii="Times New Roman" w:eastAsia="宋体" w:hAnsi="Times New Roman" w:cs="Times New Roman" w:hint="eastAsia"/>
          <w:sz w:val="24"/>
          <w:szCs w:val="24"/>
        </w:rPr>
        <w:t>以及</w:t>
      </w:r>
      <w:r w:rsidR="00EF172B" w:rsidRPr="00B55D5B">
        <w:rPr>
          <w:rFonts w:ascii="Times New Roman" w:eastAsia="宋体" w:hAnsi="Times New Roman" w:cs="Times New Roman"/>
          <w:sz w:val="24"/>
          <w:szCs w:val="24"/>
        </w:rPr>
        <w:t>宾夕法尼亚雇员退休</w:t>
      </w:r>
      <w:r w:rsidR="00AF5D9D" w:rsidRPr="00B55D5B">
        <w:rPr>
          <w:rFonts w:ascii="Times New Roman" w:eastAsia="宋体" w:hAnsi="Times New Roman" w:cs="Times New Roman" w:hint="eastAsia"/>
          <w:sz w:val="24"/>
          <w:szCs w:val="24"/>
        </w:rPr>
        <w:t>基金</w:t>
      </w:r>
      <w:r w:rsidR="00EF172B" w:rsidRPr="00B55D5B">
        <w:rPr>
          <w:rFonts w:ascii="Times New Roman" w:eastAsia="宋体" w:hAnsi="Times New Roman" w:cs="Times New Roman"/>
          <w:sz w:val="24"/>
          <w:szCs w:val="24"/>
        </w:rPr>
        <w:t>（</w:t>
      </w:r>
      <w:r w:rsidR="00EF172B" w:rsidRPr="00B55D5B">
        <w:rPr>
          <w:rFonts w:ascii="Times New Roman" w:eastAsia="宋体" w:hAnsi="Times New Roman" w:cs="Times New Roman"/>
          <w:sz w:val="24"/>
          <w:szCs w:val="24"/>
        </w:rPr>
        <w:t>Pennsylvania State Employees Retirements System</w:t>
      </w:r>
      <w:r w:rsidR="00EF172B" w:rsidRPr="00B55D5B">
        <w:rPr>
          <w:rFonts w:ascii="Times New Roman" w:eastAsia="宋体" w:hAnsi="Times New Roman" w:cs="Times New Roman"/>
          <w:sz w:val="24"/>
          <w:szCs w:val="24"/>
        </w:rPr>
        <w:t>）。</w:t>
      </w:r>
    </w:p>
    <w:p w:rsidR="00EF172B" w:rsidRPr="00B55D5B" w:rsidRDefault="00EF172B" w:rsidP="00EF172B">
      <w:pPr>
        <w:spacing w:beforeLines="50" w:before="156" w:afterLines="50" w:after="156" w:line="360" w:lineRule="auto"/>
        <w:rPr>
          <w:rFonts w:ascii="Times New Roman" w:eastAsia="宋体" w:hAnsi="Times New Roman" w:cs="Times New Roman"/>
          <w:sz w:val="24"/>
          <w:szCs w:val="24"/>
        </w:rPr>
      </w:pPr>
      <w:r w:rsidRPr="00B55D5B">
        <w:rPr>
          <w:rFonts w:ascii="Times New Roman" w:eastAsia="宋体" w:hAnsi="Times New Roman" w:cs="Times New Roman"/>
          <w:noProof/>
        </w:rPr>
        <w:drawing>
          <wp:inline distT="0" distB="0" distL="0" distR="0" wp14:anchorId="66223393" wp14:editId="4921743B">
            <wp:extent cx="5276850" cy="2686050"/>
            <wp:effectExtent l="0" t="0" r="0" b="0"/>
            <wp:docPr id="2"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172B" w:rsidRPr="00B55D5B" w:rsidRDefault="000A5352" w:rsidP="00EF172B">
      <w:pPr>
        <w:spacing w:beforeLines="50" w:before="156" w:afterLines="50" w:after="156" w:line="360" w:lineRule="auto"/>
        <w:ind w:firstLine="555"/>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lastRenderedPageBreak/>
        <w:t>对冲</w:t>
      </w:r>
      <w:r w:rsidRPr="00B55D5B">
        <w:rPr>
          <w:rFonts w:ascii="Times New Roman" w:eastAsia="宋体" w:hAnsi="Times New Roman" w:cs="Times New Roman"/>
          <w:sz w:val="24"/>
          <w:szCs w:val="24"/>
        </w:rPr>
        <w:t>基金与私</w:t>
      </w:r>
      <w:proofErr w:type="gramStart"/>
      <w:r w:rsidRPr="00B55D5B">
        <w:rPr>
          <w:rFonts w:ascii="Times New Roman" w:eastAsia="宋体" w:hAnsi="Times New Roman" w:cs="Times New Roman"/>
          <w:sz w:val="24"/>
          <w:szCs w:val="24"/>
        </w:rPr>
        <w:t>募股权基金</w:t>
      </w:r>
      <w:proofErr w:type="gramEnd"/>
      <w:r w:rsidRPr="00B55D5B">
        <w:rPr>
          <w:rFonts w:ascii="Times New Roman" w:eastAsia="宋体" w:hAnsi="Times New Roman" w:cs="Times New Roman"/>
          <w:sz w:val="24"/>
          <w:szCs w:val="24"/>
        </w:rPr>
        <w:t>比较类似，</w:t>
      </w:r>
      <w:r w:rsidRPr="00B55D5B">
        <w:rPr>
          <w:rFonts w:ascii="Times New Roman" w:eastAsia="宋体" w:hAnsi="Times New Roman" w:cs="Times New Roman" w:hint="eastAsia"/>
          <w:sz w:val="24"/>
          <w:szCs w:val="24"/>
        </w:rPr>
        <w:t>他们</w:t>
      </w:r>
      <w:r w:rsidRPr="00B55D5B">
        <w:rPr>
          <w:rFonts w:ascii="Times New Roman" w:eastAsia="宋体" w:hAnsi="Times New Roman" w:cs="Times New Roman"/>
          <w:sz w:val="24"/>
          <w:szCs w:val="24"/>
        </w:rPr>
        <w:t>相对于共同基金</w:t>
      </w:r>
      <w:r w:rsidRPr="00B55D5B">
        <w:rPr>
          <w:rFonts w:ascii="Times New Roman" w:eastAsia="宋体" w:hAnsi="Times New Roman" w:cs="Times New Roman" w:hint="eastAsia"/>
          <w:sz w:val="24"/>
          <w:szCs w:val="24"/>
        </w:rPr>
        <w:t>受到</w:t>
      </w:r>
      <w:r w:rsidRPr="00B55D5B">
        <w:rPr>
          <w:rFonts w:ascii="Times New Roman" w:eastAsia="宋体" w:hAnsi="Times New Roman" w:cs="Times New Roman"/>
          <w:sz w:val="24"/>
          <w:szCs w:val="24"/>
        </w:rPr>
        <w:t>更少的监管，</w:t>
      </w:r>
      <w:r w:rsidRPr="00B55D5B">
        <w:rPr>
          <w:rFonts w:ascii="Times New Roman" w:eastAsia="宋体" w:hAnsi="Times New Roman" w:cs="Times New Roman" w:hint="eastAsia"/>
          <w:sz w:val="24"/>
          <w:szCs w:val="24"/>
        </w:rPr>
        <w:t>都</w:t>
      </w:r>
      <w:r w:rsidRPr="00B55D5B">
        <w:rPr>
          <w:rFonts w:ascii="Times New Roman" w:eastAsia="宋体" w:hAnsi="Times New Roman" w:cs="Times New Roman"/>
          <w:sz w:val="24"/>
          <w:szCs w:val="24"/>
        </w:rPr>
        <w:t>有</w:t>
      </w:r>
      <w:r w:rsidRPr="00B55D5B">
        <w:rPr>
          <w:rFonts w:ascii="Times New Roman" w:eastAsia="宋体" w:hAnsi="Times New Roman" w:cs="Times New Roman" w:hint="eastAsia"/>
          <w:sz w:val="24"/>
          <w:szCs w:val="24"/>
        </w:rPr>
        <w:t>锁定期</w:t>
      </w:r>
      <w:r w:rsidRPr="00B55D5B">
        <w:rPr>
          <w:rFonts w:ascii="Times New Roman" w:eastAsia="宋体" w:hAnsi="Times New Roman" w:cs="Times New Roman"/>
          <w:sz w:val="24"/>
          <w:szCs w:val="24"/>
        </w:rPr>
        <w:t>安排，并且都能够将基金经理与投资人的利益绑定。</w:t>
      </w:r>
      <w:r w:rsidR="00084702" w:rsidRPr="00B55D5B">
        <w:rPr>
          <w:rFonts w:ascii="Times New Roman" w:eastAsia="宋体" w:hAnsi="Times New Roman" w:cs="Times New Roman" w:hint="eastAsia"/>
          <w:sz w:val="24"/>
          <w:szCs w:val="24"/>
        </w:rPr>
        <w:t>无论是在</w:t>
      </w:r>
      <w:r w:rsidR="00084702" w:rsidRPr="00B55D5B">
        <w:rPr>
          <w:rFonts w:ascii="Times New Roman" w:eastAsia="宋体" w:hAnsi="Times New Roman" w:cs="Times New Roman"/>
          <w:sz w:val="24"/>
          <w:szCs w:val="24"/>
        </w:rPr>
        <w:t>对冲基金行业还是在其他投资领域，</w:t>
      </w:r>
      <w:r w:rsidR="00084702" w:rsidRPr="00B55D5B">
        <w:rPr>
          <w:rFonts w:ascii="Times New Roman" w:eastAsia="宋体" w:hAnsi="Times New Roman" w:cs="Times New Roman" w:hint="eastAsia"/>
          <w:sz w:val="24"/>
          <w:szCs w:val="24"/>
        </w:rPr>
        <w:t>基金</w:t>
      </w:r>
      <w:r w:rsidR="00084702" w:rsidRPr="00B55D5B">
        <w:rPr>
          <w:rFonts w:ascii="Times New Roman" w:eastAsia="宋体" w:hAnsi="Times New Roman" w:cs="Times New Roman"/>
          <w:sz w:val="24"/>
          <w:szCs w:val="24"/>
        </w:rPr>
        <w:t>经理敢于投资于自己所管理的基金</w:t>
      </w:r>
      <w:r w:rsidR="00084702" w:rsidRPr="00B55D5B">
        <w:rPr>
          <w:rFonts w:ascii="Times New Roman" w:eastAsia="宋体" w:hAnsi="Times New Roman" w:cs="Times New Roman" w:hint="eastAsia"/>
          <w:sz w:val="24"/>
          <w:szCs w:val="24"/>
        </w:rPr>
        <w:t>都是正面</w:t>
      </w:r>
      <w:r w:rsidR="00084702" w:rsidRPr="00B55D5B">
        <w:rPr>
          <w:rFonts w:ascii="Times New Roman" w:eastAsia="宋体" w:hAnsi="Times New Roman" w:cs="Times New Roman"/>
          <w:sz w:val="24"/>
          <w:szCs w:val="24"/>
        </w:rPr>
        <w:t>的信号。</w:t>
      </w:r>
      <w:r w:rsidR="00084702" w:rsidRPr="00B55D5B">
        <w:rPr>
          <w:rFonts w:ascii="Times New Roman" w:eastAsia="宋体" w:hAnsi="Times New Roman" w:cs="Times New Roman" w:hint="eastAsia"/>
          <w:sz w:val="24"/>
          <w:szCs w:val="24"/>
        </w:rPr>
        <w:t>无论是</w:t>
      </w:r>
      <w:r w:rsidR="00084702" w:rsidRPr="00B55D5B">
        <w:rPr>
          <w:rFonts w:ascii="Times New Roman" w:eastAsia="宋体" w:hAnsi="Times New Roman" w:cs="Times New Roman"/>
          <w:sz w:val="24"/>
          <w:szCs w:val="24"/>
        </w:rPr>
        <w:t>FOF</w:t>
      </w:r>
      <w:r w:rsidR="00084702" w:rsidRPr="00B55D5B">
        <w:rPr>
          <w:rFonts w:ascii="Times New Roman" w:eastAsia="宋体" w:hAnsi="Times New Roman" w:cs="Times New Roman"/>
          <w:sz w:val="24"/>
          <w:szCs w:val="24"/>
        </w:rPr>
        <w:t>在对其拟投资基金进行调研时，还是投资</w:t>
      </w:r>
      <w:r w:rsidR="00084702" w:rsidRPr="00B55D5B">
        <w:rPr>
          <w:rFonts w:ascii="Times New Roman" w:eastAsia="宋体" w:hAnsi="Times New Roman" w:cs="Times New Roman" w:hint="eastAsia"/>
          <w:sz w:val="24"/>
          <w:szCs w:val="24"/>
        </w:rPr>
        <w:t>者</w:t>
      </w:r>
      <w:r w:rsidR="00084702" w:rsidRPr="00B55D5B">
        <w:rPr>
          <w:rFonts w:ascii="Times New Roman" w:eastAsia="宋体" w:hAnsi="Times New Roman" w:cs="Times New Roman"/>
          <w:sz w:val="24"/>
          <w:szCs w:val="24"/>
        </w:rPr>
        <w:t>在</w:t>
      </w:r>
      <w:r w:rsidR="00084702" w:rsidRPr="00B55D5B">
        <w:rPr>
          <w:rFonts w:ascii="Times New Roman" w:eastAsia="宋体" w:hAnsi="Times New Roman" w:cs="Times New Roman" w:hint="eastAsia"/>
          <w:sz w:val="24"/>
          <w:szCs w:val="24"/>
        </w:rPr>
        <w:t>与</w:t>
      </w:r>
      <w:r w:rsidR="00084702" w:rsidRPr="00B55D5B">
        <w:rPr>
          <w:rFonts w:ascii="Times New Roman" w:eastAsia="宋体" w:hAnsi="Times New Roman" w:cs="Times New Roman"/>
          <w:sz w:val="24"/>
          <w:szCs w:val="24"/>
        </w:rPr>
        <w:t>拟投资</w:t>
      </w:r>
      <w:r w:rsidR="00084702" w:rsidRPr="00B55D5B">
        <w:rPr>
          <w:rFonts w:ascii="Times New Roman" w:eastAsia="宋体" w:hAnsi="Times New Roman" w:cs="Times New Roman"/>
          <w:sz w:val="24"/>
          <w:szCs w:val="24"/>
        </w:rPr>
        <w:t>FOF</w:t>
      </w:r>
      <w:r w:rsidR="00084702" w:rsidRPr="00B55D5B">
        <w:rPr>
          <w:rFonts w:ascii="Times New Roman" w:eastAsia="宋体" w:hAnsi="Times New Roman" w:cs="Times New Roman"/>
          <w:sz w:val="24"/>
          <w:szCs w:val="24"/>
        </w:rPr>
        <w:t>进行</w:t>
      </w:r>
      <w:r w:rsidR="00084702" w:rsidRPr="00B55D5B">
        <w:rPr>
          <w:rFonts w:ascii="Times New Roman" w:eastAsia="宋体" w:hAnsi="Times New Roman" w:cs="Times New Roman" w:hint="eastAsia"/>
          <w:sz w:val="24"/>
          <w:szCs w:val="24"/>
        </w:rPr>
        <w:t>交流</w:t>
      </w:r>
      <w:r w:rsidR="00084702" w:rsidRPr="00B55D5B">
        <w:rPr>
          <w:rFonts w:ascii="Times New Roman" w:eastAsia="宋体" w:hAnsi="Times New Roman" w:cs="Times New Roman"/>
          <w:sz w:val="24"/>
          <w:szCs w:val="24"/>
        </w:rPr>
        <w:t>时，</w:t>
      </w:r>
      <w:r w:rsidR="00084702" w:rsidRPr="00B55D5B">
        <w:rPr>
          <w:rFonts w:ascii="Times New Roman" w:eastAsia="宋体" w:hAnsi="Times New Roman" w:cs="Times New Roman" w:hint="eastAsia"/>
          <w:sz w:val="24"/>
          <w:szCs w:val="24"/>
        </w:rPr>
        <w:t>基金</w:t>
      </w:r>
      <w:r w:rsidR="00084702" w:rsidRPr="00B55D5B">
        <w:rPr>
          <w:rFonts w:ascii="Times New Roman" w:eastAsia="宋体" w:hAnsi="Times New Roman" w:cs="Times New Roman"/>
          <w:sz w:val="24"/>
          <w:szCs w:val="24"/>
        </w:rPr>
        <w:t>经理有没有投资于自己所管理的基金都是</w:t>
      </w:r>
      <w:r w:rsidR="000A32AF" w:rsidRPr="00B55D5B">
        <w:rPr>
          <w:rFonts w:ascii="Times New Roman" w:eastAsia="宋体" w:hAnsi="Times New Roman" w:cs="Times New Roman" w:hint="eastAsia"/>
          <w:sz w:val="24"/>
          <w:szCs w:val="24"/>
        </w:rPr>
        <w:t>首要</w:t>
      </w:r>
      <w:r w:rsidR="00084702" w:rsidRPr="00B55D5B">
        <w:rPr>
          <w:rFonts w:ascii="Times New Roman" w:eastAsia="宋体" w:hAnsi="Times New Roman" w:cs="Times New Roman"/>
          <w:sz w:val="24"/>
          <w:szCs w:val="24"/>
        </w:rPr>
        <w:t>被</w:t>
      </w:r>
      <w:r w:rsidR="00084702" w:rsidRPr="00B55D5B">
        <w:rPr>
          <w:rFonts w:ascii="Times New Roman" w:eastAsia="宋体" w:hAnsi="Times New Roman" w:cs="Times New Roman" w:hint="eastAsia"/>
          <w:sz w:val="24"/>
          <w:szCs w:val="24"/>
        </w:rPr>
        <w:t>问到</w:t>
      </w:r>
      <w:r w:rsidR="00084702" w:rsidRPr="00B55D5B">
        <w:rPr>
          <w:rFonts w:ascii="Times New Roman" w:eastAsia="宋体" w:hAnsi="Times New Roman" w:cs="Times New Roman"/>
          <w:sz w:val="24"/>
          <w:szCs w:val="24"/>
        </w:rPr>
        <w:t>的问题。</w:t>
      </w:r>
    </w:p>
    <w:p w:rsidR="00EF172B" w:rsidRPr="00B55D5B" w:rsidRDefault="00700BCD" w:rsidP="00EF172B">
      <w:pPr>
        <w:spacing w:beforeLines="50" w:before="156" w:afterLines="50" w:after="156" w:line="360" w:lineRule="auto"/>
        <w:ind w:firstLine="555"/>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随着</w:t>
      </w:r>
      <w:r w:rsidRPr="00B55D5B">
        <w:rPr>
          <w:rFonts w:ascii="Times New Roman" w:eastAsia="宋体" w:hAnsi="Times New Roman" w:cs="Times New Roman"/>
          <w:sz w:val="24"/>
          <w:szCs w:val="24"/>
        </w:rPr>
        <w:t>对冲基金</w:t>
      </w:r>
      <w:r w:rsidRPr="00B55D5B">
        <w:rPr>
          <w:rFonts w:ascii="Times New Roman" w:eastAsia="宋体" w:hAnsi="Times New Roman" w:cs="Times New Roman" w:hint="eastAsia"/>
          <w:sz w:val="24"/>
          <w:szCs w:val="24"/>
        </w:rPr>
        <w:t>行业</w:t>
      </w:r>
      <w:r w:rsidRPr="00B55D5B">
        <w:rPr>
          <w:rFonts w:ascii="Times New Roman" w:eastAsia="宋体" w:hAnsi="Times New Roman" w:cs="Times New Roman"/>
          <w:sz w:val="24"/>
          <w:szCs w:val="24"/>
        </w:rPr>
        <w:t>及</w:t>
      </w:r>
      <w:r w:rsidRPr="00B55D5B">
        <w:rPr>
          <w:rFonts w:ascii="Times New Roman" w:eastAsia="宋体" w:hAnsi="Times New Roman" w:cs="Times New Roman"/>
          <w:sz w:val="24"/>
          <w:szCs w:val="24"/>
        </w:rPr>
        <w:t>FOF</w:t>
      </w:r>
      <w:r w:rsidRPr="00B55D5B">
        <w:rPr>
          <w:rFonts w:ascii="Times New Roman" w:eastAsia="宋体" w:hAnsi="Times New Roman" w:cs="Times New Roman" w:hint="eastAsia"/>
          <w:sz w:val="24"/>
          <w:szCs w:val="24"/>
        </w:rPr>
        <w:t>行业</w:t>
      </w:r>
      <w:r w:rsidRPr="00B55D5B">
        <w:rPr>
          <w:rFonts w:ascii="Times New Roman" w:eastAsia="宋体" w:hAnsi="Times New Roman" w:cs="Times New Roman"/>
          <w:sz w:val="24"/>
          <w:szCs w:val="24"/>
        </w:rPr>
        <w:t>的不断壮大，</w:t>
      </w:r>
      <w:r w:rsidRPr="00B55D5B">
        <w:rPr>
          <w:rFonts w:ascii="Times New Roman" w:eastAsia="宋体" w:hAnsi="Times New Roman" w:cs="Times New Roman" w:hint="eastAsia"/>
          <w:sz w:val="24"/>
          <w:szCs w:val="24"/>
        </w:rPr>
        <w:t>许多</w:t>
      </w:r>
      <w:r w:rsidRPr="00B55D5B">
        <w:rPr>
          <w:rFonts w:ascii="Times New Roman" w:eastAsia="宋体" w:hAnsi="Times New Roman" w:cs="Times New Roman"/>
          <w:sz w:val="24"/>
          <w:szCs w:val="24"/>
        </w:rPr>
        <w:t>大型的对冲基金</w:t>
      </w:r>
      <w:r w:rsidRPr="00B55D5B">
        <w:rPr>
          <w:rFonts w:ascii="Times New Roman" w:eastAsia="宋体" w:hAnsi="Times New Roman" w:cs="Times New Roman" w:hint="eastAsia"/>
          <w:sz w:val="24"/>
          <w:szCs w:val="24"/>
        </w:rPr>
        <w:t>及</w:t>
      </w:r>
      <w:r w:rsidRPr="00B55D5B">
        <w:rPr>
          <w:rFonts w:ascii="Times New Roman" w:eastAsia="宋体" w:hAnsi="Times New Roman" w:cs="Times New Roman"/>
          <w:sz w:val="24"/>
          <w:szCs w:val="24"/>
        </w:rPr>
        <w:t>FOF</w:t>
      </w:r>
      <w:r w:rsidRPr="00B55D5B">
        <w:rPr>
          <w:rFonts w:ascii="Times New Roman" w:eastAsia="宋体" w:hAnsi="Times New Roman" w:cs="Times New Roman"/>
          <w:sz w:val="24"/>
          <w:szCs w:val="24"/>
        </w:rPr>
        <w:t>管理机构开始效仿共同基金的</w:t>
      </w:r>
      <w:r w:rsidRPr="00B55D5B">
        <w:rPr>
          <w:rFonts w:ascii="Times New Roman" w:eastAsia="宋体" w:hAnsi="Times New Roman" w:cs="Times New Roman" w:hint="eastAsia"/>
          <w:sz w:val="24"/>
          <w:szCs w:val="24"/>
        </w:rPr>
        <w:t>公司</w:t>
      </w:r>
      <w:r w:rsidRPr="00B55D5B">
        <w:rPr>
          <w:rFonts w:ascii="Times New Roman" w:eastAsia="宋体" w:hAnsi="Times New Roman" w:cs="Times New Roman"/>
          <w:sz w:val="24"/>
          <w:szCs w:val="24"/>
        </w:rPr>
        <w:t>组织模式。</w:t>
      </w:r>
      <w:r w:rsidR="00B27393" w:rsidRPr="00B55D5B">
        <w:rPr>
          <w:rFonts w:ascii="Times New Roman" w:eastAsia="宋体" w:hAnsi="Times New Roman" w:cs="Times New Roman" w:hint="eastAsia"/>
          <w:sz w:val="24"/>
          <w:szCs w:val="24"/>
        </w:rPr>
        <w:t>上述引发</w:t>
      </w:r>
      <w:r w:rsidRPr="00B55D5B">
        <w:rPr>
          <w:rFonts w:ascii="Times New Roman" w:eastAsia="宋体" w:hAnsi="Times New Roman" w:cs="Times New Roman"/>
          <w:sz w:val="24"/>
          <w:szCs w:val="24"/>
        </w:rPr>
        <w:t>的一个问题是，对冲基金及</w:t>
      </w:r>
      <w:r w:rsidRPr="00B55D5B">
        <w:rPr>
          <w:rFonts w:ascii="Times New Roman" w:eastAsia="宋体" w:hAnsi="Times New Roman" w:cs="Times New Roman"/>
          <w:sz w:val="24"/>
          <w:szCs w:val="24"/>
        </w:rPr>
        <w:t>FOF</w:t>
      </w:r>
      <w:r w:rsidR="0038128F" w:rsidRPr="00B55D5B">
        <w:rPr>
          <w:rFonts w:ascii="Times New Roman" w:eastAsia="宋体" w:hAnsi="Times New Roman" w:cs="Times New Roman"/>
          <w:sz w:val="24"/>
          <w:szCs w:val="24"/>
        </w:rPr>
        <w:t>管理人的重心是放在营销方面还是投资管理方面</w:t>
      </w:r>
      <w:r w:rsidR="0038128F" w:rsidRPr="00B55D5B">
        <w:rPr>
          <w:rFonts w:ascii="Times New Roman" w:eastAsia="宋体" w:hAnsi="Times New Roman" w:cs="Times New Roman" w:hint="eastAsia"/>
          <w:sz w:val="24"/>
          <w:szCs w:val="24"/>
        </w:rPr>
        <w:t>，</w:t>
      </w:r>
      <w:r w:rsidR="0038128F" w:rsidRPr="00B55D5B">
        <w:rPr>
          <w:rFonts w:ascii="Times New Roman" w:eastAsia="宋体" w:hAnsi="Times New Roman" w:cs="Times New Roman"/>
          <w:sz w:val="24"/>
          <w:szCs w:val="24"/>
        </w:rPr>
        <w:t>毕竟共同基金中很多基金经理的工作</w:t>
      </w:r>
      <w:r w:rsidR="0038128F" w:rsidRPr="00B55D5B">
        <w:rPr>
          <w:rFonts w:ascii="Times New Roman" w:eastAsia="宋体" w:hAnsi="Times New Roman" w:cs="Times New Roman" w:hint="eastAsia"/>
          <w:sz w:val="24"/>
          <w:szCs w:val="24"/>
        </w:rPr>
        <w:t>重心</w:t>
      </w:r>
      <w:r w:rsidR="0038128F" w:rsidRPr="00B55D5B">
        <w:rPr>
          <w:rFonts w:ascii="Times New Roman" w:eastAsia="宋体" w:hAnsi="Times New Roman" w:cs="Times New Roman"/>
          <w:sz w:val="24"/>
          <w:szCs w:val="24"/>
        </w:rPr>
        <w:t>在营销方面而非投资管理方面。</w:t>
      </w:r>
      <w:r w:rsidR="0038128F" w:rsidRPr="00B55D5B">
        <w:rPr>
          <w:rFonts w:ascii="Times New Roman" w:eastAsia="宋体" w:hAnsi="Times New Roman" w:cs="Times New Roman" w:hint="eastAsia"/>
          <w:sz w:val="24"/>
          <w:szCs w:val="24"/>
        </w:rPr>
        <w:t>共同</w:t>
      </w:r>
      <w:r w:rsidR="0038128F" w:rsidRPr="00B55D5B">
        <w:rPr>
          <w:rFonts w:ascii="Times New Roman" w:eastAsia="宋体" w:hAnsi="Times New Roman" w:cs="Times New Roman"/>
          <w:sz w:val="24"/>
          <w:szCs w:val="24"/>
        </w:rPr>
        <w:t>基金经理工作重心之所以放在营销方面的一个重要原因在于</w:t>
      </w:r>
      <w:r w:rsidR="0038128F" w:rsidRPr="00B55D5B">
        <w:rPr>
          <w:rFonts w:ascii="Times New Roman" w:eastAsia="宋体" w:hAnsi="Times New Roman" w:cs="Times New Roman" w:hint="eastAsia"/>
          <w:sz w:val="24"/>
          <w:szCs w:val="24"/>
        </w:rPr>
        <w:t>共同</w:t>
      </w:r>
      <w:r w:rsidR="0038128F" w:rsidRPr="00B55D5B">
        <w:rPr>
          <w:rFonts w:ascii="Times New Roman" w:eastAsia="宋体" w:hAnsi="Times New Roman" w:cs="Times New Roman"/>
          <w:sz w:val="24"/>
          <w:szCs w:val="24"/>
        </w:rPr>
        <w:t>基金的管理费是按照基金规模收取，而</w:t>
      </w:r>
      <w:proofErr w:type="gramStart"/>
      <w:r w:rsidR="0038128F" w:rsidRPr="00B55D5B">
        <w:rPr>
          <w:rFonts w:ascii="Times New Roman" w:eastAsia="宋体" w:hAnsi="Times New Roman" w:cs="Times New Roman"/>
          <w:sz w:val="24"/>
          <w:szCs w:val="24"/>
        </w:rPr>
        <w:t>非根据</w:t>
      </w:r>
      <w:proofErr w:type="gramEnd"/>
      <w:r w:rsidR="0038128F" w:rsidRPr="00B55D5B">
        <w:rPr>
          <w:rFonts w:ascii="Times New Roman" w:eastAsia="宋体" w:hAnsi="Times New Roman" w:cs="Times New Roman"/>
          <w:sz w:val="24"/>
          <w:szCs w:val="24"/>
        </w:rPr>
        <w:t>基金业绩表现情况而收取。</w:t>
      </w:r>
      <w:r w:rsidR="0038128F" w:rsidRPr="00B55D5B">
        <w:rPr>
          <w:rFonts w:ascii="Times New Roman" w:eastAsia="宋体" w:hAnsi="Times New Roman" w:cs="Times New Roman" w:hint="eastAsia"/>
          <w:sz w:val="24"/>
          <w:szCs w:val="24"/>
        </w:rPr>
        <w:t>由于</w:t>
      </w:r>
      <w:r w:rsidR="0038128F" w:rsidRPr="00B55D5B">
        <w:rPr>
          <w:rFonts w:ascii="Times New Roman" w:eastAsia="宋体" w:hAnsi="Times New Roman" w:cs="Times New Roman"/>
          <w:sz w:val="24"/>
          <w:szCs w:val="24"/>
        </w:rPr>
        <w:t>共同基金经理不会因为出色的投资业绩而获得额外回报，他们最近的策略就是</w:t>
      </w:r>
      <w:r w:rsidR="0038128F" w:rsidRPr="00B55D5B">
        <w:rPr>
          <w:rFonts w:ascii="Times New Roman" w:eastAsia="宋体" w:hAnsi="Times New Roman" w:cs="Times New Roman" w:hint="eastAsia"/>
          <w:sz w:val="24"/>
          <w:szCs w:val="24"/>
        </w:rPr>
        <w:t>使得</w:t>
      </w:r>
      <w:r w:rsidR="0038128F" w:rsidRPr="00B55D5B">
        <w:rPr>
          <w:rFonts w:ascii="Times New Roman" w:eastAsia="宋体" w:hAnsi="Times New Roman" w:cs="Times New Roman"/>
          <w:sz w:val="24"/>
          <w:szCs w:val="24"/>
        </w:rPr>
        <w:t>业绩保持在平均水平。</w:t>
      </w:r>
      <w:r w:rsidR="0038128F" w:rsidRPr="00B55D5B">
        <w:rPr>
          <w:rFonts w:ascii="Times New Roman" w:eastAsia="宋体" w:hAnsi="Times New Roman" w:cs="Times New Roman" w:hint="eastAsia"/>
          <w:sz w:val="24"/>
          <w:szCs w:val="24"/>
        </w:rPr>
        <w:t>同时，</w:t>
      </w:r>
      <w:r w:rsidR="0038128F" w:rsidRPr="00B55D5B">
        <w:rPr>
          <w:rFonts w:ascii="Times New Roman" w:eastAsia="宋体" w:hAnsi="Times New Roman" w:cs="Times New Roman"/>
          <w:sz w:val="24"/>
          <w:szCs w:val="24"/>
        </w:rPr>
        <w:t>由于很多共同基金都是上市公司，</w:t>
      </w:r>
      <w:r w:rsidR="0038128F" w:rsidRPr="00B55D5B">
        <w:rPr>
          <w:rFonts w:ascii="Times New Roman" w:eastAsia="宋体" w:hAnsi="Times New Roman" w:cs="Times New Roman" w:hint="eastAsia"/>
          <w:sz w:val="24"/>
          <w:szCs w:val="24"/>
        </w:rPr>
        <w:t>股东们往往</w:t>
      </w:r>
      <w:r w:rsidR="0038128F" w:rsidRPr="00B55D5B">
        <w:rPr>
          <w:rFonts w:ascii="Times New Roman" w:eastAsia="宋体" w:hAnsi="Times New Roman" w:cs="Times New Roman"/>
          <w:sz w:val="24"/>
          <w:szCs w:val="24"/>
        </w:rPr>
        <w:t>看重基金经理能否将其管理基金的规模做大，</w:t>
      </w:r>
      <w:r w:rsidR="0038128F" w:rsidRPr="00B55D5B">
        <w:rPr>
          <w:rFonts w:ascii="Times New Roman" w:eastAsia="宋体" w:hAnsi="Times New Roman" w:cs="Times New Roman" w:hint="eastAsia"/>
          <w:sz w:val="24"/>
          <w:szCs w:val="24"/>
        </w:rPr>
        <w:t>而</w:t>
      </w:r>
      <w:r w:rsidR="0038128F" w:rsidRPr="00B55D5B">
        <w:rPr>
          <w:rFonts w:ascii="Times New Roman" w:eastAsia="宋体" w:hAnsi="Times New Roman" w:cs="Times New Roman"/>
          <w:sz w:val="24"/>
          <w:szCs w:val="24"/>
        </w:rPr>
        <w:t>其投资业绩则显得</w:t>
      </w:r>
      <w:r w:rsidR="0038128F" w:rsidRPr="00B55D5B">
        <w:rPr>
          <w:rFonts w:ascii="Times New Roman" w:eastAsia="宋体" w:hAnsi="Times New Roman" w:cs="Times New Roman" w:hint="eastAsia"/>
          <w:sz w:val="24"/>
          <w:szCs w:val="24"/>
        </w:rPr>
        <w:t>次要</w:t>
      </w:r>
      <w:r w:rsidR="0038128F" w:rsidRPr="00B55D5B">
        <w:rPr>
          <w:rFonts w:ascii="Times New Roman" w:eastAsia="宋体" w:hAnsi="Times New Roman" w:cs="Times New Roman"/>
          <w:sz w:val="24"/>
          <w:szCs w:val="24"/>
        </w:rPr>
        <w:t>一些。</w:t>
      </w:r>
    </w:p>
    <w:p w:rsidR="00EF172B" w:rsidRPr="00B55D5B" w:rsidRDefault="00EF172B" w:rsidP="00EF172B">
      <w:pPr>
        <w:spacing w:beforeLines="50" w:before="156" w:afterLines="50" w:after="156" w:line="360" w:lineRule="auto"/>
        <w:rPr>
          <w:rFonts w:ascii="Times New Roman" w:eastAsia="宋体" w:hAnsi="Times New Roman" w:cs="Times New Roman"/>
          <w:b/>
          <w:sz w:val="24"/>
          <w:szCs w:val="24"/>
        </w:rPr>
      </w:pPr>
      <w:r w:rsidRPr="00B55D5B">
        <w:rPr>
          <w:rFonts w:ascii="Times New Roman" w:eastAsia="宋体" w:hAnsi="Times New Roman" w:cs="Times New Roman"/>
          <w:b/>
          <w:sz w:val="24"/>
          <w:szCs w:val="24"/>
        </w:rPr>
        <w:t>增长的资产</w:t>
      </w:r>
      <w:r w:rsidR="00FC075B" w:rsidRPr="00B55D5B">
        <w:rPr>
          <w:rFonts w:ascii="Times New Roman" w:eastAsia="宋体" w:hAnsi="Times New Roman" w:cs="Times New Roman" w:hint="eastAsia"/>
          <w:b/>
          <w:sz w:val="24"/>
          <w:szCs w:val="24"/>
        </w:rPr>
        <w:t>规模</w:t>
      </w:r>
    </w:p>
    <w:p w:rsidR="00EF172B" w:rsidRPr="00B55D5B" w:rsidRDefault="003C34C9"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投资者最关心</w:t>
      </w:r>
      <w:r w:rsidRPr="00B55D5B">
        <w:rPr>
          <w:rFonts w:ascii="Times New Roman" w:eastAsia="宋体" w:hAnsi="Times New Roman" w:cs="Times New Roman"/>
          <w:sz w:val="24"/>
          <w:szCs w:val="24"/>
        </w:rPr>
        <w:t>的是投资回报，而非管理人的管理规模是否增长或者管理人的资产分配问题。</w:t>
      </w:r>
      <w:r w:rsidRPr="00B55D5B">
        <w:rPr>
          <w:rFonts w:ascii="Times New Roman" w:eastAsia="宋体" w:hAnsi="Times New Roman" w:cs="Times New Roman" w:hint="eastAsia"/>
          <w:sz w:val="24"/>
          <w:szCs w:val="24"/>
        </w:rPr>
        <w:t>而</w:t>
      </w:r>
      <w:r w:rsidRPr="00B55D5B">
        <w:rPr>
          <w:rFonts w:ascii="Times New Roman" w:eastAsia="宋体" w:hAnsi="Times New Roman" w:cs="Times New Roman"/>
          <w:sz w:val="24"/>
          <w:szCs w:val="24"/>
        </w:rPr>
        <w:t>一个合理的</w:t>
      </w:r>
      <w:r w:rsidRPr="00B55D5B">
        <w:rPr>
          <w:rFonts w:ascii="Times New Roman" w:eastAsia="宋体" w:hAnsi="Times New Roman" w:cs="Times New Roman" w:hint="eastAsia"/>
          <w:sz w:val="24"/>
          <w:szCs w:val="24"/>
        </w:rPr>
        <w:t>有限合伙</w:t>
      </w:r>
      <w:r w:rsidRPr="00B55D5B">
        <w:rPr>
          <w:rFonts w:ascii="Times New Roman" w:eastAsia="宋体" w:hAnsi="Times New Roman" w:cs="Times New Roman"/>
          <w:sz w:val="24"/>
          <w:szCs w:val="24"/>
        </w:rPr>
        <w:t>结构必须达到既能保护合伙人的利益又能保证有限合伙投资目标实现这两个目的。</w:t>
      </w:r>
      <w:r w:rsidRPr="00B55D5B">
        <w:rPr>
          <w:rFonts w:ascii="Times New Roman" w:eastAsia="宋体" w:hAnsi="Times New Roman" w:cs="Times New Roman" w:hint="eastAsia"/>
          <w:sz w:val="24"/>
          <w:szCs w:val="24"/>
        </w:rPr>
        <w:t>投资者</w:t>
      </w:r>
      <w:r w:rsidRPr="00B55D5B">
        <w:rPr>
          <w:rFonts w:ascii="Times New Roman" w:eastAsia="宋体" w:hAnsi="Times New Roman" w:cs="Times New Roman"/>
          <w:sz w:val="24"/>
          <w:szCs w:val="24"/>
        </w:rPr>
        <w:t>在</w:t>
      </w:r>
      <w:r w:rsidRPr="00B55D5B">
        <w:rPr>
          <w:rFonts w:ascii="Times New Roman" w:eastAsia="宋体" w:hAnsi="Times New Roman" w:cs="Times New Roman" w:hint="eastAsia"/>
          <w:sz w:val="24"/>
          <w:szCs w:val="24"/>
        </w:rPr>
        <w:t>投资</w:t>
      </w:r>
      <w:r w:rsidRPr="00B55D5B">
        <w:rPr>
          <w:rFonts w:ascii="Times New Roman" w:eastAsia="宋体" w:hAnsi="Times New Roman" w:cs="Times New Roman"/>
          <w:sz w:val="24"/>
          <w:szCs w:val="24"/>
        </w:rPr>
        <w:t>之后也要</w:t>
      </w:r>
      <w:r w:rsidRPr="00B55D5B">
        <w:rPr>
          <w:rFonts w:ascii="Times New Roman" w:eastAsia="宋体" w:hAnsi="Times New Roman" w:cs="Times New Roman" w:hint="eastAsia"/>
          <w:sz w:val="24"/>
          <w:szCs w:val="24"/>
        </w:rPr>
        <w:t>警惕</w:t>
      </w:r>
      <w:r w:rsidRPr="00B55D5B">
        <w:rPr>
          <w:rFonts w:ascii="Times New Roman" w:eastAsia="宋体" w:hAnsi="Times New Roman" w:cs="Times New Roman"/>
          <w:sz w:val="24"/>
          <w:szCs w:val="24"/>
        </w:rPr>
        <w:t>大额资本流入有限合伙稀释其投资</w:t>
      </w:r>
      <w:r w:rsidRPr="00B55D5B">
        <w:rPr>
          <w:rFonts w:ascii="Times New Roman" w:eastAsia="宋体" w:hAnsi="Times New Roman" w:cs="Times New Roman" w:hint="eastAsia"/>
          <w:sz w:val="24"/>
          <w:szCs w:val="24"/>
        </w:rPr>
        <w:t>收益</w:t>
      </w:r>
      <w:r w:rsidRPr="00B55D5B">
        <w:rPr>
          <w:rFonts w:ascii="Times New Roman" w:eastAsia="宋体" w:hAnsi="Times New Roman" w:cs="Times New Roman"/>
          <w:sz w:val="24"/>
          <w:szCs w:val="24"/>
        </w:rPr>
        <w:t>或者</w:t>
      </w:r>
      <w:r w:rsidRPr="00B55D5B">
        <w:rPr>
          <w:rFonts w:ascii="Times New Roman" w:eastAsia="宋体" w:hAnsi="Times New Roman" w:cs="Times New Roman" w:hint="eastAsia"/>
          <w:sz w:val="24"/>
          <w:szCs w:val="24"/>
        </w:rPr>
        <w:t>会</w:t>
      </w:r>
      <w:r w:rsidRPr="00B55D5B">
        <w:rPr>
          <w:rFonts w:ascii="Times New Roman" w:eastAsia="宋体" w:hAnsi="Times New Roman" w:cs="Times New Roman"/>
          <w:sz w:val="24"/>
          <w:szCs w:val="24"/>
        </w:rPr>
        <w:t>对有限合伙投资目的造成影响的</w:t>
      </w:r>
      <w:r w:rsidRPr="00B55D5B">
        <w:rPr>
          <w:rFonts w:ascii="Times New Roman" w:eastAsia="宋体" w:hAnsi="Times New Roman" w:cs="Times New Roman" w:hint="eastAsia"/>
          <w:sz w:val="24"/>
          <w:szCs w:val="24"/>
        </w:rPr>
        <w:t>合伙</w:t>
      </w:r>
      <w:r w:rsidRPr="00B55D5B">
        <w:rPr>
          <w:rFonts w:ascii="Times New Roman" w:eastAsia="宋体" w:hAnsi="Times New Roman" w:cs="Times New Roman"/>
          <w:sz w:val="24"/>
          <w:szCs w:val="24"/>
        </w:rPr>
        <w:t>结构改变。</w:t>
      </w:r>
    </w:p>
    <w:p w:rsidR="00EF172B" w:rsidRPr="00B55D5B" w:rsidRDefault="004950C9"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大学基金会</w:t>
      </w:r>
      <w:r w:rsidR="00EF172B" w:rsidRPr="00B55D5B">
        <w:rPr>
          <w:rFonts w:ascii="Times New Roman" w:eastAsia="宋体" w:hAnsi="Times New Roman" w:cs="Times New Roman"/>
          <w:sz w:val="24"/>
          <w:szCs w:val="24"/>
        </w:rPr>
        <w:t>也是对冲基金和</w:t>
      </w:r>
      <w:r w:rsidR="00EF172B" w:rsidRPr="00B55D5B">
        <w:rPr>
          <w:rFonts w:ascii="Times New Roman" w:eastAsia="宋体" w:hAnsi="Times New Roman" w:cs="Times New Roman"/>
          <w:sz w:val="24"/>
          <w:szCs w:val="24"/>
        </w:rPr>
        <w:t>FOF</w:t>
      </w:r>
      <w:r w:rsidR="00EF172B" w:rsidRPr="00B55D5B">
        <w:rPr>
          <w:rFonts w:ascii="Times New Roman" w:eastAsia="宋体" w:hAnsi="Times New Roman" w:cs="Times New Roman"/>
          <w:sz w:val="24"/>
          <w:szCs w:val="24"/>
        </w:rPr>
        <w:t>的早期</w:t>
      </w:r>
      <w:r w:rsidR="001F12BC" w:rsidRPr="00B55D5B">
        <w:rPr>
          <w:rFonts w:ascii="Times New Roman" w:eastAsia="宋体" w:hAnsi="Times New Roman" w:cs="Times New Roman" w:hint="eastAsia"/>
          <w:sz w:val="24"/>
          <w:szCs w:val="24"/>
        </w:rPr>
        <w:t>认同者</w:t>
      </w:r>
      <w:r w:rsidR="00EF172B" w:rsidRPr="00B55D5B">
        <w:rPr>
          <w:rFonts w:ascii="Times New Roman" w:eastAsia="宋体" w:hAnsi="Times New Roman" w:cs="Times New Roman"/>
          <w:sz w:val="24"/>
          <w:szCs w:val="24"/>
        </w:rPr>
        <w:t>。</w:t>
      </w:r>
      <w:r w:rsidR="001F12BC" w:rsidRPr="00B55D5B">
        <w:rPr>
          <w:rFonts w:ascii="Times New Roman" w:eastAsia="宋体" w:hAnsi="Times New Roman" w:cs="Times New Roman" w:hint="eastAsia"/>
          <w:sz w:val="24"/>
          <w:szCs w:val="24"/>
        </w:rPr>
        <w:t>哈佛大学基金会</w:t>
      </w:r>
      <w:r w:rsidR="001F12BC" w:rsidRPr="00B55D5B">
        <w:rPr>
          <w:rFonts w:ascii="Times New Roman" w:eastAsia="宋体" w:hAnsi="Times New Roman" w:cs="Times New Roman"/>
          <w:sz w:val="24"/>
          <w:szCs w:val="24"/>
        </w:rPr>
        <w:t>及耶鲁大学基金会是对冲基金行业的两个著名直接投资</w:t>
      </w:r>
      <w:r w:rsidR="001F12BC" w:rsidRPr="00B55D5B">
        <w:rPr>
          <w:rFonts w:ascii="Times New Roman" w:eastAsia="宋体" w:hAnsi="Times New Roman" w:cs="Times New Roman" w:hint="eastAsia"/>
          <w:sz w:val="24"/>
          <w:szCs w:val="24"/>
        </w:rPr>
        <w:t>者</w:t>
      </w:r>
      <w:r w:rsidR="001F12BC" w:rsidRPr="00B55D5B">
        <w:rPr>
          <w:rFonts w:ascii="Times New Roman" w:eastAsia="宋体" w:hAnsi="Times New Roman" w:cs="Times New Roman"/>
          <w:sz w:val="24"/>
          <w:szCs w:val="24"/>
        </w:rPr>
        <w:t>，其投资对冲基金行业的时间均可追溯至多年之前。</w:t>
      </w:r>
      <w:r w:rsidR="001F12BC" w:rsidRPr="00B55D5B">
        <w:rPr>
          <w:rFonts w:ascii="Times New Roman" w:eastAsia="宋体" w:hAnsi="Times New Roman" w:cs="Times New Roman" w:hint="eastAsia"/>
          <w:sz w:val="24"/>
          <w:szCs w:val="24"/>
        </w:rPr>
        <w:t>而</w:t>
      </w:r>
      <w:r w:rsidR="001F12BC" w:rsidRPr="00B55D5B">
        <w:rPr>
          <w:rFonts w:ascii="Times New Roman" w:eastAsia="宋体" w:hAnsi="Times New Roman" w:cs="Times New Roman"/>
          <w:sz w:val="24"/>
          <w:szCs w:val="24"/>
        </w:rPr>
        <w:t>由于没有完善的投资团队而</w:t>
      </w:r>
      <w:r w:rsidR="001F12BC" w:rsidRPr="00B55D5B">
        <w:rPr>
          <w:rFonts w:ascii="Times New Roman" w:eastAsia="宋体" w:hAnsi="Times New Roman" w:cs="Times New Roman" w:hint="eastAsia"/>
          <w:sz w:val="24"/>
          <w:szCs w:val="24"/>
        </w:rPr>
        <w:t>不具备</w:t>
      </w:r>
      <w:r w:rsidR="001F12BC" w:rsidRPr="00B55D5B">
        <w:rPr>
          <w:rFonts w:ascii="Times New Roman" w:eastAsia="宋体" w:hAnsi="Times New Roman" w:cs="Times New Roman"/>
          <w:sz w:val="24"/>
          <w:szCs w:val="24"/>
        </w:rPr>
        <w:t>直接投资对冲</w:t>
      </w:r>
      <w:r w:rsidR="001F12BC" w:rsidRPr="00B55D5B">
        <w:rPr>
          <w:rFonts w:ascii="Times New Roman" w:eastAsia="宋体" w:hAnsi="Times New Roman" w:cs="Times New Roman" w:hint="eastAsia"/>
          <w:sz w:val="24"/>
          <w:szCs w:val="24"/>
        </w:rPr>
        <w:t>基金</w:t>
      </w:r>
      <w:r w:rsidR="001F12BC" w:rsidRPr="00B55D5B">
        <w:rPr>
          <w:rFonts w:ascii="Times New Roman" w:eastAsia="宋体" w:hAnsi="Times New Roman" w:cs="Times New Roman"/>
          <w:sz w:val="24"/>
          <w:szCs w:val="24"/>
        </w:rPr>
        <w:t>的能力</w:t>
      </w:r>
      <w:r w:rsidR="001F12BC" w:rsidRPr="00B55D5B">
        <w:rPr>
          <w:rFonts w:ascii="Times New Roman" w:eastAsia="宋体" w:hAnsi="Times New Roman" w:cs="Times New Roman" w:hint="eastAsia"/>
          <w:sz w:val="24"/>
          <w:szCs w:val="24"/>
        </w:rPr>
        <w:t>的</w:t>
      </w:r>
      <w:r w:rsidR="001F12BC" w:rsidRPr="00B55D5B">
        <w:rPr>
          <w:rFonts w:ascii="Times New Roman" w:eastAsia="宋体" w:hAnsi="Times New Roman" w:cs="Times New Roman"/>
          <w:sz w:val="24"/>
          <w:szCs w:val="24"/>
        </w:rPr>
        <w:t>小型</w:t>
      </w:r>
      <w:r w:rsidR="00B17EF6" w:rsidRPr="00B55D5B">
        <w:rPr>
          <w:rFonts w:ascii="Times New Roman" w:eastAsia="宋体" w:hAnsi="Times New Roman" w:cs="Times New Roman" w:hint="eastAsia"/>
          <w:sz w:val="24"/>
          <w:szCs w:val="24"/>
        </w:rPr>
        <w:t>大学基金会</w:t>
      </w:r>
      <w:r w:rsidR="001F12BC" w:rsidRPr="00B55D5B">
        <w:rPr>
          <w:rFonts w:ascii="Times New Roman" w:eastAsia="宋体" w:hAnsi="Times New Roman" w:cs="Times New Roman"/>
          <w:sz w:val="24"/>
          <w:szCs w:val="24"/>
        </w:rPr>
        <w:t>则会通过投资</w:t>
      </w:r>
      <w:r w:rsidR="001F12BC" w:rsidRPr="00B55D5B">
        <w:rPr>
          <w:rFonts w:ascii="Times New Roman" w:eastAsia="宋体" w:hAnsi="Times New Roman" w:cs="Times New Roman"/>
          <w:sz w:val="24"/>
          <w:szCs w:val="24"/>
        </w:rPr>
        <w:t>FOF</w:t>
      </w:r>
      <w:r w:rsidR="001F12BC" w:rsidRPr="00B55D5B">
        <w:rPr>
          <w:rFonts w:ascii="Times New Roman" w:eastAsia="宋体" w:hAnsi="Times New Roman" w:cs="Times New Roman"/>
          <w:sz w:val="24"/>
          <w:szCs w:val="24"/>
        </w:rPr>
        <w:t>而间接投资于对冲基金</w:t>
      </w:r>
      <w:r w:rsidR="00EF172B" w:rsidRPr="00B55D5B">
        <w:rPr>
          <w:rFonts w:ascii="Times New Roman" w:eastAsia="宋体" w:hAnsi="Times New Roman" w:cs="Times New Roman"/>
          <w:sz w:val="24"/>
          <w:szCs w:val="24"/>
        </w:rPr>
        <w:t>（见图</w:t>
      </w:r>
      <w:r w:rsidR="00EF172B" w:rsidRPr="00B55D5B">
        <w:rPr>
          <w:rFonts w:ascii="Times New Roman" w:eastAsia="宋体" w:hAnsi="Times New Roman" w:cs="Times New Roman"/>
          <w:sz w:val="24"/>
          <w:szCs w:val="24"/>
        </w:rPr>
        <w:t>6.2</w:t>
      </w:r>
      <w:r w:rsidR="00EF172B" w:rsidRPr="00B55D5B">
        <w:rPr>
          <w:rFonts w:ascii="Times New Roman" w:eastAsia="宋体" w:hAnsi="Times New Roman" w:cs="Times New Roman"/>
          <w:sz w:val="24"/>
          <w:szCs w:val="24"/>
        </w:rPr>
        <w:t>）。</w:t>
      </w:r>
    </w:p>
    <w:p w:rsidR="00EF172B" w:rsidRPr="00B55D5B" w:rsidRDefault="00D546C6"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hint="eastAsia"/>
          <w:sz w:val="24"/>
          <w:szCs w:val="24"/>
        </w:rPr>
        <w:t>研究过程中</w:t>
      </w:r>
      <w:r w:rsidRPr="00B55D5B">
        <w:rPr>
          <w:rFonts w:ascii="Times New Roman" w:eastAsia="宋体" w:hAnsi="Times New Roman" w:cs="Times New Roman"/>
          <w:sz w:val="24"/>
          <w:szCs w:val="24"/>
        </w:rPr>
        <w:t>我们发现了一个很有趣的现象</w:t>
      </w:r>
      <w:r w:rsidRPr="00B55D5B">
        <w:rPr>
          <w:rFonts w:ascii="Times New Roman" w:eastAsia="宋体" w:hAnsi="Times New Roman" w:cs="Times New Roman" w:hint="eastAsia"/>
          <w:sz w:val="24"/>
          <w:szCs w:val="24"/>
        </w:rPr>
        <w:t>，</w:t>
      </w:r>
      <w:r w:rsidRPr="00B55D5B">
        <w:rPr>
          <w:rFonts w:ascii="Times New Roman" w:eastAsia="宋体" w:hAnsi="Times New Roman" w:cs="Times New Roman"/>
          <w:sz w:val="24"/>
          <w:szCs w:val="24"/>
        </w:rPr>
        <w:t>过去数年</w:t>
      </w:r>
      <w:proofErr w:type="gramStart"/>
      <w:r w:rsidRPr="00B55D5B">
        <w:rPr>
          <w:rFonts w:ascii="Times New Roman" w:eastAsia="宋体" w:hAnsi="Times New Roman" w:cs="Times New Roman"/>
          <w:sz w:val="24"/>
          <w:szCs w:val="24"/>
        </w:rPr>
        <w:t>间</w:t>
      </w:r>
      <w:r w:rsidRPr="00B55D5B">
        <w:rPr>
          <w:rFonts w:ascii="Times New Roman" w:eastAsia="宋体" w:hAnsi="Times New Roman" w:cs="Times New Roman" w:hint="eastAsia"/>
          <w:sz w:val="24"/>
          <w:szCs w:val="24"/>
        </w:rPr>
        <w:t>风险</w:t>
      </w:r>
      <w:proofErr w:type="gramEnd"/>
      <w:r w:rsidRPr="00B55D5B">
        <w:rPr>
          <w:rFonts w:ascii="Times New Roman" w:eastAsia="宋体" w:hAnsi="Times New Roman" w:cs="Times New Roman"/>
          <w:sz w:val="24"/>
          <w:szCs w:val="24"/>
        </w:rPr>
        <w:t>承受能力较强的大型机构投资者加大了另类投资</w:t>
      </w:r>
      <w:r w:rsidRPr="00B55D5B">
        <w:rPr>
          <w:rFonts w:ascii="Times New Roman" w:eastAsia="宋体" w:hAnsi="Times New Roman" w:cs="Times New Roman" w:hint="eastAsia"/>
          <w:sz w:val="24"/>
          <w:szCs w:val="24"/>
        </w:rPr>
        <w:t>（诸如</w:t>
      </w:r>
      <w:r w:rsidRPr="00B55D5B">
        <w:rPr>
          <w:rFonts w:ascii="Times New Roman" w:eastAsia="宋体" w:hAnsi="Times New Roman" w:cs="Times New Roman"/>
          <w:sz w:val="24"/>
          <w:szCs w:val="24"/>
        </w:rPr>
        <w:t>对冲基金、</w:t>
      </w:r>
      <w:r w:rsidRPr="00B55D5B">
        <w:rPr>
          <w:rFonts w:ascii="Times New Roman" w:eastAsia="宋体" w:hAnsi="Times New Roman" w:cs="Times New Roman"/>
          <w:sz w:val="24"/>
          <w:szCs w:val="24"/>
        </w:rPr>
        <w:t>FOF</w:t>
      </w:r>
      <w:r w:rsidRPr="00B55D5B">
        <w:rPr>
          <w:rFonts w:ascii="Times New Roman" w:eastAsia="宋体" w:hAnsi="Times New Roman" w:cs="Times New Roman" w:hint="eastAsia"/>
          <w:sz w:val="24"/>
          <w:szCs w:val="24"/>
        </w:rPr>
        <w:t>）</w:t>
      </w:r>
      <w:r w:rsidRPr="00B55D5B">
        <w:rPr>
          <w:rFonts w:ascii="Times New Roman" w:eastAsia="宋体" w:hAnsi="Times New Roman" w:cs="Times New Roman"/>
          <w:sz w:val="24"/>
          <w:szCs w:val="24"/>
        </w:rPr>
        <w:t>的比例</w:t>
      </w:r>
      <w:r w:rsidRPr="00B55D5B">
        <w:rPr>
          <w:rFonts w:ascii="Times New Roman" w:eastAsia="宋体" w:hAnsi="Times New Roman" w:cs="Times New Roman" w:hint="eastAsia"/>
          <w:sz w:val="24"/>
          <w:szCs w:val="24"/>
        </w:rPr>
        <w:t>，</w:t>
      </w:r>
      <w:r w:rsidRPr="00B55D5B">
        <w:rPr>
          <w:rFonts w:ascii="Times New Roman" w:eastAsia="宋体" w:hAnsi="Times New Roman" w:cs="Times New Roman"/>
          <w:sz w:val="24"/>
          <w:szCs w:val="24"/>
        </w:rPr>
        <w:t>而</w:t>
      </w:r>
      <w:r w:rsidRPr="00B55D5B">
        <w:rPr>
          <w:rFonts w:ascii="Times New Roman" w:eastAsia="宋体" w:hAnsi="Times New Roman" w:cs="Times New Roman" w:hint="eastAsia"/>
          <w:sz w:val="24"/>
          <w:szCs w:val="24"/>
        </w:rPr>
        <w:t>小型</w:t>
      </w:r>
      <w:r w:rsidRPr="00B55D5B">
        <w:rPr>
          <w:rFonts w:ascii="Times New Roman" w:eastAsia="宋体" w:hAnsi="Times New Roman" w:cs="Times New Roman"/>
          <w:sz w:val="24"/>
          <w:szCs w:val="24"/>
        </w:rPr>
        <w:t>机构投资者</w:t>
      </w:r>
      <w:r w:rsidRPr="00B55D5B">
        <w:rPr>
          <w:rFonts w:ascii="Times New Roman" w:eastAsia="宋体" w:hAnsi="Times New Roman" w:cs="Times New Roman" w:hint="eastAsia"/>
          <w:sz w:val="24"/>
          <w:szCs w:val="24"/>
        </w:rPr>
        <w:t>在</w:t>
      </w:r>
      <w:r w:rsidRPr="00B55D5B">
        <w:rPr>
          <w:rFonts w:ascii="Times New Roman" w:eastAsia="宋体" w:hAnsi="Times New Roman" w:cs="Times New Roman"/>
          <w:sz w:val="24"/>
          <w:szCs w:val="24"/>
        </w:rPr>
        <w:t>“</w:t>
      </w:r>
      <w:r w:rsidRPr="00B55D5B">
        <w:rPr>
          <w:rFonts w:ascii="Times New Roman" w:eastAsia="宋体" w:hAnsi="Times New Roman" w:cs="Times New Roman" w:hint="eastAsia"/>
          <w:sz w:val="24"/>
          <w:szCs w:val="24"/>
        </w:rPr>
        <w:t>控制</w:t>
      </w:r>
      <w:r w:rsidRPr="00B55D5B">
        <w:rPr>
          <w:rFonts w:ascii="Times New Roman" w:eastAsia="宋体" w:hAnsi="Times New Roman" w:cs="Times New Roman"/>
          <w:sz w:val="24"/>
          <w:szCs w:val="24"/>
        </w:rPr>
        <w:t>组合下行风险、</w:t>
      </w:r>
      <w:r w:rsidRPr="00B55D5B">
        <w:rPr>
          <w:rFonts w:ascii="Times New Roman" w:eastAsia="宋体" w:hAnsi="Times New Roman" w:cs="Times New Roman" w:hint="eastAsia"/>
          <w:sz w:val="24"/>
          <w:szCs w:val="24"/>
        </w:rPr>
        <w:t>提升</w:t>
      </w:r>
      <w:r w:rsidRPr="00B55D5B">
        <w:rPr>
          <w:rFonts w:ascii="Times New Roman" w:eastAsia="宋体" w:hAnsi="Times New Roman" w:cs="Times New Roman"/>
          <w:sz w:val="24"/>
          <w:szCs w:val="24"/>
        </w:rPr>
        <w:t>组合分散程度</w:t>
      </w:r>
      <w:r w:rsidRPr="00B55D5B">
        <w:rPr>
          <w:rFonts w:ascii="Times New Roman" w:eastAsia="宋体" w:hAnsi="Times New Roman" w:cs="Times New Roman"/>
          <w:sz w:val="24"/>
          <w:szCs w:val="24"/>
        </w:rPr>
        <w:t>”</w:t>
      </w:r>
      <w:r w:rsidRPr="00B55D5B">
        <w:rPr>
          <w:rFonts w:ascii="Times New Roman" w:eastAsia="宋体" w:hAnsi="Times New Roman" w:cs="Times New Roman" w:hint="eastAsia"/>
          <w:sz w:val="24"/>
          <w:szCs w:val="24"/>
        </w:rPr>
        <w:t>等</w:t>
      </w:r>
      <w:r w:rsidRPr="00B55D5B">
        <w:rPr>
          <w:rFonts w:ascii="Times New Roman" w:eastAsia="宋体" w:hAnsi="Times New Roman" w:cs="Times New Roman"/>
          <w:sz w:val="24"/>
          <w:szCs w:val="24"/>
        </w:rPr>
        <w:t>旗号下也加大了对于另类投资的配置。</w:t>
      </w:r>
    </w:p>
    <w:p w:rsidR="00EF172B" w:rsidRPr="00B55D5B" w:rsidRDefault="00EF172B" w:rsidP="00EF172B">
      <w:pPr>
        <w:spacing w:beforeLines="50" w:before="156" w:afterLines="50" w:after="156" w:line="360" w:lineRule="auto"/>
        <w:rPr>
          <w:rFonts w:ascii="Times New Roman" w:eastAsia="宋体" w:hAnsi="Times New Roman" w:cs="Times New Roman"/>
          <w:b/>
          <w:sz w:val="24"/>
          <w:szCs w:val="24"/>
        </w:rPr>
      </w:pPr>
      <w:r w:rsidRPr="00B55D5B">
        <w:rPr>
          <w:rFonts w:ascii="Times New Roman" w:eastAsia="宋体" w:hAnsi="Times New Roman" w:cs="Times New Roman"/>
          <w:b/>
          <w:sz w:val="24"/>
          <w:szCs w:val="24"/>
        </w:rPr>
        <w:lastRenderedPageBreak/>
        <w:t>对冲基金如何运作</w:t>
      </w:r>
    </w:p>
    <w:p w:rsidR="00EF172B" w:rsidRPr="00B55D5B" w:rsidRDefault="00EF172B" w:rsidP="00EF172B">
      <w:pPr>
        <w:spacing w:beforeLines="50" w:before="156" w:afterLines="50" w:after="156" w:line="360" w:lineRule="auto"/>
        <w:ind w:firstLine="540"/>
        <w:rPr>
          <w:rFonts w:ascii="Times New Roman" w:eastAsia="宋体" w:hAnsi="Times New Roman" w:cs="Times New Roman"/>
          <w:sz w:val="24"/>
          <w:szCs w:val="24"/>
        </w:rPr>
      </w:pPr>
      <w:r w:rsidRPr="00B55D5B">
        <w:rPr>
          <w:rFonts w:ascii="Times New Roman" w:eastAsia="宋体" w:hAnsi="Times New Roman" w:cs="Times New Roman"/>
          <w:sz w:val="24"/>
          <w:szCs w:val="24"/>
        </w:rPr>
        <w:t>“FOF</w:t>
      </w:r>
      <w:r w:rsidRPr="00B55D5B">
        <w:rPr>
          <w:rFonts w:ascii="Times New Roman" w:eastAsia="宋体" w:hAnsi="Times New Roman" w:cs="Times New Roman"/>
          <w:sz w:val="24"/>
          <w:szCs w:val="24"/>
        </w:rPr>
        <w:t>投资是理解对冲基金如何运作的第一步，</w:t>
      </w:r>
      <w:r w:rsidRPr="00B55D5B">
        <w:rPr>
          <w:rFonts w:ascii="Times New Roman" w:eastAsia="宋体" w:hAnsi="Times New Roman" w:cs="Times New Roman"/>
          <w:sz w:val="24"/>
          <w:szCs w:val="24"/>
        </w:rPr>
        <w:t>”</w:t>
      </w:r>
      <w:r w:rsidR="00FC075B" w:rsidRPr="00B55D5B">
        <w:rPr>
          <w:rFonts w:ascii="Times New Roman" w:eastAsia="宋体" w:hAnsi="Times New Roman" w:cs="Times New Roman"/>
          <w:sz w:val="24"/>
          <w:szCs w:val="24"/>
        </w:rPr>
        <w:t xml:space="preserve"> </w:t>
      </w:r>
      <w:proofErr w:type="spellStart"/>
      <w:r w:rsidRPr="00B55D5B">
        <w:rPr>
          <w:rFonts w:ascii="Times New Roman" w:eastAsia="宋体" w:hAnsi="Times New Roman" w:cs="Times New Roman"/>
          <w:sz w:val="24"/>
          <w:szCs w:val="24"/>
        </w:rPr>
        <w:t>Perella</w:t>
      </w:r>
      <w:proofErr w:type="spellEnd"/>
      <w:r w:rsidRPr="00B55D5B">
        <w:rPr>
          <w:rFonts w:ascii="Times New Roman" w:eastAsia="宋体" w:hAnsi="Times New Roman" w:cs="Times New Roman"/>
          <w:sz w:val="24"/>
          <w:szCs w:val="24"/>
        </w:rPr>
        <w:t xml:space="preserve"> Weinberg Partners</w:t>
      </w:r>
      <w:r w:rsidRPr="00B55D5B">
        <w:rPr>
          <w:rFonts w:ascii="Times New Roman" w:eastAsia="宋体" w:hAnsi="Times New Roman" w:cs="Times New Roman"/>
          <w:sz w:val="24"/>
          <w:szCs w:val="24"/>
        </w:rPr>
        <w:t>的</w:t>
      </w:r>
      <w:r w:rsidR="008A724F" w:rsidRPr="00B55D5B">
        <w:rPr>
          <w:rFonts w:ascii="Times New Roman" w:eastAsia="宋体" w:hAnsi="Times New Roman" w:cs="Times New Roman"/>
          <w:sz w:val="24"/>
          <w:szCs w:val="24"/>
        </w:rPr>
        <w:t xml:space="preserve">Bob </w:t>
      </w:r>
      <w:proofErr w:type="spellStart"/>
      <w:r w:rsidR="008A724F" w:rsidRPr="00B55D5B">
        <w:rPr>
          <w:rFonts w:ascii="Times New Roman" w:eastAsia="宋体" w:hAnsi="Times New Roman" w:cs="Times New Roman"/>
          <w:sz w:val="24"/>
          <w:szCs w:val="24"/>
        </w:rPr>
        <w:t>Boldt</w:t>
      </w:r>
      <w:proofErr w:type="spellEnd"/>
      <w:r w:rsidRPr="00B55D5B">
        <w:rPr>
          <w:rFonts w:ascii="Times New Roman" w:eastAsia="宋体" w:hAnsi="Times New Roman" w:cs="Times New Roman"/>
          <w:sz w:val="24"/>
          <w:szCs w:val="24"/>
        </w:rPr>
        <w:t>如是说，该企业是一家位于纽约的金融服务企业。大多数投资者，包括基金会、捐赠基金、养老基金，都在以一种创新的方式</w:t>
      </w:r>
      <w:r w:rsidR="00FC075B" w:rsidRPr="00B55D5B">
        <w:rPr>
          <w:rFonts w:ascii="Times New Roman" w:eastAsia="宋体" w:hAnsi="Times New Roman" w:cs="Times New Roman" w:hint="eastAsia"/>
          <w:sz w:val="24"/>
          <w:szCs w:val="24"/>
        </w:rPr>
        <w:t>获得超额收益</w:t>
      </w:r>
      <w:r w:rsidRPr="00B55D5B">
        <w:rPr>
          <w:rFonts w:ascii="Times New Roman" w:eastAsia="宋体" w:hAnsi="Times New Roman" w:cs="Times New Roman"/>
          <w:sz w:val="24"/>
          <w:szCs w:val="24"/>
        </w:rPr>
        <w:t>。</w:t>
      </w:r>
      <w:r w:rsidRPr="00B55D5B">
        <w:rPr>
          <w:rFonts w:ascii="Times New Roman" w:eastAsia="宋体" w:hAnsi="Times New Roman" w:cs="Times New Roman"/>
          <w:sz w:val="24"/>
          <w:szCs w:val="24"/>
        </w:rPr>
        <w:t>FOF</w:t>
      </w:r>
      <w:r w:rsidR="00FC075B" w:rsidRPr="00B55D5B">
        <w:rPr>
          <w:rFonts w:ascii="Times New Roman" w:eastAsia="宋体" w:hAnsi="Times New Roman" w:cs="Times New Roman" w:hint="eastAsia"/>
          <w:sz w:val="24"/>
          <w:szCs w:val="24"/>
        </w:rPr>
        <w:t>基金</w:t>
      </w:r>
      <w:r w:rsidRPr="00B55D5B">
        <w:rPr>
          <w:rFonts w:ascii="Times New Roman" w:eastAsia="宋体" w:hAnsi="Times New Roman" w:cs="Times New Roman"/>
          <w:sz w:val="24"/>
          <w:szCs w:val="24"/>
        </w:rPr>
        <w:t>经理的职责就是从</w:t>
      </w:r>
      <w:r w:rsidRPr="00B55D5B">
        <w:rPr>
          <w:rFonts w:ascii="Times New Roman" w:eastAsia="宋体" w:hAnsi="Times New Roman" w:cs="Times New Roman"/>
          <w:sz w:val="24"/>
          <w:szCs w:val="24"/>
        </w:rPr>
        <w:t>beta</w:t>
      </w:r>
      <w:r w:rsidRPr="00B55D5B">
        <w:rPr>
          <w:rFonts w:ascii="Times New Roman" w:eastAsia="宋体" w:hAnsi="Times New Roman" w:cs="Times New Roman"/>
          <w:sz w:val="24"/>
          <w:szCs w:val="24"/>
        </w:rPr>
        <w:t>中分离出</w:t>
      </w:r>
      <w:r w:rsidRPr="00B55D5B">
        <w:rPr>
          <w:rFonts w:ascii="Times New Roman" w:eastAsia="宋体" w:hAnsi="Times New Roman" w:cs="Times New Roman"/>
          <w:sz w:val="24"/>
          <w:szCs w:val="24"/>
        </w:rPr>
        <w:t>alpha</w:t>
      </w:r>
      <w:r w:rsidR="00FC075B" w:rsidRPr="00B55D5B">
        <w:rPr>
          <w:rFonts w:ascii="Times New Roman" w:eastAsia="宋体" w:hAnsi="Times New Roman" w:cs="Times New Roman" w:hint="eastAsia"/>
          <w:sz w:val="24"/>
          <w:szCs w:val="24"/>
        </w:rPr>
        <w:t>，或者</w:t>
      </w:r>
      <w:r w:rsidRPr="00B55D5B">
        <w:rPr>
          <w:rFonts w:ascii="Times New Roman" w:eastAsia="宋体" w:hAnsi="Times New Roman" w:cs="Times New Roman"/>
          <w:sz w:val="24"/>
          <w:szCs w:val="24"/>
        </w:rPr>
        <w:t>以低价买入</w:t>
      </w:r>
      <w:r w:rsidR="008A724F" w:rsidRPr="00B55D5B">
        <w:rPr>
          <w:rFonts w:ascii="Times New Roman" w:eastAsia="宋体" w:hAnsi="Times New Roman" w:cs="Times New Roman"/>
          <w:sz w:val="24"/>
          <w:szCs w:val="24"/>
        </w:rPr>
        <w:t>beta</w:t>
      </w:r>
      <w:r w:rsidRPr="00B55D5B">
        <w:rPr>
          <w:rFonts w:ascii="Times New Roman" w:eastAsia="宋体" w:hAnsi="Times New Roman" w:cs="Times New Roman"/>
          <w:sz w:val="24"/>
          <w:szCs w:val="24"/>
        </w:rPr>
        <w:t>，并用不同的策略</w:t>
      </w:r>
      <w:r w:rsidRPr="00B55D5B">
        <w:rPr>
          <w:rFonts w:ascii="Times New Roman" w:eastAsia="宋体" w:hAnsi="Times New Roman" w:cs="Times New Roman" w:hint="eastAsia"/>
          <w:sz w:val="24"/>
          <w:szCs w:val="24"/>
        </w:rPr>
        <w:t>实现</w:t>
      </w:r>
      <w:r w:rsidRPr="00B55D5B">
        <w:rPr>
          <w:rFonts w:ascii="Times New Roman" w:eastAsia="宋体" w:hAnsi="Times New Roman" w:cs="Times New Roman"/>
          <w:sz w:val="24"/>
          <w:szCs w:val="24"/>
        </w:rPr>
        <w:t>alpha</w:t>
      </w:r>
      <w:r w:rsidRPr="00B55D5B">
        <w:rPr>
          <w:rFonts w:ascii="Times New Roman" w:eastAsia="宋体" w:hAnsi="Times New Roman" w:cs="Times New Roman"/>
          <w:sz w:val="24"/>
          <w:szCs w:val="24"/>
        </w:rPr>
        <w:t>。大型</w:t>
      </w:r>
      <w:r w:rsidR="00AF4017" w:rsidRPr="00B55D5B">
        <w:rPr>
          <w:rFonts w:ascii="Times New Roman" w:eastAsia="宋体" w:hAnsi="Times New Roman" w:cs="Times New Roman" w:hint="eastAsia"/>
          <w:sz w:val="24"/>
          <w:szCs w:val="24"/>
        </w:rPr>
        <w:t>州立</w:t>
      </w:r>
      <w:r w:rsidRPr="00B55D5B">
        <w:rPr>
          <w:rFonts w:ascii="Times New Roman" w:eastAsia="宋体" w:hAnsi="Times New Roman" w:cs="Times New Roman"/>
          <w:sz w:val="24"/>
          <w:szCs w:val="24"/>
        </w:rPr>
        <w:t>养老基金</w:t>
      </w:r>
      <w:r w:rsidR="00AF4017" w:rsidRPr="00B55D5B">
        <w:rPr>
          <w:rFonts w:ascii="Times New Roman" w:eastAsia="宋体" w:hAnsi="Times New Roman" w:cs="Times New Roman" w:hint="eastAsia"/>
          <w:sz w:val="24"/>
          <w:szCs w:val="24"/>
        </w:rPr>
        <w:t>出于安全</w:t>
      </w:r>
      <w:r w:rsidR="00AF4017" w:rsidRPr="00B55D5B">
        <w:rPr>
          <w:rFonts w:ascii="Times New Roman" w:eastAsia="宋体" w:hAnsi="Times New Roman" w:cs="Times New Roman"/>
          <w:sz w:val="24"/>
          <w:szCs w:val="24"/>
        </w:rPr>
        <w:t>考虑</w:t>
      </w:r>
      <w:r w:rsidRPr="00B55D5B">
        <w:rPr>
          <w:rFonts w:ascii="Times New Roman" w:eastAsia="宋体" w:hAnsi="Times New Roman" w:cs="Times New Roman"/>
          <w:sz w:val="24"/>
          <w:szCs w:val="24"/>
        </w:rPr>
        <w:t>只将</w:t>
      </w:r>
      <w:r w:rsidRPr="00B55D5B">
        <w:rPr>
          <w:rFonts w:ascii="Times New Roman" w:eastAsia="宋体" w:hAnsi="Times New Roman" w:cs="Times New Roman"/>
          <w:sz w:val="24"/>
          <w:szCs w:val="24"/>
        </w:rPr>
        <w:t>3%</w:t>
      </w:r>
      <w:r w:rsidRPr="00B55D5B">
        <w:rPr>
          <w:rFonts w:ascii="Times New Roman" w:eastAsia="宋体" w:hAnsi="Times New Roman" w:cs="Times New Roman"/>
          <w:sz w:val="24"/>
          <w:szCs w:val="24"/>
        </w:rPr>
        <w:t>到</w:t>
      </w:r>
      <w:r w:rsidRPr="00B55D5B">
        <w:rPr>
          <w:rFonts w:ascii="Times New Roman" w:eastAsia="宋体" w:hAnsi="Times New Roman" w:cs="Times New Roman"/>
          <w:sz w:val="24"/>
          <w:szCs w:val="24"/>
        </w:rPr>
        <w:t>5%</w:t>
      </w:r>
      <w:r w:rsidRPr="00B55D5B">
        <w:rPr>
          <w:rFonts w:ascii="Times New Roman" w:eastAsia="宋体" w:hAnsi="Times New Roman" w:cs="Times New Roman"/>
          <w:sz w:val="24"/>
          <w:szCs w:val="24"/>
        </w:rPr>
        <w:t>的计划资产涉足对冲基金，而基金会和捐赠基金则在寻求高收益方面表现的更为激进。</w:t>
      </w:r>
      <w:r w:rsidR="00AF4017" w:rsidRPr="00B55D5B">
        <w:rPr>
          <w:rFonts w:ascii="Times New Roman" w:eastAsia="宋体" w:hAnsi="Times New Roman" w:cs="Times New Roman" w:hint="eastAsia"/>
          <w:sz w:val="24"/>
          <w:szCs w:val="24"/>
        </w:rPr>
        <w:t>将投资</w:t>
      </w:r>
      <w:r w:rsidR="00AF4017" w:rsidRPr="00B55D5B">
        <w:rPr>
          <w:rFonts w:ascii="Times New Roman" w:eastAsia="宋体" w:hAnsi="Times New Roman" w:cs="Times New Roman"/>
          <w:sz w:val="24"/>
          <w:szCs w:val="24"/>
        </w:rPr>
        <w:t>FOF</w:t>
      </w:r>
      <w:r w:rsidR="00AF4017" w:rsidRPr="00B55D5B">
        <w:rPr>
          <w:rFonts w:ascii="Times New Roman" w:eastAsia="宋体" w:hAnsi="Times New Roman" w:cs="Times New Roman"/>
          <w:sz w:val="24"/>
          <w:szCs w:val="24"/>
        </w:rPr>
        <w:t>作为认识对冲基金的第一</w:t>
      </w:r>
      <w:r w:rsidR="00AF4017" w:rsidRPr="00B55D5B">
        <w:rPr>
          <w:rFonts w:ascii="Times New Roman" w:eastAsia="宋体" w:hAnsi="Times New Roman" w:cs="Times New Roman" w:hint="eastAsia"/>
          <w:sz w:val="24"/>
          <w:szCs w:val="24"/>
        </w:rPr>
        <w:t>步</w:t>
      </w:r>
      <w:r w:rsidR="00AF4017" w:rsidRPr="00B55D5B">
        <w:rPr>
          <w:rFonts w:ascii="Times New Roman" w:eastAsia="宋体" w:hAnsi="Times New Roman" w:cs="Times New Roman"/>
          <w:sz w:val="24"/>
          <w:szCs w:val="24"/>
        </w:rPr>
        <w:t>是一个不错的选择，不过随着另类投资领域的不断发展</w:t>
      </w:r>
      <w:r w:rsidR="00ED3F2E" w:rsidRPr="00B55D5B">
        <w:rPr>
          <w:rFonts w:ascii="Times New Roman" w:eastAsia="宋体" w:hAnsi="Times New Roman" w:cs="Times New Roman" w:hint="eastAsia"/>
          <w:sz w:val="24"/>
          <w:szCs w:val="24"/>
        </w:rPr>
        <w:t>，</w:t>
      </w:r>
      <w:r w:rsidR="00AF4017" w:rsidRPr="00B55D5B">
        <w:rPr>
          <w:rFonts w:ascii="Times New Roman" w:eastAsia="宋体" w:hAnsi="Times New Roman" w:cs="Times New Roman"/>
          <w:sz w:val="24"/>
          <w:szCs w:val="24"/>
        </w:rPr>
        <w:t>FOF</w:t>
      </w:r>
      <w:r w:rsidR="00AF4017" w:rsidRPr="00B55D5B">
        <w:rPr>
          <w:rFonts w:ascii="Times New Roman" w:eastAsia="宋体" w:hAnsi="Times New Roman" w:cs="Times New Roman"/>
          <w:sz w:val="24"/>
          <w:szCs w:val="24"/>
        </w:rPr>
        <w:t>的投资者</w:t>
      </w:r>
      <w:r w:rsidR="00AF4017" w:rsidRPr="00B55D5B">
        <w:rPr>
          <w:rFonts w:ascii="Times New Roman" w:eastAsia="宋体" w:hAnsi="Times New Roman" w:cs="Times New Roman" w:hint="eastAsia"/>
          <w:sz w:val="24"/>
          <w:szCs w:val="24"/>
        </w:rPr>
        <w:t>会</w:t>
      </w:r>
      <w:r w:rsidR="00AF4017" w:rsidRPr="00B55D5B">
        <w:rPr>
          <w:rFonts w:ascii="Times New Roman" w:eastAsia="宋体" w:hAnsi="Times New Roman" w:cs="Times New Roman"/>
          <w:sz w:val="24"/>
          <w:szCs w:val="24"/>
        </w:rPr>
        <w:t>逐渐转变为对冲基金的直接投资者。</w:t>
      </w:r>
    </w:p>
    <w:p w:rsidR="00EF172B" w:rsidRPr="00B55D5B" w:rsidRDefault="00AF4017" w:rsidP="00EF172B">
      <w:pPr>
        <w:spacing w:beforeLines="50" w:before="156" w:afterLines="50" w:after="156" w:line="360" w:lineRule="auto"/>
        <w:ind w:firstLineChars="200" w:firstLine="480"/>
        <w:rPr>
          <w:rFonts w:ascii="Times New Roman" w:eastAsia="宋体" w:hAnsi="Times New Roman" w:cs="Times New Roman"/>
          <w:sz w:val="24"/>
          <w:szCs w:val="24"/>
        </w:rPr>
      </w:pPr>
      <w:proofErr w:type="gramStart"/>
      <w:r w:rsidRPr="00B55D5B">
        <w:rPr>
          <w:rFonts w:ascii="Times New Roman" w:eastAsia="宋体" w:hAnsi="Times New Roman" w:cs="Times New Roman" w:hint="eastAsia"/>
          <w:sz w:val="24"/>
          <w:szCs w:val="24"/>
        </w:rPr>
        <w:t>然而个人</w:t>
      </w:r>
      <w:proofErr w:type="gramEnd"/>
      <w:r w:rsidRPr="00B55D5B">
        <w:rPr>
          <w:rFonts w:ascii="Times New Roman" w:eastAsia="宋体" w:hAnsi="Times New Roman" w:cs="Times New Roman" w:hint="eastAsia"/>
          <w:sz w:val="24"/>
          <w:szCs w:val="24"/>
        </w:rPr>
        <w:t>退休</w:t>
      </w:r>
      <w:r w:rsidRPr="00B55D5B">
        <w:rPr>
          <w:rFonts w:ascii="Times New Roman" w:eastAsia="宋体" w:hAnsi="Times New Roman" w:cs="Times New Roman"/>
          <w:sz w:val="24"/>
          <w:szCs w:val="24"/>
        </w:rPr>
        <w:t>计划基金</w:t>
      </w:r>
      <w:r w:rsidRPr="00B55D5B">
        <w:rPr>
          <w:rFonts w:ascii="Times New Roman" w:eastAsia="宋体" w:hAnsi="Times New Roman" w:cs="Times New Roman" w:hint="eastAsia"/>
          <w:sz w:val="24"/>
          <w:szCs w:val="24"/>
        </w:rPr>
        <w:t>才是</w:t>
      </w:r>
      <w:r w:rsidRPr="00B55D5B">
        <w:rPr>
          <w:rFonts w:ascii="Times New Roman" w:eastAsia="宋体" w:hAnsi="Times New Roman" w:cs="Times New Roman"/>
          <w:sz w:val="24"/>
          <w:szCs w:val="24"/>
        </w:rPr>
        <w:t>这个市场上伺机而动的</w:t>
      </w:r>
      <w:r w:rsidRPr="00B55D5B">
        <w:rPr>
          <w:rFonts w:ascii="Times New Roman" w:eastAsia="宋体" w:hAnsi="Times New Roman" w:cs="Times New Roman"/>
          <w:sz w:val="24"/>
          <w:szCs w:val="24"/>
        </w:rPr>
        <w:t>“</w:t>
      </w:r>
      <w:r w:rsidRPr="00B55D5B">
        <w:rPr>
          <w:rFonts w:ascii="Times New Roman" w:eastAsia="宋体" w:hAnsi="Times New Roman" w:cs="Times New Roman" w:hint="eastAsia"/>
          <w:sz w:val="24"/>
          <w:szCs w:val="24"/>
        </w:rPr>
        <w:t>庞然大物</w:t>
      </w:r>
      <w:r w:rsidRPr="00B55D5B">
        <w:rPr>
          <w:rFonts w:ascii="Times New Roman" w:eastAsia="宋体" w:hAnsi="Times New Roman" w:cs="Times New Roman"/>
          <w:sz w:val="24"/>
          <w:szCs w:val="24"/>
        </w:rPr>
        <w:t>”</w:t>
      </w:r>
      <w:r w:rsidR="00EF172B" w:rsidRPr="00B55D5B">
        <w:rPr>
          <w:rFonts w:ascii="Times New Roman" w:eastAsia="宋体" w:hAnsi="Times New Roman" w:cs="Times New Roman"/>
          <w:sz w:val="24"/>
          <w:szCs w:val="24"/>
        </w:rPr>
        <w:t>。随着婴儿潮</w:t>
      </w:r>
      <w:r w:rsidRPr="00B55D5B">
        <w:rPr>
          <w:rFonts w:ascii="Times New Roman" w:eastAsia="宋体" w:hAnsi="Times New Roman" w:cs="Times New Roman" w:hint="eastAsia"/>
          <w:sz w:val="24"/>
          <w:szCs w:val="24"/>
        </w:rPr>
        <w:t>一代的</w:t>
      </w:r>
      <w:r w:rsidRPr="00B55D5B">
        <w:rPr>
          <w:rFonts w:ascii="Times New Roman" w:eastAsia="宋体" w:hAnsi="Times New Roman" w:cs="Times New Roman"/>
          <w:sz w:val="24"/>
          <w:szCs w:val="24"/>
        </w:rPr>
        <w:t>人进入黄金年龄段</w:t>
      </w:r>
      <w:r w:rsidR="00EF172B" w:rsidRPr="00B55D5B">
        <w:rPr>
          <w:rFonts w:ascii="Times New Roman" w:eastAsia="宋体" w:hAnsi="Times New Roman" w:cs="Times New Roman"/>
          <w:sz w:val="24"/>
          <w:szCs w:val="24"/>
        </w:rPr>
        <w:t>，</w:t>
      </w:r>
      <w:r w:rsidR="00597151" w:rsidRPr="00B55D5B">
        <w:rPr>
          <w:rFonts w:ascii="Times New Roman" w:eastAsia="宋体" w:hAnsi="Times New Roman" w:cs="Times New Roman" w:hint="eastAsia"/>
          <w:sz w:val="24"/>
          <w:szCs w:val="24"/>
        </w:rPr>
        <w:t>个人退休</w:t>
      </w:r>
      <w:r w:rsidR="00597151" w:rsidRPr="00B55D5B">
        <w:rPr>
          <w:rFonts w:ascii="Times New Roman" w:eastAsia="宋体" w:hAnsi="Times New Roman" w:cs="Times New Roman"/>
          <w:sz w:val="24"/>
          <w:szCs w:val="24"/>
        </w:rPr>
        <w:t>基金开始尝试利用多空投资工具来</w:t>
      </w:r>
      <w:r w:rsidR="00597151" w:rsidRPr="00B55D5B">
        <w:rPr>
          <w:rFonts w:ascii="Times New Roman" w:eastAsia="宋体" w:hAnsi="Times New Roman" w:cs="Times New Roman" w:hint="eastAsia"/>
          <w:sz w:val="24"/>
          <w:szCs w:val="24"/>
        </w:rPr>
        <w:t>保护</w:t>
      </w:r>
      <w:r w:rsidR="00597151" w:rsidRPr="00B55D5B">
        <w:rPr>
          <w:rFonts w:ascii="Times New Roman" w:eastAsia="宋体" w:hAnsi="Times New Roman" w:cs="Times New Roman"/>
          <w:sz w:val="24"/>
          <w:szCs w:val="24"/>
        </w:rPr>
        <w:t>其资产的安全</w:t>
      </w:r>
      <w:r w:rsidR="00EF172B" w:rsidRPr="00B55D5B">
        <w:rPr>
          <w:rFonts w:ascii="Times New Roman" w:eastAsia="宋体" w:hAnsi="Times New Roman" w:cs="Times New Roman"/>
          <w:sz w:val="24"/>
          <w:szCs w:val="24"/>
        </w:rPr>
        <w:t>。然而，</w:t>
      </w:r>
      <w:r w:rsidR="00597151" w:rsidRPr="00B55D5B">
        <w:rPr>
          <w:rFonts w:ascii="Times New Roman" w:eastAsia="宋体" w:hAnsi="Times New Roman" w:cs="Times New Roman" w:hint="eastAsia"/>
          <w:sz w:val="24"/>
          <w:szCs w:val="24"/>
        </w:rPr>
        <w:t>对于一些</w:t>
      </w:r>
      <w:r w:rsidR="00597151" w:rsidRPr="00B55D5B">
        <w:rPr>
          <w:rFonts w:ascii="Times New Roman" w:eastAsia="宋体" w:hAnsi="Times New Roman" w:cs="Times New Roman"/>
          <w:sz w:val="24"/>
          <w:szCs w:val="24"/>
        </w:rPr>
        <w:t>个人退休计划来说其风险意识觉醒的有些晚</w:t>
      </w:r>
      <w:r w:rsidR="00EF172B" w:rsidRPr="00B55D5B">
        <w:rPr>
          <w:rFonts w:ascii="Times New Roman" w:eastAsia="宋体" w:hAnsi="Times New Roman" w:cs="Times New Roman"/>
          <w:sz w:val="24"/>
          <w:szCs w:val="24"/>
        </w:rPr>
        <w:t>。</w:t>
      </w:r>
    </w:p>
    <w:p w:rsidR="00936D97" w:rsidRPr="00B55D5B" w:rsidRDefault="00DE5794" w:rsidP="00927F35">
      <w:pPr>
        <w:spacing w:beforeLines="50" w:before="156" w:afterLines="50" w:after="156" w:line="360" w:lineRule="auto"/>
        <w:ind w:firstLine="540"/>
        <w:rPr>
          <w:rFonts w:ascii="Times New Roman" w:hAnsi="Times New Roman" w:cs="Times New Roman"/>
          <w:sz w:val="24"/>
          <w:szCs w:val="24"/>
        </w:rPr>
      </w:pPr>
      <w:r w:rsidRPr="00B55D5B">
        <w:rPr>
          <w:rFonts w:ascii="Times New Roman" w:hAnsi="Times New Roman" w:cs="Times New Roman"/>
          <w:sz w:val="24"/>
          <w:szCs w:val="24"/>
        </w:rPr>
        <w:t>2009</w:t>
      </w:r>
      <w:r w:rsidRPr="00B55D5B">
        <w:rPr>
          <w:rFonts w:ascii="Times New Roman" w:hAnsi="Times New Roman" w:cs="Times New Roman"/>
          <w:sz w:val="24"/>
          <w:szCs w:val="24"/>
        </w:rPr>
        <w:t>年</w:t>
      </w:r>
      <w:r w:rsidRPr="00B55D5B">
        <w:rPr>
          <w:rFonts w:ascii="Times New Roman" w:hAnsi="Times New Roman" w:cs="Times New Roman"/>
          <w:sz w:val="24"/>
          <w:szCs w:val="24"/>
        </w:rPr>
        <w:t>1</w:t>
      </w:r>
      <w:r w:rsidRPr="00B55D5B">
        <w:rPr>
          <w:rFonts w:ascii="Times New Roman" w:hAnsi="Times New Roman" w:cs="Times New Roman"/>
          <w:sz w:val="24"/>
          <w:szCs w:val="24"/>
        </w:rPr>
        <w:t>月，</w:t>
      </w:r>
      <w:r w:rsidR="000910F6" w:rsidRPr="00B55D5B">
        <w:rPr>
          <w:rFonts w:ascii="Times New Roman" w:hAnsi="Times New Roman" w:cs="Times New Roman" w:hint="eastAsia"/>
          <w:sz w:val="24"/>
          <w:szCs w:val="24"/>
        </w:rPr>
        <w:t>资产规模排名前</w:t>
      </w:r>
      <w:r w:rsidR="000910F6" w:rsidRPr="00B55D5B">
        <w:rPr>
          <w:rFonts w:ascii="Times New Roman" w:hAnsi="Times New Roman" w:cs="Times New Roman" w:hint="eastAsia"/>
          <w:sz w:val="24"/>
          <w:szCs w:val="24"/>
        </w:rPr>
        <w:t>1000</w:t>
      </w:r>
      <w:r w:rsidR="000910F6" w:rsidRPr="00B55D5B">
        <w:rPr>
          <w:rFonts w:ascii="Times New Roman" w:hAnsi="Times New Roman" w:cs="Times New Roman" w:hint="eastAsia"/>
          <w:sz w:val="24"/>
          <w:szCs w:val="24"/>
        </w:rPr>
        <w:t>的</w:t>
      </w:r>
      <w:r w:rsidR="00231CEF" w:rsidRPr="00B55D5B">
        <w:rPr>
          <w:rFonts w:ascii="Times New Roman" w:hAnsi="Times New Roman" w:cs="Times New Roman"/>
          <w:sz w:val="24"/>
          <w:szCs w:val="24"/>
        </w:rPr>
        <w:t>个人退休基金计划</w:t>
      </w:r>
      <w:r w:rsidR="00231CEF" w:rsidRPr="00B55D5B">
        <w:rPr>
          <w:rFonts w:ascii="Times New Roman" w:hAnsi="Times New Roman" w:cs="Times New Roman" w:hint="eastAsia"/>
          <w:sz w:val="24"/>
          <w:szCs w:val="24"/>
        </w:rPr>
        <w:t>的</w:t>
      </w:r>
      <w:r w:rsidRPr="00B55D5B">
        <w:rPr>
          <w:rFonts w:ascii="Times New Roman" w:hAnsi="Times New Roman" w:cs="Times New Roman"/>
          <w:sz w:val="24"/>
          <w:szCs w:val="24"/>
        </w:rPr>
        <w:t>资产由于股市波动</w:t>
      </w:r>
      <w:r w:rsidR="00231CEF" w:rsidRPr="00B55D5B">
        <w:rPr>
          <w:rFonts w:ascii="Times New Roman" w:hAnsi="Times New Roman" w:cs="Times New Roman" w:hint="eastAsia"/>
          <w:sz w:val="24"/>
          <w:szCs w:val="24"/>
        </w:rPr>
        <w:t>缩水了</w:t>
      </w:r>
      <w:r w:rsidR="00231CEF" w:rsidRPr="00B55D5B">
        <w:rPr>
          <w:rFonts w:ascii="Times New Roman" w:hAnsi="Times New Roman" w:cs="Times New Roman"/>
          <w:sz w:val="24"/>
          <w:szCs w:val="24"/>
        </w:rPr>
        <w:t>近</w:t>
      </w:r>
      <w:proofErr w:type="gramStart"/>
      <w:r w:rsidR="00231CEF" w:rsidRPr="00B55D5B">
        <w:rPr>
          <w:rFonts w:ascii="Times New Roman" w:hAnsi="Times New Roman" w:cs="Times New Roman"/>
          <w:sz w:val="24"/>
          <w:szCs w:val="24"/>
        </w:rPr>
        <w:t>一万</w:t>
      </w:r>
      <w:r w:rsidR="00231CEF" w:rsidRPr="00B55D5B">
        <w:rPr>
          <w:rFonts w:ascii="Times New Roman" w:hAnsi="Times New Roman" w:cs="Times New Roman" w:hint="eastAsia"/>
          <w:sz w:val="24"/>
          <w:szCs w:val="24"/>
        </w:rPr>
        <w:t>亿</w:t>
      </w:r>
      <w:proofErr w:type="gramEnd"/>
      <w:r w:rsidR="00231CEF" w:rsidRPr="00B55D5B">
        <w:rPr>
          <w:rFonts w:ascii="Times New Roman" w:hAnsi="Times New Roman" w:cs="Times New Roman" w:hint="eastAsia"/>
          <w:sz w:val="24"/>
          <w:szCs w:val="24"/>
        </w:rPr>
        <w:t>美元</w:t>
      </w:r>
      <w:r w:rsidRPr="00B55D5B">
        <w:rPr>
          <w:rFonts w:ascii="Times New Roman" w:hAnsi="Times New Roman" w:cs="Times New Roman"/>
          <w:sz w:val="24"/>
          <w:szCs w:val="24"/>
        </w:rPr>
        <w:t>。</w:t>
      </w:r>
      <w:r w:rsidR="00231CEF" w:rsidRPr="00B55D5B">
        <w:rPr>
          <w:rFonts w:ascii="Times New Roman" w:hAnsi="Times New Roman" w:cs="Times New Roman" w:hint="eastAsia"/>
          <w:sz w:val="24"/>
          <w:szCs w:val="24"/>
        </w:rPr>
        <w:t>前</w:t>
      </w:r>
      <w:r w:rsidR="00231CEF" w:rsidRPr="00B55D5B">
        <w:rPr>
          <w:rFonts w:ascii="Times New Roman" w:hAnsi="Times New Roman" w:cs="Times New Roman" w:hint="eastAsia"/>
          <w:sz w:val="24"/>
          <w:szCs w:val="24"/>
        </w:rPr>
        <w:t>200</w:t>
      </w:r>
      <w:r w:rsidR="00231CEF" w:rsidRPr="00B55D5B">
        <w:rPr>
          <w:rFonts w:ascii="Times New Roman" w:hAnsi="Times New Roman" w:cs="Times New Roman"/>
          <w:sz w:val="24"/>
          <w:szCs w:val="24"/>
        </w:rPr>
        <w:t>的</w:t>
      </w:r>
      <w:r w:rsidR="00231CEF" w:rsidRPr="00B55D5B">
        <w:rPr>
          <w:rFonts w:ascii="Times New Roman" w:hAnsi="Times New Roman" w:cs="Times New Roman" w:hint="eastAsia"/>
          <w:sz w:val="24"/>
          <w:szCs w:val="24"/>
        </w:rPr>
        <w:t>确定给付</w:t>
      </w:r>
      <w:r w:rsidR="00231CEF" w:rsidRPr="00B55D5B">
        <w:rPr>
          <w:rFonts w:ascii="Times New Roman" w:hAnsi="Times New Roman" w:cs="Times New Roman"/>
          <w:sz w:val="24"/>
          <w:szCs w:val="24"/>
        </w:rPr>
        <w:t>退休金计划（</w:t>
      </w:r>
      <w:r w:rsidR="00231CEF" w:rsidRPr="00B55D5B">
        <w:rPr>
          <w:rFonts w:ascii="Times New Roman" w:hAnsi="Times New Roman" w:cs="Times New Roman" w:hint="eastAsia"/>
          <w:sz w:val="24"/>
          <w:szCs w:val="24"/>
        </w:rPr>
        <w:t>DB</w:t>
      </w:r>
      <w:r w:rsidR="00231CEF" w:rsidRPr="00B55D5B">
        <w:rPr>
          <w:rFonts w:ascii="Times New Roman" w:hAnsi="Times New Roman" w:cs="Times New Roman"/>
          <w:sz w:val="24"/>
          <w:szCs w:val="24"/>
        </w:rPr>
        <w:t xml:space="preserve"> Plan</w:t>
      </w:r>
      <w:r w:rsidR="00231CEF" w:rsidRPr="00B55D5B">
        <w:rPr>
          <w:rFonts w:ascii="Times New Roman" w:hAnsi="Times New Roman" w:cs="Times New Roman"/>
          <w:sz w:val="24"/>
          <w:szCs w:val="24"/>
        </w:rPr>
        <w:t>）</w:t>
      </w:r>
      <w:r w:rsidRPr="00B55D5B">
        <w:rPr>
          <w:rFonts w:ascii="Times New Roman" w:hAnsi="Times New Roman" w:cs="Times New Roman"/>
          <w:sz w:val="24"/>
          <w:szCs w:val="24"/>
        </w:rPr>
        <w:t>损失了近</w:t>
      </w:r>
      <w:r w:rsidRPr="00B55D5B">
        <w:rPr>
          <w:rFonts w:ascii="Times New Roman" w:hAnsi="Times New Roman" w:cs="Times New Roman"/>
          <w:sz w:val="24"/>
          <w:szCs w:val="24"/>
        </w:rPr>
        <w:t>16.5%</w:t>
      </w:r>
      <w:r w:rsidRPr="00B55D5B">
        <w:rPr>
          <w:rFonts w:ascii="Times New Roman" w:hAnsi="Times New Roman" w:cs="Times New Roman"/>
          <w:sz w:val="24"/>
          <w:szCs w:val="24"/>
        </w:rPr>
        <w:t>的资产，</w:t>
      </w:r>
      <w:r w:rsidR="00231CEF" w:rsidRPr="00B55D5B">
        <w:rPr>
          <w:rFonts w:ascii="Times New Roman" w:hAnsi="Times New Roman" w:cs="Times New Roman" w:hint="eastAsia"/>
          <w:sz w:val="24"/>
          <w:szCs w:val="24"/>
        </w:rPr>
        <w:t>前</w:t>
      </w:r>
      <w:r w:rsidR="00231CEF" w:rsidRPr="00B55D5B">
        <w:rPr>
          <w:rFonts w:ascii="Times New Roman" w:hAnsi="Times New Roman" w:cs="Times New Roman" w:hint="eastAsia"/>
          <w:sz w:val="24"/>
          <w:szCs w:val="24"/>
        </w:rPr>
        <w:t>200</w:t>
      </w:r>
      <w:r w:rsidR="00231CEF" w:rsidRPr="00B55D5B">
        <w:rPr>
          <w:rFonts w:ascii="Times New Roman" w:hAnsi="Times New Roman" w:cs="Times New Roman" w:hint="eastAsia"/>
          <w:sz w:val="24"/>
          <w:szCs w:val="24"/>
        </w:rPr>
        <w:t>的确定</w:t>
      </w:r>
      <w:r w:rsidR="00B77ED7" w:rsidRPr="00B55D5B">
        <w:rPr>
          <w:rFonts w:ascii="Times New Roman" w:hAnsi="Times New Roman" w:cs="Times New Roman" w:hint="eastAsia"/>
          <w:sz w:val="24"/>
          <w:szCs w:val="24"/>
        </w:rPr>
        <w:t>缴费</w:t>
      </w:r>
      <w:r w:rsidR="00231CEF" w:rsidRPr="00B55D5B">
        <w:rPr>
          <w:rFonts w:ascii="Times New Roman" w:hAnsi="Times New Roman" w:cs="Times New Roman"/>
          <w:sz w:val="24"/>
          <w:szCs w:val="24"/>
        </w:rPr>
        <w:t>退休金</w:t>
      </w:r>
      <w:r w:rsidRPr="00B55D5B">
        <w:rPr>
          <w:rFonts w:ascii="Times New Roman" w:hAnsi="Times New Roman" w:cs="Times New Roman"/>
          <w:sz w:val="24"/>
          <w:szCs w:val="24"/>
        </w:rPr>
        <w:t>计划</w:t>
      </w:r>
      <w:r w:rsidR="00231CEF" w:rsidRPr="00B55D5B">
        <w:rPr>
          <w:rFonts w:ascii="Times New Roman" w:hAnsi="Times New Roman" w:cs="Times New Roman" w:hint="eastAsia"/>
          <w:sz w:val="24"/>
          <w:szCs w:val="24"/>
        </w:rPr>
        <w:t>（</w:t>
      </w:r>
      <w:r w:rsidR="00231CEF" w:rsidRPr="00B55D5B">
        <w:rPr>
          <w:rFonts w:ascii="Times New Roman" w:hAnsi="Times New Roman" w:cs="Times New Roman" w:hint="eastAsia"/>
          <w:sz w:val="24"/>
          <w:szCs w:val="24"/>
        </w:rPr>
        <w:t>DC</w:t>
      </w:r>
      <w:r w:rsidR="00231CEF" w:rsidRPr="00B55D5B">
        <w:rPr>
          <w:rFonts w:ascii="Times New Roman" w:hAnsi="Times New Roman" w:cs="Times New Roman"/>
          <w:sz w:val="24"/>
          <w:szCs w:val="24"/>
        </w:rPr>
        <w:t xml:space="preserve"> Plan</w:t>
      </w:r>
      <w:r w:rsidR="00231CEF" w:rsidRPr="00B55D5B">
        <w:rPr>
          <w:rFonts w:ascii="Times New Roman" w:hAnsi="Times New Roman" w:cs="Times New Roman" w:hint="eastAsia"/>
          <w:sz w:val="24"/>
          <w:szCs w:val="24"/>
        </w:rPr>
        <w:t>）</w:t>
      </w:r>
      <w:r w:rsidRPr="00B55D5B">
        <w:rPr>
          <w:rFonts w:ascii="Times New Roman" w:hAnsi="Times New Roman" w:cs="Times New Roman"/>
          <w:sz w:val="24"/>
          <w:szCs w:val="24"/>
        </w:rPr>
        <w:t>损失了近</w:t>
      </w:r>
      <w:r w:rsidRPr="00B55D5B">
        <w:rPr>
          <w:rFonts w:ascii="Times New Roman" w:hAnsi="Times New Roman" w:cs="Times New Roman"/>
          <w:sz w:val="24"/>
          <w:szCs w:val="24"/>
        </w:rPr>
        <w:t>13.7%</w:t>
      </w:r>
      <w:r w:rsidRPr="00B55D5B">
        <w:rPr>
          <w:rFonts w:ascii="Times New Roman" w:hAnsi="Times New Roman" w:cs="Times New Roman"/>
          <w:sz w:val="24"/>
          <w:szCs w:val="24"/>
        </w:rPr>
        <w:t>的资产。根据一直追踪该行业的《养</w:t>
      </w:r>
      <w:r w:rsidR="00936D97" w:rsidRPr="00B55D5B">
        <w:rPr>
          <w:rFonts w:ascii="Times New Roman" w:hAnsi="Times New Roman" w:cs="Times New Roman"/>
          <w:sz w:val="24"/>
          <w:szCs w:val="24"/>
        </w:rPr>
        <w:t>老基金与投资》（</w:t>
      </w:r>
      <w:r w:rsidR="00936D97" w:rsidRPr="00B55D5B">
        <w:rPr>
          <w:rFonts w:ascii="Times New Roman" w:hAnsi="Times New Roman" w:cs="Times New Roman"/>
          <w:i/>
          <w:sz w:val="24"/>
          <w:szCs w:val="24"/>
        </w:rPr>
        <w:t>Pensions and Investments</w:t>
      </w:r>
      <w:r w:rsidR="00936D97" w:rsidRPr="00B55D5B">
        <w:rPr>
          <w:rFonts w:ascii="Times New Roman" w:hAnsi="Times New Roman" w:cs="Times New Roman"/>
          <w:sz w:val="24"/>
          <w:szCs w:val="24"/>
        </w:rPr>
        <w:t>）杂志反映，这是过去</w:t>
      </w:r>
      <w:r w:rsidR="00936D97" w:rsidRPr="00B55D5B">
        <w:rPr>
          <w:rFonts w:ascii="Times New Roman" w:hAnsi="Times New Roman" w:cs="Times New Roman"/>
          <w:sz w:val="24"/>
          <w:szCs w:val="24"/>
        </w:rPr>
        <w:t>30</w:t>
      </w:r>
      <w:r w:rsidR="00936D97" w:rsidRPr="00B55D5B">
        <w:rPr>
          <w:rFonts w:ascii="Times New Roman" w:hAnsi="Times New Roman" w:cs="Times New Roman"/>
          <w:sz w:val="24"/>
          <w:szCs w:val="24"/>
        </w:rPr>
        <w:t>年来最惨烈的一次下跌。</w:t>
      </w:r>
    </w:p>
    <w:p w:rsidR="006F1DA5" w:rsidRPr="00B55D5B" w:rsidRDefault="006F1DA5" w:rsidP="00772C1F">
      <w:pPr>
        <w:spacing w:beforeLines="50" w:before="156" w:afterLines="50" w:after="156" w:line="360" w:lineRule="auto"/>
        <w:ind w:firstLine="540"/>
        <w:rPr>
          <w:rFonts w:ascii="Times New Roman" w:hAnsi="Times New Roman" w:cs="Times New Roman"/>
          <w:sz w:val="24"/>
          <w:szCs w:val="24"/>
        </w:rPr>
      </w:pPr>
      <w:r w:rsidRPr="00B55D5B">
        <w:rPr>
          <w:rFonts w:ascii="Times New Roman" w:hAnsi="Times New Roman" w:cs="Times New Roman" w:hint="eastAsia"/>
          <w:sz w:val="24"/>
          <w:szCs w:val="24"/>
        </w:rPr>
        <w:t>图</w:t>
      </w:r>
      <w:r w:rsidRPr="00B55D5B">
        <w:rPr>
          <w:rFonts w:ascii="Times New Roman" w:hAnsi="Times New Roman" w:cs="Times New Roman"/>
          <w:sz w:val="24"/>
          <w:szCs w:val="24"/>
        </w:rPr>
        <w:t xml:space="preserve">6.2 </w:t>
      </w:r>
      <w:r w:rsidR="002466BF" w:rsidRPr="00B55D5B">
        <w:rPr>
          <w:rFonts w:ascii="Times New Roman" w:hAnsi="Times New Roman" w:cs="Times New Roman" w:hint="eastAsia"/>
          <w:sz w:val="24"/>
          <w:szCs w:val="24"/>
        </w:rPr>
        <w:t>总资产配置情况</w:t>
      </w:r>
    </w:p>
    <w:p w:rsidR="00936D97" w:rsidRPr="00B55D5B" w:rsidRDefault="00231CEF" w:rsidP="00772C1F">
      <w:pPr>
        <w:spacing w:beforeLines="50" w:before="156" w:afterLines="50" w:after="156" w:line="360" w:lineRule="auto"/>
        <w:ind w:firstLine="540"/>
        <w:rPr>
          <w:rFonts w:ascii="Times New Roman" w:hAnsi="Times New Roman" w:cs="Times New Roman"/>
          <w:sz w:val="24"/>
          <w:szCs w:val="24"/>
        </w:rPr>
      </w:pPr>
      <w:r w:rsidRPr="00B55D5B">
        <w:rPr>
          <w:rFonts w:ascii="Times New Roman" w:hAnsi="Times New Roman" w:cs="Times New Roman" w:hint="eastAsia"/>
          <w:sz w:val="24"/>
          <w:szCs w:val="24"/>
        </w:rPr>
        <w:t>总之</w:t>
      </w:r>
      <w:r w:rsidRPr="00B55D5B">
        <w:rPr>
          <w:rFonts w:ascii="Times New Roman" w:hAnsi="Times New Roman" w:cs="Times New Roman"/>
          <w:sz w:val="24"/>
          <w:szCs w:val="24"/>
        </w:rPr>
        <w:t>，退休基金</w:t>
      </w:r>
      <w:r w:rsidR="00E56DAF" w:rsidRPr="00B55D5B">
        <w:rPr>
          <w:rFonts w:ascii="Times New Roman" w:hAnsi="Times New Roman" w:cs="Times New Roman" w:hint="eastAsia"/>
          <w:sz w:val="24"/>
          <w:szCs w:val="24"/>
        </w:rPr>
        <w:t>在</w:t>
      </w:r>
      <w:proofErr w:type="gramStart"/>
      <w:r w:rsidR="00E56DAF" w:rsidRPr="00B55D5B">
        <w:rPr>
          <w:rFonts w:ascii="Times New Roman" w:hAnsi="Times New Roman" w:cs="Times New Roman"/>
          <w:sz w:val="24"/>
          <w:szCs w:val="24"/>
        </w:rPr>
        <w:t>次贷</w:t>
      </w:r>
      <w:proofErr w:type="gramEnd"/>
      <w:r w:rsidR="00E56DAF" w:rsidRPr="00B55D5B">
        <w:rPr>
          <w:rFonts w:ascii="Times New Roman" w:hAnsi="Times New Roman" w:cs="Times New Roman"/>
          <w:sz w:val="24"/>
          <w:szCs w:val="24"/>
        </w:rPr>
        <w:t>危机中的表现一塌糊涂，其在投资管理方面亟需改变。</w:t>
      </w:r>
      <w:r w:rsidR="00E56DAF" w:rsidRPr="00B55D5B">
        <w:rPr>
          <w:rFonts w:ascii="Times New Roman" w:hAnsi="Times New Roman" w:cs="Times New Roman" w:hint="eastAsia"/>
          <w:sz w:val="24"/>
          <w:szCs w:val="24"/>
        </w:rPr>
        <w:t>投资于</w:t>
      </w:r>
      <w:r w:rsidR="00E56DAF" w:rsidRPr="00B55D5B">
        <w:rPr>
          <w:rFonts w:ascii="Times New Roman" w:hAnsi="Times New Roman" w:cs="Times New Roman"/>
          <w:sz w:val="24"/>
          <w:szCs w:val="24"/>
        </w:rPr>
        <w:t>对冲基金等另类投资品种</w:t>
      </w:r>
      <w:r w:rsidR="00E56DAF" w:rsidRPr="00B55D5B">
        <w:rPr>
          <w:rFonts w:ascii="Times New Roman" w:hAnsi="Times New Roman" w:cs="Times New Roman" w:hint="eastAsia"/>
          <w:sz w:val="24"/>
          <w:szCs w:val="24"/>
        </w:rPr>
        <w:t>是公认</w:t>
      </w:r>
      <w:r w:rsidR="00E56DAF" w:rsidRPr="00B55D5B">
        <w:rPr>
          <w:rFonts w:ascii="Times New Roman" w:hAnsi="Times New Roman" w:cs="Times New Roman"/>
          <w:sz w:val="24"/>
          <w:szCs w:val="24"/>
        </w:rPr>
        <w:t>的能够使</w:t>
      </w:r>
      <w:r w:rsidR="00282F63" w:rsidRPr="00B55D5B">
        <w:rPr>
          <w:rFonts w:ascii="Times New Roman" w:hAnsi="Times New Roman" w:cs="Times New Roman" w:hint="eastAsia"/>
          <w:sz w:val="24"/>
          <w:szCs w:val="24"/>
        </w:rPr>
        <w:t>退休基金</w:t>
      </w:r>
      <w:proofErr w:type="gramStart"/>
      <w:r w:rsidR="00282F63" w:rsidRPr="00B55D5B">
        <w:rPr>
          <w:rFonts w:ascii="Times New Roman" w:hAnsi="Times New Roman" w:cs="Times New Roman" w:hint="eastAsia"/>
          <w:sz w:val="24"/>
          <w:szCs w:val="24"/>
        </w:rPr>
        <w:t>投资</w:t>
      </w:r>
      <w:r w:rsidR="00E56DAF" w:rsidRPr="00B55D5B">
        <w:rPr>
          <w:rFonts w:ascii="Times New Roman" w:hAnsi="Times New Roman" w:cs="Times New Roman"/>
          <w:sz w:val="24"/>
          <w:szCs w:val="24"/>
        </w:rPr>
        <w:t>重</w:t>
      </w:r>
      <w:proofErr w:type="gramEnd"/>
      <w:r w:rsidR="00E56DAF" w:rsidRPr="00B55D5B">
        <w:rPr>
          <w:rFonts w:ascii="Times New Roman" w:hAnsi="Times New Roman" w:cs="Times New Roman"/>
          <w:sz w:val="24"/>
          <w:szCs w:val="24"/>
        </w:rPr>
        <w:t>回正轨的有效途径，</w:t>
      </w:r>
      <w:r w:rsidR="00282F63" w:rsidRPr="00B55D5B">
        <w:rPr>
          <w:rFonts w:ascii="Times New Roman" w:hAnsi="Times New Roman" w:cs="Times New Roman" w:hint="eastAsia"/>
          <w:sz w:val="24"/>
          <w:szCs w:val="24"/>
        </w:rPr>
        <w:t>是其</w:t>
      </w:r>
      <w:r w:rsidR="00E56DAF" w:rsidRPr="00B55D5B">
        <w:rPr>
          <w:rFonts w:ascii="Times New Roman" w:hAnsi="Times New Roman" w:cs="Times New Roman"/>
          <w:sz w:val="24"/>
          <w:szCs w:val="24"/>
        </w:rPr>
        <w:t>弥补因投资亏损产生</w:t>
      </w:r>
      <w:r w:rsidR="00E56DAF" w:rsidRPr="00B55D5B">
        <w:rPr>
          <w:rFonts w:ascii="Times New Roman" w:hAnsi="Times New Roman" w:cs="Times New Roman" w:hint="eastAsia"/>
          <w:sz w:val="24"/>
          <w:szCs w:val="24"/>
        </w:rPr>
        <w:t>缺口</w:t>
      </w:r>
      <w:r w:rsidR="00E56DAF" w:rsidRPr="00B55D5B">
        <w:rPr>
          <w:rFonts w:ascii="Times New Roman" w:hAnsi="Times New Roman" w:cs="Times New Roman"/>
          <w:sz w:val="24"/>
          <w:szCs w:val="24"/>
        </w:rPr>
        <w:t>的希望所在。</w:t>
      </w:r>
    </w:p>
    <w:p w:rsidR="003E31B7" w:rsidRPr="00B55D5B" w:rsidRDefault="003E31B7" w:rsidP="003E31B7">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b/>
          <w:sz w:val="24"/>
          <w:szCs w:val="24"/>
        </w:rPr>
        <w:t>养老</w:t>
      </w:r>
      <w:r w:rsidR="004F1B51" w:rsidRPr="00B55D5B">
        <w:rPr>
          <w:rFonts w:ascii="Times New Roman" w:hAnsi="Times New Roman" w:cs="Times New Roman" w:hint="eastAsia"/>
          <w:b/>
          <w:sz w:val="24"/>
          <w:szCs w:val="24"/>
        </w:rPr>
        <w:t>金</w:t>
      </w:r>
      <w:r w:rsidR="004F1B51" w:rsidRPr="00B55D5B">
        <w:rPr>
          <w:rFonts w:ascii="Times New Roman" w:hAnsi="Times New Roman" w:cs="Times New Roman"/>
          <w:b/>
          <w:sz w:val="24"/>
          <w:szCs w:val="24"/>
        </w:rPr>
        <w:t>计划</w:t>
      </w:r>
      <w:r w:rsidR="004F1B51" w:rsidRPr="00B55D5B">
        <w:rPr>
          <w:rFonts w:ascii="Times New Roman" w:hAnsi="Times New Roman" w:cs="Times New Roman" w:hint="eastAsia"/>
          <w:b/>
          <w:sz w:val="24"/>
          <w:szCs w:val="24"/>
        </w:rPr>
        <w:t>与</w:t>
      </w:r>
      <w:r w:rsidRPr="00B55D5B">
        <w:rPr>
          <w:rFonts w:ascii="Times New Roman" w:hAnsi="Times New Roman" w:cs="Times New Roman"/>
          <w:b/>
          <w:sz w:val="24"/>
          <w:szCs w:val="24"/>
        </w:rPr>
        <w:t>对冲基金</w:t>
      </w:r>
    </w:p>
    <w:p w:rsidR="00AD23A6" w:rsidRPr="00B55D5B" w:rsidRDefault="00AD23A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最大的几家给付退休金计划所配置的对冲基金规模从</w:t>
      </w:r>
      <w:r w:rsidRPr="00B55D5B">
        <w:rPr>
          <w:rFonts w:ascii="Times New Roman" w:hAnsi="Times New Roman" w:cs="Times New Roman" w:hint="eastAsia"/>
          <w:sz w:val="24"/>
          <w:szCs w:val="24"/>
        </w:rPr>
        <w:t>2</w:t>
      </w:r>
      <w:r w:rsidRPr="00B55D5B">
        <w:rPr>
          <w:rFonts w:ascii="Times New Roman" w:hAnsi="Times New Roman" w:cs="Times New Roman"/>
          <w:sz w:val="24"/>
          <w:szCs w:val="24"/>
        </w:rPr>
        <w:t>001</w:t>
      </w:r>
      <w:r w:rsidRPr="00B55D5B">
        <w:rPr>
          <w:rFonts w:ascii="Times New Roman" w:hAnsi="Times New Roman" w:cs="Times New Roman" w:hint="eastAsia"/>
          <w:sz w:val="24"/>
          <w:szCs w:val="24"/>
        </w:rPr>
        <w:t>年</w:t>
      </w:r>
      <w:r w:rsidRPr="00B55D5B">
        <w:rPr>
          <w:rFonts w:ascii="Times New Roman" w:hAnsi="Times New Roman" w:cs="Times New Roman" w:hint="eastAsia"/>
          <w:sz w:val="24"/>
          <w:szCs w:val="24"/>
        </w:rPr>
        <w:t>9</w:t>
      </w:r>
      <w:r w:rsidRPr="00B55D5B">
        <w:rPr>
          <w:rFonts w:ascii="Times New Roman" w:hAnsi="Times New Roman" w:cs="Times New Roman" w:hint="eastAsia"/>
          <w:sz w:val="24"/>
          <w:szCs w:val="24"/>
        </w:rPr>
        <w:t>月的</w:t>
      </w:r>
      <w:r w:rsidRPr="00B55D5B">
        <w:rPr>
          <w:rFonts w:ascii="Times New Roman" w:hAnsi="Times New Roman" w:cs="Times New Roman" w:hint="eastAsia"/>
          <w:sz w:val="24"/>
          <w:szCs w:val="24"/>
        </w:rPr>
        <w:t>32</w:t>
      </w:r>
      <w:r w:rsidRPr="00B55D5B">
        <w:rPr>
          <w:rFonts w:ascii="Times New Roman" w:hAnsi="Times New Roman" w:cs="Times New Roman" w:hint="eastAsia"/>
          <w:sz w:val="24"/>
          <w:szCs w:val="24"/>
        </w:rPr>
        <w:t>亿美元增长到如今的</w:t>
      </w:r>
      <w:r w:rsidRPr="00B55D5B">
        <w:rPr>
          <w:rFonts w:ascii="Times New Roman" w:hAnsi="Times New Roman" w:cs="Times New Roman" w:hint="eastAsia"/>
          <w:sz w:val="24"/>
          <w:szCs w:val="24"/>
        </w:rPr>
        <w:t>763</w:t>
      </w:r>
      <w:r w:rsidRPr="00B55D5B">
        <w:rPr>
          <w:rFonts w:ascii="Times New Roman" w:hAnsi="Times New Roman" w:cs="Times New Roman" w:hint="eastAsia"/>
          <w:sz w:val="24"/>
          <w:szCs w:val="24"/>
        </w:rPr>
        <w:t>亿美元，其中包括</w:t>
      </w:r>
      <w:r w:rsidRPr="00B55D5B">
        <w:rPr>
          <w:rFonts w:ascii="Times New Roman" w:hAnsi="Times New Roman" w:cs="Times New Roman" w:hint="eastAsia"/>
          <w:sz w:val="24"/>
          <w:szCs w:val="24"/>
        </w:rPr>
        <w:t>386</w:t>
      </w:r>
      <w:r w:rsidRPr="00B55D5B">
        <w:rPr>
          <w:rFonts w:ascii="Times New Roman" w:hAnsi="Times New Roman" w:cs="Times New Roman" w:hint="eastAsia"/>
          <w:sz w:val="24"/>
          <w:szCs w:val="24"/>
        </w:rPr>
        <w:t>亿美元的直接对冲基金投资和</w:t>
      </w:r>
      <w:r w:rsidRPr="00B55D5B">
        <w:rPr>
          <w:rFonts w:ascii="Times New Roman" w:hAnsi="Times New Roman" w:cs="Times New Roman" w:hint="eastAsia"/>
          <w:sz w:val="24"/>
          <w:szCs w:val="24"/>
        </w:rPr>
        <w:t>377</w:t>
      </w:r>
      <w:r w:rsidRPr="00B55D5B">
        <w:rPr>
          <w:rFonts w:ascii="Times New Roman" w:hAnsi="Times New Roman" w:cs="Times New Roman" w:hint="eastAsia"/>
          <w:sz w:val="24"/>
          <w:szCs w:val="24"/>
        </w:rPr>
        <w:t>亿美元的</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投资，总体增长幅度高达</w:t>
      </w:r>
      <w:r w:rsidRPr="00B55D5B">
        <w:rPr>
          <w:rFonts w:ascii="Times New Roman" w:hAnsi="Times New Roman" w:cs="Times New Roman" w:hint="eastAsia"/>
          <w:sz w:val="24"/>
          <w:szCs w:val="24"/>
        </w:rPr>
        <w:t>51%</w:t>
      </w:r>
      <w:r w:rsidRPr="00B55D5B">
        <w:rPr>
          <w:rFonts w:ascii="Times New Roman" w:hAnsi="Times New Roman" w:cs="Times New Roman" w:hint="eastAsia"/>
          <w:sz w:val="24"/>
          <w:szCs w:val="24"/>
        </w:rPr>
        <w:t>。这些数据表明大型养老金计划目前偏好投资于</w:t>
      </w:r>
      <w:r w:rsidRPr="00B55D5B">
        <w:rPr>
          <w:rFonts w:ascii="Times New Roman" w:hAnsi="Times New Roman" w:cs="Times New Roman" w:hint="eastAsia"/>
          <w:sz w:val="24"/>
          <w:szCs w:val="24"/>
        </w:rPr>
        <w:t>FOF</w:t>
      </w:r>
      <w:r w:rsidR="00542A2E" w:rsidRPr="00B55D5B">
        <w:rPr>
          <w:rFonts w:ascii="Times New Roman" w:hAnsi="Times New Roman" w:cs="Times New Roman" w:hint="eastAsia"/>
          <w:sz w:val="24"/>
          <w:szCs w:val="24"/>
        </w:rPr>
        <w:t>，但逐渐也在涉足单一策略的基金和能够帮助他们达到投资目的的定制化</w:t>
      </w:r>
      <w:r w:rsidR="0017618F" w:rsidRPr="00B55D5B">
        <w:rPr>
          <w:rFonts w:ascii="Times New Roman" w:hAnsi="Times New Roman" w:cs="Times New Roman" w:hint="eastAsia"/>
          <w:sz w:val="24"/>
          <w:szCs w:val="24"/>
        </w:rPr>
        <w:t>另类投资。</w:t>
      </w:r>
    </w:p>
    <w:p w:rsidR="0017618F" w:rsidRPr="00B55D5B" w:rsidRDefault="0017618F"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sz w:val="24"/>
          <w:szCs w:val="24"/>
        </w:rPr>
        <w:lastRenderedPageBreak/>
        <w:t>鲍勃</w:t>
      </w:r>
      <w:r w:rsidRPr="00B55D5B">
        <w:rPr>
          <w:rFonts w:ascii="Times New Roman" w:hAnsi="Times New Roman" w:cs="Times New Roman"/>
          <w:sz w:val="24"/>
          <w:szCs w:val="24"/>
        </w:rPr>
        <w:t>•</w:t>
      </w:r>
      <w:r w:rsidRPr="00B55D5B">
        <w:rPr>
          <w:rFonts w:ascii="Times New Roman" w:hAnsi="Times New Roman" w:cs="Times New Roman"/>
          <w:sz w:val="24"/>
          <w:szCs w:val="24"/>
        </w:rPr>
        <w:t>博尔特（</w:t>
      </w:r>
      <w:r w:rsidRPr="00B55D5B">
        <w:rPr>
          <w:rFonts w:ascii="Times New Roman" w:hAnsi="Times New Roman" w:cs="Times New Roman"/>
          <w:sz w:val="24"/>
          <w:szCs w:val="24"/>
        </w:rPr>
        <w:t xml:space="preserve">Bob </w:t>
      </w:r>
      <w:proofErr w:type="spellStart"/>
      <w:r w:rsidRPr="00B55D5B">
        <w:rPr>
          <w:rFonts w:ascii="Times New Roman" w:hAnsi="Times New Roman" w:cs="Times New Roman"/>
          <w:sz w:val="24"/>
          <w:szCs w:val="24"/>
        </w:rPr>
        <w:t>Boldt</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认为：“养老金计划在对冲基金领域中的投资规模还应</w:t>
      </w:r>
      <w:r w:rsidR="00542A2E" w:rsidRPr="00B55D5B">
        <w:rPr>
          <w:rFonts w:ascii="Times New Roman" w:hAnsi="Times New Roman" w:cs="Times New Roman" w:hint="eastAsia"/>
          <w:sz w:val="24"/>
          <w:szCs w:val="24"/>
        </w:rPr>
        <w:t>再</w:t>
      </w:r>
      <w:r w:rsidRPr="00B55D5B">
        <w:rPr>
          <w:rFonts w:ascii="Times New Roman" w:hAnsi="Times New Roman" w:cs="Times New Roman" w:hint="eastAsia"/>
          <w:sz w:val="24"/>
          <w:szCs w:val="24"/>
        </w:rPr>
        <w:t>扩大</w:t>
      </w:r>
      <w:r w:rsidRPr="00B55D5B">
        <w:rPr>
          <w:rFonts w:ascii="Times New Roman" w:hAnsi="Times New Roman" w:cs="Times New Roman" w:hint="eastAsia"/>
          <w:sz w:val="24"/>
          <w:szCs w:val="24"/>
        </w:rPr>
        <w:t>3%</w:t>
      </w:r>
      <w:r w:rsidRPr="00B55D5B">
        <w:rPr>
          <w:rFonts w:ascii="Times New Roman" w:hAnsi="Times New Roman" w:cs="Times New Roman" w:hint="eastAsia"/>
          <w:sz w:val="24"/>
          <w:szCs w:val="24"/>
        </w:rPr>
        <w:t>到</w:t>
      </w:r>
      <w:r w:rsidRPr="00B55D5B">
        <w:rPr>
          <w:rFonts w:ascii="Times New Roman" w:hAnsi="Times New Roman" w:cs="Times New Roman" w:hint="eastAsia"/>
          <w:sz w:val="24"/>
          <w:szCs w:val="24"/>
        </w:rPr>
        <w:t>5%</w:t>
      </w:r>
      <w:r w:rsidRPr="00B55D5B">
        <w:rPr>
          <w:rFonts w:ascii="Times New Roman" w:hAnsi="Times New Roman" w:cs="Times New Roman" w:hint="eastAsia"/>
          <w:sz w:val="24"/>
          <w:szCs w:val="24"/>
        </w:rPr>
        <w:t>。但许多养老金计划管理人对于</w:t>
      </w:r>
      <w:r w:rsidR="00542A2E" w:rsidRPr="00B55D5B">
        <w:rPr>
          <w:rFonts w:ascii="Times New Roman" w:hAnsi="Times New Roman" w:cs="Times New Roman" w:hint="eastAsia"/>
          <w:sz w:val="24"/>
          <w:szCs w:val="24"/>
        </w:rPr>
        <w:t>对冲基金的作用并不清楚，他们的投资还将继续依赖于他们的</w:t>
      </w:r>
      <w:r w:rsidR="002C3C13">
        <w:rPr>
          <w:rFonts w:ascii="Times New Roman" w:hAnsi="Times New Roman" w:cs="Times New Roman" w:hint="eastAsia"/>
          <w:sz w:val="24"/>
          <w:szCs w:val="24"/>
        </w:rPr>
        <w:t>投资顾问</w:t>
      </w:r>
      <w:r w:rsidRPr="00B55D5B">
        <w:rPr>
          <w:rFonts w:ascii="Times New Roman" w:hAnsi="Times New Roman" w:cs="Times New Roman" w:hint="eastAsia"/>
          <w:sz w:val="24"/>
          <w:szCs w:val="24"/>
        </w:rPr>
        <w:t>。在这种情形下，挑战就在于</w:t>
      </w:r>
      <w:r w:rsidR="002C3C13">
        <w:rPr>
          <w:rFonts w:ascii="Times New Roman" w:hAnsi="Times New Roman" w:cs="Times New Roman" w:hint="eastAsia"/>
          <w:sz w:val="24"/>
          <w:szCs w:val="24"/>
        </w:rPr>
        <w:t>投资顾问</w:t>
      </w:r>
      <w:r w:rsidRPr="00B55D5B">
        <w:rPr>
          <w:rFonts w:ascii="Times New Roman" w:hAnsi="Times New Roman" w:cs="Times New Roman" w:hint="eastAsia"/>
          <w:sz w:val="24"/>
          <w:szCs w:val="24"/>
        </w:rPr>
        <w:t>们应如何向他们的客户普及对冲基金方面的知识了。”</w:t>
      </w:r>
    </w:p>
    <w:p w:rsidR="0017618F" w:rsidRPr="00B55D5B" w:rsidRDefault="0017618F"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鉴于麦道夫的丑闻事件，博尔特的言论更显意味深长。投资者需要具备相应知识储备，</w:t>
      </w:r>
      <w:r w:rsidR="00C5333D" w:rsidRPr="00B55D5B">
        <w:rPr>
          <w:rFonts w:ascii="Times New Roman" w:hAnsi="Times New Roman" w:cs="Times New Roman" w:hint="eastAsia"/>
          <w:sz w:val="24"/>
          <w:szCs w:val="24"/>
        </w:rPr>
        <w:t>并要能理解他们的资产是如何被运作。遗憾的是，大多数投资者没有时间或专业</w:t>
      </w:r>
      <w:r w:rsidR="00542A2E" w:rsidRPr="00B55D5B">
        <w:rPr>
          <w:rFonts w:ascii="Times New Roman" w:hAnsi="Times New Roman" w:cs="Times New Roman" w:hint="eastAsia"/>
          <w:sz w:val="24"/>
          <w:szCs w:val="24"/>
        </w:rPr>
        <w:t>化背景来完成这个工作。这样的结果就是，这部分养老金计划尤为依赖他们的投资顾问</w:t>
      </w:r>
      <w:r w:rsidR="00C5333D" w:rsidRPr="00B55D5B">
        <w:rPr>
          <w:rFonts w:ascii="Times New Roman" w:hAnsi="Times New Roman" w:cs="Times New Roman" w:hint="eastAsia"/>
          <w:sz w:val="24"/>
          <w:szCs w:val="24"/>
        </w:rPr>
        <w:t>来做投资。</w:t>
      </w:r>
    </w:p>
    <w:p w:rsidR="003E31B7" w:rsidRPr="00B55D5B" w:rsidRDefault="002C3C13" w:rsidP="003E31B7">
      <w:pPr>
        <w:spacing w:beforeLines="50" w:before="156" w:afterLines="50" w:after="156" w:line="360" w:lineRule="auto"/>
        <w:rPr>
          <w:rFonts w:ascii="Times New Roman" w:hAnsi="Times New Roman" w:cs="Times New Roman"/>
          <w:b/>
          <w:sz w:val="24"/>
          <w:szCs w:val="24"/>
        </w:rPr>
      </w:pPr>
      <w:r>
        <w:rPr>
          <w:rFonts w:ascii="Times New Roman" w:hAnsi="Times New Roman" w:cs="Times New Roman" w:hint="eastAsia"/>
          <w:b/>
          <w:sz w:val="24"/>
          <w:szCs w:val="24"/>
        </w:rPr>
        <w:t>投资者内部的一些问题</w:t>
      </w:r>
      <w:bookmarkStart w:id="2" w:name="_GoBack"/>
      <w:bookmarkEnd w:id="2"/>
    </w:p>
    <w:p w:rsidR="003E7EBA" w:rsidRPr="00B55D5B" w:rsidRDefault="00271413"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对于那些正在做基础设施投资的养老金计划，直接投资是他们的下一个目标。</w:t>
      </w:r>
      <w:r w:rsidRPr="00B55D5B">
        <w:rPr>
          <w:rFonts w:ascii="Times New Roman" w:hAnsi="Times New Roman" w:cs="Times New Roman"/>
          <w:sz w:val="24"/>
          <w:szCs w:val="24"/>
        </w:rPr>
        <w:t>博尔特（</w:t>
      </w:r>
      <w:proofErr w:type="spellStart"/>
      <w:r w:rsidRPr="00B55D5B">
        <w:rPr>
          <w:rFonts w:ascii="Times New Roman" w:hAnsi="Times New Roman" w:cs="Times New Roman"/>
          <w:sz w:val="24"/>
          <w:szCs w:val="24"/>
        </w:rPr>
        <w:t>Boldt</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认为基金会和捐赠基金已经开始在行动了，并且向对冲基金领域增加的投资表明它们有更高的回报要求。与利用</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来满足对冲基金投资需求的投资者不同，基金会和捐赠基金</w:t>
      </w:r>
      <w:r w:rsidR="00DD0DB3" w:rsidRPr="00B55D5B">
        <w:rPr>
          <w:rFonts w:ascii="Times New Roman" w:hAnsi="Times New Roman" w:cs="Times New Roman" w:hint="eastAsia"/>
          <w:sz w:val="24"/>
          <w:szCs w:val="24"/>
        </w:rPr>
        <w:t>愿意承担更高的风险并</w:t>
      </w:r>
      <w:r w:rsidR="00542A2E" w:rsidRPr="00B55D5B">
        <w:rPr>
          <w:rFonts w:ascii="Times New Roman" w:hAnsi="Times New Roman" w:cs="Times New Roman" w:hint="eastAsia"/>
          <w:sz w:val="24"/>
          <w:szCs w:val="24"/>
        </w:rPr>
        <w:t>获取</w:t>
      </w:r>
      <w:r w:rsidRPr="00B55D5B">
        <w:rPr>
          <w:rFonts w:ascii="Times New Roman" w:hAnsi="Times New Roman" w:cs="Times New Roman" w:hint="eastAsia"/>
          <w:sz w:val="24"/>
          <w:szCs w:val="24"/>
        </w:rPr>
        <w:t>更高的投资回报。</w:t>
      </w:r>
      <w:r w:rsidR="006C7FB2" w:rsidRPr="00B55D5B">
        <w:rPr>
          <w:rFonts w:ascii="Times New Roman" w:hAnsi="Times New Roman" w:cs="Times New Roman"/>
          <w:sz w:val="24"/>
          <w:szCs w:val="24"/>
        </w:rPr>
        <w:t>博尔特（</w:t>
      </w:r>
      <w:proofErr w:type="spellStart"/>
      <w:r w:rsidR="006C7FB2" w:rsidRPr="00B55D5B">
        <w:rPr>
          <w:rFonts w:ascii="Times New Roman" w:hAnsi="Times New Roman" w:cs="Times New Roman"/>
          <w:sz w:val="24"/>
          <w:szCs w:val="24"/>
        </w:rPr>
        <w:t>Boldt</w:t>
      </w:r>
      <w:proofErr w:type="spellEnd"/>
      <w:r w:rsidR="006C7FB2" w:rsidRPr="00B55D5B">
        <w:rPr>
          <w:rFonts w:ascii="Times New Roman" w:hAnsi="Times New Roman" w:cs="Times New Roman"/>
          <w:sz w:val="24"/>
          <w:szCs w:val="24"/>
        </w:rPr>
        <w:t>）</w:t>
      </w:r>
      <w:r w:rsidR="006C7FB2" w:rsidRPr="00B55D5B">
        <w:rPr>
          <w:rFonts w:ascii="Times New Roman" w:hAnsi="Times New Roman" w:cs="Times New Roman" w:hint="eastAsia"/>
          <w:sz w:val="24"/>
          <w:szCs w:val="24"/>
        </w:rPr>
        <w:t>已经察觉到一些做传统投资的基金管理人正在逐渐增持对冲基金。</w:t>
      </w:r>
    </w:p>
    <w:p w:rsidR="006C7FB2" w:rsidRPr="00B55D5B" w:rsidRDefault="006C7FB2"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每个投资者对对冲基金都持不同的看法。比如一些投资者将其作为一项资产进行投资，另一些投资者却将其视为一种结构性投资工具，</w:t>
      </w:r>
      <w:r w:rsidR="00542A2E" w:rsidRPr="00B55D5B">
        <w:rPr>
          <w:rFonts w:ascii="Times New Roman" w:hAnsi="Times New Roman" w:cs="Times New Roman" w:hint="eastAsia"/>
          <w:sz w:val="24"/>
          <w:szCs w:val="24"/>
        </w:rPr>
        <w:t>其</w:t>
      </w:r>
      <w:r w:rsidR="00315325" w:rsidRPr="00B55D5B">
        <w:rPr>
          <w:rFonts w:ascii="Times New Roman" w:hAnsi="Times New Roman" w:cs="Times New Roman" w:hint="eastAsia"/>
          <w:sz w:val="24"/>
          <w:szCs w:val="24"/>
        </w:rPr>
        <w:t>持有</w:t>
      </w:r>
      <w:r w:rsidRPr="00B55D5B">
        <w:rPr>
          <w:rFonts w:ascii="Times New Roman" w:hAnsi="Times New Roman" w:cs="Times New Roman" w:hint="eastAsia"/>
          <w:sz w:val="24"/>
          <w:szCs w:val="24"/>
        </w:rPr>
        <w:t>目的是为了协调整体资产的风险</w:t>
      </w:r>
      <w:r w:rsidR="007B0F51" w:rsidRPr="00B55D5B">
        <w:rPr>
          <w:rFonts w:ascii="Times New Roman" w:hAnsi="Times New Roman" w:cs="Times New Roman" w:hint="eastAsia"/>
          <w:sz w:val="24"/>
          <w:szCs w:val="24"/>
        </w:rPr>
        <w:t>敞口</w:t>
      </w:r>
      <w:r w:rsidRPr="00B55D5B">
        <w:rPr>
          <w:rFonts w:ascii="Times New Roman" w:hAnsi="Times New Roman" w:cs="Times New Roman" w:hint="eastAsia"/>
          <w:sz w:val="24"/>
          <w:szCs w:val="24"/>
        </w:rPr>
        <w:t>，并使得调整市场</w:t>
      </w:r>
      <w:r w:rsidR="00EC1ED9" w:rsidRPr="00B55D5B">
        <w:rPr>
          <w:rFonts w:ascii="Times New Roman" w:hAnsi="Times New Roman" w:cs="Times New Roman" w:hint="eastAsia"/>
          <w:sz w:val="24"/>
          <w:szCs w:val="24"/>
        </w:rPr>
        <w:t>敞口</w:t>
      </w:r>
      <w:r w:rsidRPr="00B55D5B">
        <w:rPr>
          <w:rFonts w:ascii="Times New Roman" w:hAnsi="Times New Roman" w:cs="Times New Roman" w:hint="eastAsia"/>
          <w:sz w:val="24"/>
          <w:szCs w:val="24"/>
        </w:rPr>
        <w:t>的灵活性达到最大。对冲基金管理人不仅操作空间大，而且也更容易发现新的投资机会。当然，这其中也存在着一定风险。</w:t>
      </w:r>
    </w:p>
    <w:p w:rsidR="006C7FB2" w:rsidRPr="00B55D5B" w:rsidRDefault="00735893"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目前没有一个模型来量化对冲基金的投资风险</w:t>
      </w:r>
      <w:r w:rsidR="008D1097" w:rsidRPr="00B55D5B">
        <w:rPr>
          <w:rFonts w:ascii="Times New Roman" w:hAnsi="Times New Roman" w:cs="Times New Roman" w:hint="eastAsia"/>
          <w:sz w:val="24"/>
          <w:szCs w:val="24"/>
        </w:rPr>
        <w:t>。但值得肯定的是与投资者的风险偏好以及资产负债率的要求有关。然而作为投资者一方</w:t>
      </w:r>
      <w:r w:rsidR="00315325" w:rsidRPr="00B55D5B">
        <w:rPr>
          <w:rFonts w:ascii="Times New Roman" w:hAnsi="Times New Roman" w:cs="Times New Roman" w:hint="eastAsia"/>
          <w:sz w:val="24"/>
          <w:szCs w:val="24"/>
        </w:rPr>
        <w:t>，应今早去</w:t>
      </w:r>
      <w:r w:rsidR="008D1097" w:rsidRPr="00B55D5B">
        <w:rPr>
          <w:rFonts w:ascii="Times New Roman" w:hAnsi="Times New Roman" w:cs="Times New Roman" w:hint="eastAsia"/>
          <w:sz w:val="24"/>
          <w:szCs w:val="24"/>
        </w:rPr>
        <w:t>理解其中的投资细节以权衡资产的风险和收益。</w:t>
      </w:r>
    </w:p>
    <w:p w:rsidR="008D1097" w:rsidRPr="00B55D5B" w:rsidRDefault="008D1097"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基金会和捐赠基金在过去十年的时间中一直致力于向他们的投资委员会普及相关的知识（或是采用接受大学投资专业教授再教育的形式）</w:t>
      </w:r>
      <w:r w:rsidR="004A582E" w:rsidRPr="00B55D5B">
        <w:rPr>
          <w:rFonts w:ascii="Times New Roman" w:hAnsi="Times New Roman" w:cs="Times New Roman" w:hint="eastAsia"/>
          <w:sz w:val="24"/>
          <w:szCs w:val="24"/>
        </w:rPr>
        <w:t>，相比于传统的对冲基金投资者，他们的投资具有不同的风险属性。</w:t>
      </w:r>
      <w:r w:rsidRPr="00B55D5B">
        <w:rPr>
          <w:rFonts w:ascii="Times New Roman" w:hAnsi="Times New Roman" w:cs="Times New Roman" w:hint="eastAsia"/>
          <w:sz w:val="24"/>
          <w:szCs w:val="24"/>
        </w:rPr>
        <w:t>当市场发生不好的</w:t>
      </w:r>
      <w:r w:rsidR="004A582E" w:rsidRPr="00B55D5B">
        <w:rPr>
          <w:rFonts w:ascii="Times New Roman" w:hAnsi="Times New Roman" w:cs="Times New Roman" w:hint="eastAsia"/>
          <w:sz w:val="24"/>
          <w:szCs w:val="24"/>
        </w:rPr>
        <w:t>变化</w:t>
      </w:r>
      <w:r w:rsidRPr="00B55D5B">
        <w:rPr>
          <w:rFonts w:ascii="Times New Roman" w:hAnsi="Times New Roman" w:cs="Times New Roman" w:hint="eastAsia"/>
          <w:sz w:val="24"/>
          <w:szCs w:val="24"/>
        </w:rPr>
        <w:t>比如出现崩盘或者</w:t>
      </w:r>
      <w:r w:rsidR="000E74D7" w:rsidRPr="00B55D5B">
        <w:rPr>
          <w:rFonts w:ascii="Times New Roman" w:hAnsi="Times New Roman" w:cs="Times New Roman" w:hint="eastAsia"/>
          <w:sz w:val="24"/>
          <w:szCs w:val="24"/>
        </w:rPr>
        <w:t>发生骗局事件</w:t>
      </w:r>
      <w:r w:rsidR="004A582E" w:rsidRPr="00B55D5B">
        <w:rPr>
          <w:rFonts w:ascii="Times New Roman" w:hAnsi="Times New Roman" w:cs="Times New Roman" w:hint="eastAsia"/>
          <w:sz w:val="24"/>
          <w:szCs w:val="24"/>
        </w:rPr>
        <w:t>时</w:t>
      </w:r>
      <w:r w:rsidR="000E74D7" w:rsidRPr="00B55D5B">
        <w:rPr>
          <w:rFonts w:ascii="Times New Roman" w:hAnsi="Times New Roman" w:cs="Times New Roman" w:hint="eastAsia"/>
          <w:sz w:val="24"/>
          <w:szCs w:val="24"/>
        </w:rPr>
        <w:t>，养老金计划管理人便将责任推向咨询机构。尽管</w:t>
      </w:r>
      <w:r w:rsidR="000E74D7" w:rsidRPr="00B55D5B">
        <w:rPr>
          <w:rFonts w:ascii="Times New Roman" w:hAnsi="Times New Roman" w:cs="Times New Roman" w:hint="eastAsia"/>
          <w:sz w:val="24"/>
          <w:szCs w:val="24"/>
        </w:rPr>
        <w:lastRenderedPageBreak/>
        <w:t>风险事件发生的可能性不大</w:t>
      </w:r>
      <w:r w:rsidR="004A582E" w:rsidRPr="00B55D5B">
        <w:rPr>
          <w:rFonts w:ascii="Times New Roman" w:hAnsi="Times New Roman" w:cs="Times New Roman" w:hint="eastAsia"/>
          <w:sz w:val="24"/>
          <w:szCs w:val="24"/>
        </w:rPr>
        <w:t>，并且基金的管理人也</w:t>
      </w:r>
      <w:r w:rsidR="000E74D7" w:rsidRPr="00B55D5B">
        <w:rPr>
          <w:rFonts w:ascii="Times New Roman" w:hAnsi="Times New Roman" w:cs="Times New Roman" w:hint="eastAsia"/>
          <w:sz w:val="24"/>
          <w:szCs w:val="24"/>
        </w:rPr>
        <w:t>时常</w:t>
      </w:r>
      <w:r w:rsidR="004A582E" w:rsidRPr="00B55D5B">
        <w:rPr>
          <w:rFonts w:ascii="Times New Roman" w:hAnsi="Times New Roman" w:cs="Times New Roman" w:hint="eastAsia"/>
          <w:sz w:val="24"/>
          <w:szCs w:val="24"/>
        </w:rPr>
        <w:t>宣称配置到</w:t>
      </w:r>
      <w:r w:rsidR="004A582E" w:rsidRPr="00B55D5B">
        <w:rPr>
          <w:rFonts w:ascii="Times New Roman" w:hAnsi="Times New Roman" w:cs="Times New Roman" w:hint="eastAsia"/>
          <w:sz w:val="24"/>
          <w:szCs w:val="24"/>
        </w:rPr>
        <w:t>FOF</w:t>
      </w:r>
      <w:r w:rsidR="004A582E" w:rsidRPr="00B55D5B">
        <w:rPr>
          <w:rFonts w:ascii="Times New Roman" w:hAnsi="Times New Roman" w:cs="Times New Roman" w:hint="eastAsia"/>
          <w:sz w:val="24"/>
          <w:szCs w:val="24"/>
        </w:rPr>
        <w:t>的资产规模很小，</w:t>
      </w:r>
      <w:proofErr w:type="gramStart"/>
      <w:r w:rsidR="004A582E" w:rsidRPr="00B55D5B">
        <w:rPr>
          <w:rFonts w:ascii="Times New Roman" w:hAnsi="Times New Roman" w:cs="Times New Roman" w:hint="eastAsia"/>
          <w:sz w:val="24"/>
          <w:szCs w:val="24"/>
        </w:rPr>
        <w:t>投资</w:t>
      </w:r>
      <w:r w:rsidR="002C3C13">
        <w:rPr>
          <w:rFonts w:ascii="Times New Roman" w:hAnsi="Times New Roman" w:cs="Times New Roman" w:hint="eastAsia"/>
          <w:sz w:val="24"/>
          <w:szCs w:val="24"/>
        </w:rPr>
        <w:t>投资</w:t>
      </w:r>
      <w:proofErr w:type="gramEnd"/>
      <w:r w:rsidR="002C3C13">
        <w:rPr>
          <w:rFonts w:ascii="Times New Roman" w:hAnsi="Times New Roman" w:cs="Times New Roman" w:hint="eastAsia"/>
          <w:sz w:val="24"/>
          <w:szCs w:val="24"/>
        </w:rPr>
        <w:t>咨询机构</w:t>
      </w:r>
      <w:r w:rsidR="00F50368" w:rsidRPr="00B55D5B">
        <w:rPr>
          <w:rFonts w:ascii="Times New Roman" w:hAnsi="Times New Roman" w:cs="Times New Roman" w:hint="eastAsia"/>
          <w:sz w:val="24"/>
          <w:szCs w:val="24"/>
        </w:rPr>
        <w:t>依然</w:t>
      </w:r>
      <w:r w:rsidR="004A582E" w:rsidRPr="00B55D5B">
        <w:rPr>
          <w:rFonts w:ascii="Times New Roman" w:hAnsi="Times New Roman" w:cs="Times New Roman" w:hint="eastAsia"/>
          <w:sz w:val="24"/>
          <w:szCs w:val="24"/>
        </w:rPr>
        <w:t>很负责</w:t>
      </w:r>
      <w:r w:rsidR="00853B42" w:rsidRPr="00B55D5B">
        <w:rPr>
          <w:rFonts w:ascii="Times New Roman" w:hAnsi="Times New Roman" w:cs="Times New Roman" w:hint="eastAsia"/>
          <w:sz w:val="24"/>
          <w:szCs w:val="24"/>
        </w:rPr>
        <w:t>任</w:t>
      </w:r>
      <w:r w:rsidR="004A582E" w:rsidRPr="00B55D5B">
        <w:rPr>
          <w:rFonts w:ascii="Times New Roman" w:hAnsi="Times New Roman" w:cs="Times New Roman" w:hint="eastAsia"/>
          <w:sz w:val="24"/>
          <w:szCs w:val="24"/>
        </w:rPr>
        <w:t>。</w:t>
      </w:r>
    </w:p>
    <w:p w:rsidR="000E74D7" w:rsidRPr="00B55D5B" w:rsidRDefault="000E74D7"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“咨询机构</w:t>
      </w:r>
      <w:r w:rsidR="00351F0B" w:rsidRPr="00B55D5B">
        <w:rPr>
          <w:rFonts w:ascii="Times New Roman" w:hAnsi="Times New Roman" w:cs="Times New Roman" w:hint="eastAsia"/>
          <w:sz w:val="24"/>
          <w:szCs w:val="24"/>
        </w:rPr>
        <w:t>满足了投资者</w:t>
      </w:r>
      <w:r w:rsidRPr="00B55D5B">
        <w:rPr>
          <w:rFonts w:ascii="Times New Roman" w:hAnsi="Times New Roman" w:cs="Times New Roman" w:hint="eastAsia"/>
          <w:sz w:val="24"/>
          <w:szCs w:val="24"/>
        </w:rPr>
        <w:t>推卸责任的投资心理需求”，</w:t>
      </w:r>
      <w:r w:rsidRPr="00B55D5B">
        <w:rPr>
          <w:rFonts w:ascii="Times New Roman" w:hAnsi="Times New Roman" w:cs="Times New Roman"/>
          <w:sz w:val="24"/>
          <w:szCs w:val="24"/>
        </w:rPr>
        <w:t>纽约资本市场风险</w:t>
      </w:r>
      <w:r w:rsidR="002C3C13">
        <w:rPr>
          <w:rFonts w:ascii="Times New Roman" w:hAnsi="Times New Roman" w:cs="Times New Roman"/>
          <w:sz w:val="24"/>
          <w:szCs w:val="24"/>
        </w:rPr>
        <w:t>投资咨询机构</w:t>
      </w:r>
      <w:r w:rsidRPr="00B55D5B">
        <w:rPr>
          <w:rFonts w:ascii="Times New Roman" w:hAnsi="Times New Roman" w:cs="Times New Roman"/>
          <w:sz w:val="24"/>
          <w:szCs w:val="24"/>
        </w:rPr>
        <w:t>（</w:t>
      </w:r>
      <w:r w:rsidRPr="00B55D5B">
        <w:rPr>
          <w:rFonts w:ascii="Times New Roman" w:hAnsi="Times New Roman" w:cs="Times New Roman"/>
          <w:sz w:val="24"/>
          <w:szCs w:val="24"/>
        </w:rPr>
        <w:t>Capital Market Risk Advisors</w:t>
      </w:r>
      <w:r w:rsidRPr="00B55D5B">
        <w:rPr>
          <w:rFonts w:ascii="Times New Roman" w:hAnsi="Times New Roman" w:cs="Times New Roman"/>
          <w:sz w:val="24"/>
          <w:szCs w:val="24"/>
        </w:rPr>
        <w:t>）的创始人</w:t>
      </w:r>
      <w:r w:rsidRPr="00B55D5B">
        <w:rPr>
          <w:rFonts w:ascii="Times New Roman" w:hAnsi="Times New Roman" w:cs="Times New Roman" w:hint="eastAsia"/>
          <w:sz w:val="24"/>
          <w:szCs w:val="24"/>
        </w:rPr>
        <w:t>兼</w:t>
      </w:r>
      <w:r w:rsidRPr="00B55D5B">
        <w:rPr>
          <w:rFonts w:ascii="Times New Roman" w:hAnsi="Times New Roman" w:cs="Times New Roman"/>
          <w:sz w:val="24"/>
          <w:szCs w:val="24"/>
        </w:rPr>
        <w:t>主席莱丽斯</w:t>
      </w:r>
      <w:r w:rsidRPr="00B55D5B">
        <w:rPr>
          <w:rFonts w:ascii="Times New Roman" w:hAnsi="Times New Roman" w:cs="Times New Roman"/>
          <w:sz w:val="24"/>
          <w:szCs w:val="24"/>
        </w:rPr>
        <w:t>·</w:t>
      </w:r>
      <w:r w:rsidRPr="00B55D5B">
        <w:rPr>
          <w:rFonts w:ascii="Times New Roman" w:hAnsi="Times New Roman" w:cs="Times New Roman"/>
          <w:sz w:val="24"/>
          <w:szCs w:val="24"/>
        </w:rPr>
        <w:t>拉尔（</w:t>
      </w:r>
      <w:r w:rsidRPr="00B55D5B">
        <w:rPr>
          <w:rFonts w:ascii="Times New Roman" w:hAnsi="Times New Roman" w:cs="Times New Roman"/>
          <w:sz w:val="24"/>
          <w:szCs w:val="24"/>
        </w:rPr>
        <w:t xml:space="preserve">Leslie </w:t>
      </w:r>
      <w:proofErr w:type="spellStart"/>
      <w:r w:rsidRPr="00B55D5B">
        <w:rPr>
          <w:rFonts w:ascii="Times New Roman" w:hAnsi="Times New Roman" w:cs="Times New Roman"/>
          <w:sz w:val="24"/>
          <w:szCs w:val="24"/>
        </w:rPr>
        <w:t>Rahl</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如是说道，“直接投资对冲基金的风险无疑会更大</w:t>
      </w:r>
      <w:r w:rsidR="00315325" w:rsidRPr="00B55D5B">
        <w:rPr>
          <w:rFonts w:ascii="Times New Roman" w:hAnsi="Times New Roman" w:cs="Times New Roman" w:hint="eastAsia"/>
          <w:sz w:val="24"/>
          <w:szCs w:val="24"/>
        </w:rPr>
        <w:t>，但却能让投资者</w:t>
      </w:r>
      <w:r w:rsidRPr="00B55D5B">
        <w:rPr>
          <w:rFonts w:ascii="Times New Roman" w:hAnsi="Times New Roman" w:cs="Times New Roman" w:hint="eastAsia"/>
          <w:sz w:val="24"/>
          <w:szCs w:val="24"/>
        </w:rPr>
        <w:t>定制投资组合，独立完成投资决策并知晓投资的风险所在。”</w:t>
      </w:r>
    </w:p>
    <w:p w:rsidR="008A0E5D" w:rsidRPr="00B55D5B" w:rsidRDefault="008A0E5D" w:rsidP="008A0E5D">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hint="eastAsia"/>
          <w:b/>
          <w:sz w:val="24"/>
          <w:szCs w:val="24"/>
        </w:rPr>
        <w:t>同质化的投资模式</w:t>
      </w:r>
    </w:p>
    <w:p w:rsidR="00D5485A" w:rsidRPr="00B55D5B" w:rsidRDefault="002C3C13" w:rsidP="008A0E5D">
      <w:pPr>
        <w:spacing w:beforeLines="50" w:before="156" w:afterLines="50" w:after="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为什么投资顾问向客户推荐的投资产品往往都是规模较大的</w:t>
      </w:r>
      <w:r>
        <w:rPr>
          <w:rFonts w:ascii="Times New Roman" w:hAnsi="Times New Roman" w:cs="Times New Roman" w:hint="eastAsia"/>
          <w:sz w:val="24"/>
          <w:szCs w:val="24"/>
        </w:rPr>
        <w:t>FOF</w:t>
      </w:r>
      <w:r>
        <w:rPr>
          <w:rFonts w:ascii="Times New Roman" w:hAnsi="Times New Roman" w:cs="Times New Roman" w:hint="eastAsia"/>
          <w:sz w:val="24"/>
          <w:szCs w:val="24"/>
        </w:rPr>
        <w:t>产品</w:t>
      </w:r>
      <w:r w:rsidR="00D5485A" w:rsidRPr="00B55D5B">
        <w:rPr>
          <w:rFonts w:ascii="Times New Roman" w:hAnsi="Times New Roman" w:cs="Times New Roman" w:hint="eastAsia"/>
          <w:sz w:val="24"/>
          <w:szCs w:val="24"/>
        </w:rPr>
        <w:t>？</w:t>
      </w:r>
      <w:r w:rsidR="00CD066C" w:rsidRPr="00B55D5B">
        <w:rPr>
          <w:rFonts w:ascii="Times New Roman" w:hAnsi="Times New Roman" w:cs="Times New Roman" w:hint="eastAsia"/>
          <w:sz w:val="24"/>
          <w:szCs w:val="24"/>
        </w:rPr>
        <w:t>虽然大部分公司都在这么做，但也有少数几个</w:t>
      </w:r>
      <w:r>
        <w:rPr>
          <w:rFonts w:ascii="Times New Roman" w:hAnsi="Times New Roman" w:cs="Times New Roman" w:hint="eastAsia"/>
          <w:sz w:val="24"/>
          <w:szCs w:val="24"/>
        </w:rPr>
        <w:t>投资咨询机构</w:t>
      </w:r>
      <w:r w:rsidR="00CD066C" w:rsidRPr="00B55D5B">
        <w:rPr>
          <w:rFonts w:ascii="Times New Roman" w:hAnsi="Times New Roman" w:cs="Times New Roman" w:hint="eastAsia"/>
          <w:sz w:val="24"/>
          <w:szCs w:val="24"/>
        </w:rPr>
        <w:t>是真的在尽心尽力为他们的客户推荐对冲基金和其他</w:t>
      </w:r>
      <w:r w:rsidR="00F36B99" w:rsidRPr="00B55D5B">
        <w:rPr>
          <w:rFonts w:ascii="Times New Roman" w:hAnsi="Times New Roman" w:cs="Times New Roman" w:hint="eastAsia"/>
          <w:sz w:val="24"/>
          <w:szCs w:val="24"/>
        </w:rPr>
        <w:t>投资形式</w:t>
      </w:r>
      <w:r w:rsidR="00CD066C" w:rsidRPr="00B55D5B">
        <w:rPr>
          <w:rFonts w:ascii="Times New Roman" w:hAnsi="Times New Roman" w:cs="Times New Roman" w:hint="eastAsia"/>
          <w:sz w:val="24"/>
          <w:szCs w:val="24"/>
        </w:rPr>
        <w:t>。绝大部分</w:t>
      </w:r>
      <w:r>
        <w:rPr>
          <w:rFonts w:ascii="Times New Roman" w:hAnsi="Times New Roman" w:cs="Times New Roman" w:hint="eastAsia"/>
          <w:sz w:val="24"/>
          <w:szCs w:val="24"/>
        </w:rPr>
        <w:t>投资咨询机构</w:t>
      </w:r>
      <w:r w:rsidR="00CD066C" w:rsidRPr="00B55D5B">
        <w:rPr>
          <w:rFonts w:ascii="Times New Roman" w:hAnsi="Times New Roman" w:cs="Times New Roman" w:hint="eastAsia"/>
          <w:sz w:val="24"/>
          <w:szCs w:val="24"/>
        </w:rPr>
        <w:t>未曾投入财力去打造一个</w:t>
      </w:r>
      <w:r>
        <w:rPr>
          <w:rFonts w:ascii="Times New Roman" w:hAnsi="Times New Roman" w:cs="Times New Roman" w:hint="eastAsia"/>
          <w:sz w:val="24"/>
          <w:szCs w:val="24"/>
        </w:rPr>
        <w:t>对于对冲基金的投资策略有深入研究和理解的研究团队</w:t>
      </w:r>
      <w:r w:rsidR="00CD066C" w:rsidRPr="00B55D5B">
        <w:rPr>
          <w:rFonts w:ascii="Times New Roman" w:hAnsi="Times New Roman" w:cs="Times New Roman" w:hint="eastAsia"/>
          <w:sz w:val="24"/>
          <w:szCs w:val="24"/>
        </w:rPr>
        <w:t>，相反，他们对对冲基金的理解还很浅显，无法到专业的程度。</w:t>
      </w:r>
      <w:r w:rsidR="00566491" w:rsidRPr="00B55D5B">
        <w:rPr>
          <w:rFonts w:ascii="Times New Roman" w:hAnsi="Times New Roman" w:cs="Times New Roman" w:hint="eastAsia"/>
          <w:sz w:val="24"/>
          <w:szCs w:val="24"/>
        </w:rPr>
        <w:t>在他们看来，</w:t>
      </w:r>
      <w:proofErr w:type="gramStart"/>
      <w:r w:rsidR="00566491" w:rsidRPr="00B55D5B">
        <w:rPr>
          <w:rFonts w:ascii="Times New Roman" w:hAnsi="Times New Roman" w:cs="Times New Roman" w:hint="eastAsia"/>
          <w:sz w:val="24"/>
          <w:szCs w:val="24"/>
        </w:rPr>
        <w:t>一</w:t>
      </w:r>
      <w:proofErr w:type="gramEnd"/>
      <w:r w:rsidR="00566491" w:rsidRPr="00B55D5B">
        <w:rPr>
          <w:rFonts w:ascii="Times New Roman" w:hAnsi="Times New Roman" w:cs="Times New Roman" w:hint="eastAsia"/>
          <w:sz w:val="24"/>
          <w:szCs w:val="24"/>
        </w:rPr>
        <w:t>只好的</w:t>
      </w:r>
      <w:r w:rsidR="00566491" w:rsidRPr="00B55D5B">
        <w:rPr>
          <w:rFonts w:ascii="Times New Roman" w:hAnsi="Times New Roman" w:cs="Times New Roman" w:hint="eastAsia"/>
          <w:sz w:val="24"/>
          <w:szCs w:val="24"/>
        </w:rPr>
        <w:t>FOF</w:t>
      </w:r>
      <w:r w:rsidR="00566491" w:rsidRPr="00B55D5B">
        <w:rPr>
          <w:rFonts w:ascii="Times New Roman" w:hAnsi="Times New Roman" w:cs="Times New Roman" w:hint="eastAsia"/>
          <w:sz w:val="24"/>
          <w:szCs w:val="24"/>
        </w:rPr>
        <w:t>或者对冲基金</w:t>
      </w:r>
      <w:r w:rsidR="00CA5A4A">
        <w:rPr>
          <w:rFonts w:ascii="Times New Roman" w:hAnsi="Times New Roman" w:cs="Times New Roman" w:hint="eastAsia"/>
          <w:sz w:val="24"/>
          <w:szCs w:val="24"/>
        </w:rPr>
        <w:t>的特征就是</w:t>
      </w:r>
      <w:r w:rsidR="00566491" w:rsidRPr="00B55D5B">
        <w:rPr>
          <w:rFonts w:ascii="Times New Roman" w:hAnsi="Times New Roman" w:cs="Times New Roman" w:hint="eastAsia"/>
          <w:sz w:val="24"/>
          <w:szCs w:val="24"/>
        </w:rPr>
        <w:t>资产规模大、历史业绩好</w:t>
      </w:r>
      <w:r w:rsidR="00CA5A4A">
        <w:rPr>
          <w:rFonts w:ascii="Times New Roman" w:hAnsi="Times New Roman" w:cs="Times New Roman" w:hint="eastAsia"/>
          <w:sz w:val="24"/>
          <w:szCs w:val="24"/>
        </w:rPr>
        <w:t>并且是</w:t>
      </w:r>
      <w:r w:rsidR="00566491" w:rsidRPr="00B55D5B">
        <w:rPr>
          <w:rFonts w:ascii="Times New Roman" w:hAnsi="Times New Roman" w:cs="Times New Roman" w:hint="eastAsia"/>
          <w:sz w:val="24"/>
          <w:szCs w:val="24"/>
        </w:rPr>
        <w:t>许多大型投资机构的标的物。这是老一代的做法，新一代</w:t>
      </w:r>
      <w:r>
        <w:rPr>
          <w:rFonts w:ascii="Times New Roman" w:hAnsi="Times New Roman" w:cs="Times New Roman" w:hint="eastAsia"/>
          <w:sz w:val="24"/>
          <w:szCs w:val="24"/>
        </w:rPr>
        <w:t>投资顾问</w:t>
      </w:r>
      <w:r w:rsidR="00566491" w:rsidRPr="00B55D5B">
        <w:rPr>
          <w:rFonts w:ascii="Times New Roman" w:hAnsi="Times New Roman" w:cs="Times New Roman" w:hint="eastAsia"/>
          <w:sz w:val="24"/>
          <w:szCs w:val="24"/>
        </w:rPr>
        <w:t>们呈现出的面貌就完全不同。他们在另类投资的大环境下成长起来，具备专业技能</w:t>
      </w:r>
      <w:r w:rsidR="0052041B" w:rsidRPr="00B55D5B">
        <w:rPr>
          <w:rFonts w:ascii="Times New Roman" w:hAnsi="Times New Roman" w:cs="Times New Roman" w:hint="eastAsia"/>
          <w:sz w:val="24"/>
          <w:szCs w:val="24"/>
        </w:rPr>
        <w:t>来对对冲基金进行深入研究，逐渐完成着由</w:t>
      </w:r>
      <w:r w:rsidR="0052041B" w:rsidRPr="00B55D5B">
        <w:rPr>
          <w:rFonts w:ascii="Times New Roman" w:hAnsi="Times New Roman" w:cs="Times New Roman" w:hint="eastAsia"/>
          <w:sz w:val="24"/>
          <w:szCs w:val="24"/>
        </w:rPr>
        <w:t>FOF</w:t>
      </w:r>
      <w:r w:rsidR="0052041B" w:rsidRPr="00B55D5B">
        <w:rPr>
          <w:rFonts w:ascii="Times New Roman" w:hAnsi="Times New Roman" w:cs="Times New Roman" w:hint="eastAsia"/>
          <w:sz w:val="24"/>
          <w:szCs w:val="24"/>
        </w:rPr>
        <w:t>向直接投资对冲基金的转变。</w:t>
      </w:r>
      <w:r w:rsidR="0052041B" w:rsidRPr="00B55D5B">
        <w:rPr>
          <w:rFonts w:ascii="Times New Roman" w:hAnsi="Times New Roman" w:cs="Times New Roman" w:hint="eastAsia"/>
          <w:sz w:val="24"/>
          <w:szCs w:val="24"/>
        </w:rPr>
        <w:t>2008</w:t>
      </w:r>
      <w:r w:rsidR="0052041B" w:rsidRPr="00B55D5B">
        <w:rPr>
          <w:rFonts w:ascii="Times New Roman" w:hAnsi="Times New Roman" w:cs="Times New Roman" w:hint="eastAsia"/>
          <w:sz w:val="24"/>
          <w:szCs w:val="24"/>
        </w:rPr>
        <w:t>年金融危机后，投资者对</w:t>
      </w:r>
      <w:r>
        <w:rPr>
          <w:rFonts w:ascii="Times New Roman" w:hAnsi="Times New Roman" w:cs="Times New Roman" w:hint="eastAsia"/>
          <w:sz w:val="24"/>
          <w:szCs w:val="24"/>
        </w:rPr>
        <w:t>投资建议报告</w:t>
      </w:r>
      <w:r w:rsidR="0052041B" w:rsidRPr="00B55D5B">
        <w:rPr>
          <w:rFonts w:ascii="Times New Roman" w:hAnsi="Times New Roman" w:cs="Times New Roman" w:hint="eastAsia"/>
          <w:sz w:val="24"/>
          <w:szCs w:val="24"/>
        </w:rPr>
        <w:t>等开始</w:t>
      </w:r>
      <w:proofErr w:type="gramStart"/>
      <w:r w:rsidR="0052041B" w:rsidRPr="00B55D5B">
        <w:rPr>
          <w:rFonts w:ascii="Times New Roman" w:hAnsi="Times New Roman" w:cs="Times New Roman" w:hint="eastAsia"/>
          <w:sz w:val="24"/>
          <w:szCs w:val="24"/>
        </w:rPr>
        <w:t>持更为</w:t>
      </w:r>
      <w:proofErr w:type="gramEnd"/>
      <w:r w:rsidR="0052041B" w:rsidRPr="00B55D5B">
        <w:rPr>
          <w:rFonts w:ascii="Times New Roman" w:hAnsi="Times New Roman" w:cs="Times New Roman" w:hint="eastAsia"/>
          <w:sz w:val="24"/>
          <w:szCs w:val="24"/>
        </w:rPr>
        <w:t>审慎的态度，尽职调查也更用心。</w:t>
      </w:r>
      <w:r w:rsidR="0097064B" w:rsidRPr="00B55D5B">
        <w:rPr>
          <w:rFonts w:ascii="Times New Roman" w:hAnsi="Times New Roman" w:cs="Times New Roman" w:hint="eastAsia"/>
          <w:sz w:val="24"/>
          <w:szCs w:val="24"/>
        </w:rPr>
        <w:t>仔细</w:t>
      </w:r>
      <w:r w:rsidR="0052041B" w:rsidRPr="00B55D5B">
        <w:rPr>
          <w:rFonts w:ascii="Times New Roman" w:hAnsi="Times New Roman" w:cs="Times New Roman" w:hint="eastAsia"/>
          <w:sz w:val="24"/>
          <w:szCs w:val="24"/>
        </w:rPr>
        <w:t>审慎在整个行业中显得更为重要。</w:t>
      </w:r>
    </w:p>
    <w:p w:rsidR="0052041B" w:rsidRPr="00B55D5B" w:rsidRDefault="0052041B"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之所以把对冲基金和</w:t>
      </w:r>
      <w:r w:rsidRPr="00B55D5B">
        <w:rPr>
          <w:rFonts w:ascii="Times New Roman" w:hAnsi="Times New Roman" w:cs="Times New Roman" w:hint="eastAsia"/>
          <w:sz w:val="24"/>
          <w:szCs w:val="24"/>
        </w:rPr>
        <w:t>F</w:t>
      </w:r>
      <w:r w:rsidRPr="00B55D5B">
        <w:rPr>
          <w:rFonts w:ascii="Times New Roman" w:hAnsi="Times New Roman" w:cs="Times New Roman"/>
          <w:sz w:val="24"/>
          <w:szCs w:val="24"/>
        </w:rPr>
        <w:t>OF</w:t>
      </w:r>
      <w:r w:rsidRPr="00B55D5B">
        <w:rPr>
          <w:rFonts w:ascii="Times New Roman" w:hAnsi="Times New Roman" w:cs="Times New Roman" w:hint="eastAsia"/>
          <w:sz w:val="24"/>
          <w:szCs w:val="24"/>
        </w:rPr>
        <w:t>纳入另类投资范畴，是因为相比于只能做多的传统投资工具而言</w:t>
      </w:r>
      <w:r w:rsidR="00315325" w:rsidRPr="00B55D5B">
        <w:rPr>
          <w:rFonts w:ascii="Times New Roman" w:hAnsi="Times New Roman" w:cs="Times New Roman" w:hint="eastAsia"/>
          <w:sz w:val="24"/>
          <w:szCs w:val="24"/>
        </w:rPr>
        <w:t>，</w:t>
      </w:r>
      <w:r w:rsidRPr="00B55D5B">
        <w:rPr>
          <w:rFonts w:ascii="Times New Roman" w:hAnsi="Times New Roman" w:cs="Times New Roman" w:hint="eastAsia"/>
          <w:sz w:val="24"/>
          <w:szCs w:val="24"/>
        </w:rPr>
        <w:t>他们的不同之处在于可以同时做多和做空市场。然而一些初次涉足</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的机构投资者</w:t>
      </w:r>
      <w:r w:rsidR="009A7AC9" w:rsidRPr="00B55D5B">
        <w:rPr>
          <w:rFonts w:ascii="Times New Roman" w:hAnsi="Times New Roman" w:cs="Times New Roman" w:hint="eastAsia"/>
          <w:sz w:val="24"/>
          <w:szCs w:val="24"/>
        </w:rPr>
        <w:t>对其业绩并不感到满意。背后的原因</w:t>
      </w:r>
      <w:r w:rsidR="00AD1932" w:rsidRPr="00B55D5B">
        <w:rPr>
          <w:rFonts w:ascii="Times New Roman" w:hAnsi="Times New Roman" w:cs="Times New Roman" w:hint="eastAsia"/>
          <w:sz w:val="24"/>
          <w:szCs w:val="24"/>
        </w:rPr>
        <w:t>之一</w:t>
      </w:r>
      <w:r w:rsidR="009A7AC9" w:rsidRPr="00B55D5B">
        <w:rPr>
          <w:rFonts w:ascii="Times New Roman" w:hAnsi="Times New Roman" w:cs="Times New Roman" w:hint="eastAsia"/>
          <w:sz w:val="24"/>
          <w:szCs w:val="24"/>
        </w:rPr>
        <w:t>在于指导他们做相应投资者的</w:t>
      </w:r>
      <w:r w:rsidR="002C3C13">
        <w:rPr>
          <w:rFonts w:ascii="Times New Roman" w:hAnsi="Times New Roman" w:cs="Times New Roman" w:hint="eastAsia"/>
          <w:sz w:val="24"/>
          <w:szCs w:val="24"/>
        </w:rPr>
        <w:t>投资咨询机构</w:t>
      </w:r>
      <w:r w:rsidR="009A7AC9" w:rsidRPr="00B55D5B">
        <w:rPr>
          <w:rFonts w:ascii="Times New Roman" w:hAnsi="Times New Roman" w:cs="Times New Roman" w:hint="eastAsia"/>
          <w:sz w:val="24"/>
          <w:szCs w:val="24"/>
        </w:rPr>
        <w:t>缺乏对对冲基金行业的充分了解或者是不具备对应的投资技能。这些在审查和挑选对冲基金时要求具备的技能</w:t>
      </w:r>
      <w:proofErr w:type="gramStart"/>
      <w:r w:rsidR="009A7AC9" w:rsidRPr="00B55D5B">
        <w:rPr>
          <w:rFonts w:ascii="Times New Roman" w:hAnsi="Times New Roman" w:cs="Times New Roman" w:hint="eastAsia"/>
          <w:sz w:val="24"/>
          <w:szCs w:val="24"/>
        </w:rPr>
        <w:t>与只能</w:t>
      </w:r>
      <w:proofErr w:type="gramEnd"/>
      <w:r w:rsidR="009A7AC9" w:rsidRPr="00B55D5B">
        <w:rPr>
          <w:rFonts w:ascii="Times New Roman" w:hAnsi="Times New Roman" w:cs="Times New Roman" w:hint="eastAsia"/>
          <w:sz w:val="24"/>
          <w:szCs w:val="24"/>
        </w:rPr>
        <w:t>做多的传统投资完全不同。对冲基金投资策略变化多端，这就要求</w:t>
      </w:r>
      <w:r w:rsidR="002C3C13">
        <w:rPr>
          <w:rFonts w:ascii="Times New Roman" w:hAnsi="Times New Roman" w:cs="Times New Roman" w:hint="eastAsia"/>
          <w:sz w:val="24"/>
          <w:szCs w:val="24"/>
        </w:rPr>
        <w:t>投资咨询机构</w:t>
      </w:r>
      <w:r w:rsidR="009A7AC9" w:rsidRPr="00B55D5B">
        <w:rPr>
          <w:rFonts w:ascii="Times New Roman" w:hAnsi="Times New Roman" w:cs="Times New Roman" w:hint="eastAsia"/>
          <w:sz w:val="24"/>
          <w:szCs w:val="24"/>
        </w:rPr>
        <w:t>和投资者</w:t>
      </w:r>
      <w:r w:rsidR="00AD1932" w:rsidRPr="00B55D5B">
        <w:rPr>
          <w:rFonts w:ascii="Times New Roman" w:hAnsi="Times New Roman" w:cs="Times New Roman" w:hint="eastAsia"/>
          <w:sz w:val="24"/>
          <w:szCs w:val="24"/>
        </w:rPr>
        <w:t>都赶上其发展速度。原因之二大概是</w:t>
      </w:r>
      <w:r w:rsidR="00AD1932" w:rsidRPr="00B55D5B">
        <w:rPr>
          <w:rFonts w:ascii="Times New Roman" w:hAnsi="Times New Roman" w:cs="Times New Roman" w:hint="eastAsia"/>
          <w:sz w:val="24"/>
          <w:szCs w:val="24"/>
        </w:rPr>
        <w:t>FOF</w:t>
      </w:r>
      <w:r w:rsidR="00AD1932" w:rsidRPr="00B55D5B">
        <w:rPr>
          <w:rFonts w:ascii="Times New Roman" w:hAnsi="Times New Roman" w:cs="Times New Roman" w:hint="eastAsia"/>
          <w:sz w:val="24"/>
          <w:szCs w:val="24"/>
        </w:rPr>
        <w:t>管理人存在的问题了。他们不知道这些初次涉足的机构投资者们想要在所披露的报告中看到什么，也不知道他们需要更为详尽地解释背后的投资策略、资产的流动性、整个投资过程以及投资的展望。</w:t>
      </w:r>
    </w:p>
    <w:p w:rsidR="00AD1932" w:rsidRPr="00B55D5B" w:rsidRDefault="00315325"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但倘若能形成</w:t>
      </w:r>
      <w:r w:rsidR="005C78D8" w:rsidRPr="00B55D5B">
        <w:rPr>
          <w:rFonts w:ascii="Times New Roman" w:hAnsi="Times New Roman" w:cs="Times New Roman" w:hint="eastAsia"/>
          <w:sz w:val="24"/>
          <w:szCs w:val="24"/>
        </w:rPr>
        <w:t>相互沟通</w:t>
      </w:r>
      <w:r w:rsidRPr="00B55D5B">
        <w:rPr>
          <w:rFonts w:ascii="Times New Roman" w:hAnsi="Times New Roman" w:cs="Times New Roman" w:hint="eastAsia"/>
          <w:sz w:val="24"/>
          <w:szCs w:val="24"/>
        </w:rPr>
        <w:t>的模式</w:t>
      </w:r>
      <w:r w:rsidR="002D046E" w:rsidRPr="00B55D5B">
        <w:rPr>
          <w:rFonts w:ascii="Times New Roman" w:hAnsi="Times New Roman" w:cs="Times New Roman" w:hint="eastAsia"/>
          <w:sz w:val="24"/>
          <w:szCs w:val="24"/>
        </w:rPr>
        <w:t>，投资者对管理人的业绩表现、披露的报告以</w:t>
      </w:r>
      <w:r w:rsidR="002D046E" w:rsidRPr="00B55D5B">
        <w:rPr>
          <w:rFonts w:ascii="Times New Roman" w:hAnsi="Times New Roman" w:cs="Times New Roman" w:hint="eastAsia"/>
          <w:sz w:val="24"/>
          <w:szCs w:val="24"/>
        </w:rPr>
        <w:lastRenderedPageBreak/>
        <w:t>及费用安排的满意度也会</w:t>
      </w:r>
      <w:r w:rsidR="00301B6A" w:rsidRPr="00B55D5B">
        <w:rPr>
          <w:rFonts w:ascii="Times New Roman" w:hAnsi="Times New Roman" w:cs="Times New Roman" w:hint="eastAsia"/>
          <w:sz w:val="24"/>
          <w:szCs w:val="24"/>
        </w:rPr>
        <w:t>随之</w:t>
      </w:r>
      <w:r w:rsidR="002D046E" w:rsidRPr="00B55D5B">
        <w:rPr>
          <w:rFonts w:ascii="Times New Roman" w:hAnsi="Times New Roman" w:cs="Times New Roman" w:hint="eastAsia"/>
          <w:sz w:val="24"/>
          <w:szCs w:val="24"/>
        </w:rPr>
        <w:t>提升</w:t>
      </w:r>
      <w:r w:rsidR="005C78D8" w:rsidRPr="00B55D5B">
        <w:rPr>
          <w:rFonts w:ascii="Times New Roman" w:hAnsi="Times New Roman" w:cs="Times New Roman" w:hint="eastAsia"/>
          <w:sz w:val="24"/>
          <w:szCs w:val="24"/>
        </w:rPr>
        <w:t>。</w:t>
      </w:r>
    </w:p>
    <w:p w:rsidR="003E31B7" w:rsidRPr="00B55D5B" w:rsidRDefault="00ED3568" w:rsidP="004227DD">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hint="eastAsia"/>
          <w:b/>
          <w:sz w:val="24"/>
          <w:szCs w:val="24"/>
        </w:rPr>
        <w:t>关于投资顾问</w:t>
      </w:r>
    </w:p>
    <w:p w:rsidR="00ED3568" w:rsidRPr="00B55D5B" w:rsidRDefault="002C3C13" w:rsidP="008A0E5D">
      <w:pPr>
        <w:spacing w:beforeLines="50" w:before="156" w:afterLines="50" w:after="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投资顾问</w:t>
      </w:r>
      <w:r w:rsidR="00ED3568" w:rsidRPr="00B55D5B">
        <w:rPr>
          <w:rFonts w:ascii="Times New Roman" w:hAnsi="Times New Roman" w:cs="Times New Roman" w:hint="eastAsia"/>
          <w:sz w:val="24"/>
          <w:szCs w:val="24"/>
        </w:rPr>
        <w:t>们</w:t>
      </w:r>
      <w:r w:rsidR="00786A2C" w:rsidRPr="00B55D5B">
        <w:rPr>
          <w:rFonts w:ascii="Times New Roman" w:hAnsi="Times New Roman" w:cs="Times New Roman" w:hint="eastAsia"/>
          <w:sz w:val="24"/>
          <w:szCs w:val="24"/>
        </w:rPr>
        <w:t>不仅在当前和近期内面临挑战，在将来</w:t>
      </w:r>
      <w:r w:rsidR="00065670" w:rsidRPr="00B55D5B">
        <w:rPr>
          <w:rFonts w:ascii="Times New Roman" w:hAnsi="Times New Roman" w:cs="Times New Roman" w:hint="eastAsia"/>
          <w:sz w:val="24"/>
          <w:szCs w:val="24"/>
        </w:rPr>
        <w:t>很长一段时期内</w:t>
      </w:r>
      <w:r w:rsidR="00786A2C" w:rsidRPr="00B55D5B">
        <w:rPr>
          <w:rFonts w:ascii="Times New Roman" w:hAnsi="Times New Roman" w:cs="Times New Roman" w:hint="eastAsia"/>
          <w:sz w:val="24"/>
          <w:szCs w:val="24"/>
        </w:rPr>
        <w:t>也同样如此。对于他们来说，当前的挑战来源于投资对冲基金所面临的</w:t>
      </w:r>
      <w:r w:rsidR="00065670" w:rsidRPr="00B55D5B">
        <w:rPr>
          <w:rFonts w:ascii="Times New Roman" w:hAnsi="Times New Roman" w:cs="Times New Roman" w:hint="eastAsia"/>
          <w:sz w:val="24"/>
          <w:szCs w:val="24"/>
        </w:rPr>
        <w:t>风险。同时，他们还必须向其客户普及关于对冲基金风险与收益的知识；</w:t>
      </w:r>
      <w:r w:rsidR="00786A2C" w:rsidRPr="00B55D5B">
        <w:rPr>
          <w:rFonts w:ascii="Times New Roman" w:hAnsi="Times New Roman" w:cs="Times New Roman" w:hint="eastAsia"/>
          <w:sz w:val="24"/>
          <w:szCs w:val="24"/>
        </w:rPr>
        <w:t>而</w:t>
      </w:r>
      <w:r w:rsidR="00065670" w:rsidRPr="00B55D5B">
        <w:rPr>
          <w:rFonts w:ascii="Times New Roman" w:hAnsi="Times New Roman" w:cs="Times New Roman" w:hint="eastAsia"/>
          <w:sz w:val="24"/>
          <w:szCs w:val="24"/>
        </w:rPr>
        <w:t>需要对对冲基金及其策略进行深入研究是他们</w:t>
      </w:r>
      <w:r w:rsidR="00786A2C" w:rsidRPr="00B55D5B">
        <w:rPr>
          <w:rFonts w:ascii="Times New Roman" w:hAnsi="Times New Roman" w:cs="Times New Roman" w:hint="eastAsia"/>
          <w:sz w:val="24"/>
          <w:szCs w:val="24"/>
        </w:rPr>
        <w:t>在近期内的第二大</w:t>
      </w:r>
      <w:r w:rsidR="00065670" w:rsidRPr="00B55D5B">
        <w:rPr>
          <w:rFonts w:ascii="Times New Roman" w:hAnsi="Times New Roman" w:cs="Times New Roman" w:hint="eastAsia"/>
          <w:sz w:val="24"/>
          <w:szCs w:val="24"/>
        </w:rPr>
        <w:t>挑战</w:t>
      </w:r>
      <w:r w:rsidR="00786A2C" w:rsidRPr="00B55D5B">
        <w:rPr>
          <w:rFonts w:ascii="Times New Roman" w:hAnsi="Times New Roman" w:cs="Times New Roman" w:hint="eastAsia"/>
          <w:sz w:val="24"/>
          <w:szCs w:val="24"/>
        </w:rPr>
        <w:t>。这使得很多</w:t>
      </w:r>
      <w:r>
        <w:rPr>
          <w:rFonts w:ascii="Times New Roman" w:hAnsi="Times New Roman" w:cs="Times New Roman" w:hint="eastAsia"/>
          <w:sz w:val="24"/>
          <w:szCs w:val="24"/>
        </w:rPr>
        <w:t>投资顾问</w:t>
      </w:r>
      <w:r w:rsidR="00786A2C" w:rsidRPr="00B55D5B">
        <w:rPr>
          <w:rFonts w:ascii="Times New Roman" w:hAnsi="Times New Roman" w:cs="Times New Roman" w:hint="eastAsia"/>
          <w:sz w:val="24"/>
          <w:szCs w:val="24"/>
        </w:rPr>
        <w:t>们直接将</w:t>
      </w:r>
      <w:r w:rsidR="006737ED" w:rsidRPr="00B55D5B">
        <w:rPr>
          <w:rFonts w:ascii="Times New Roman" w:hAnsi="Times New Roman" w:cs="Times New Roman" w:hint="eastAsia"/>
          <w:sz w:val="24"/>
          <w:szCs w:val="24"/>
        </w:rPr>
        <w:t>背后拥有强大研究团队并由</w:t>
      </w:r>
      <w:r w:rsidR="00065670" w:rsidRPr="00B55D5B">
        <w:rPr>
          <w:rFonts w:ascii="Times New Roman" w:hAnsi="Times New Roman" w:cs="Times New Roman" w:hint="eastAsia"/>
          <w:sz w:val="24"/>
          <w:szCs w:val="24"/>
        </w:rPr>
        <w:t>大型基金管理人</w:t>
      </w:r>
      <w:r w:rsidR="006737ED" w:rsidRPr="00B55D5B">
        <w:rPr>
          <w:rFonts w:ascii="Times New Roman" w:hAnsi="Times New Roman" w:cs="Times New Roman" w:hint="eastAsia"/>
          <w:sz w:val="24"/>
          <w:szCs w:val="24"/>
        </w:rPr>
        <w:t>所管理的</w:t>
      </w:r>
      <w:r w:rsidR="006737ED" w:rsidRPr="00B55D5B">
        <w:rPr>
          <w:rFonts w:ascii="Times New Roman" w:hAnsi="Times New Roman" w:cs="Times New Roman" w:hint="eastAsia"/>
          <w:sz w:val="24"/>
          <w:szCs w:val="24"/>
        </w:rPr>
        <w:t>FOF</w:t>
      </w:r>
      <w:r w:rsidR="006737ED" w:rsidRPr="00B55D5B">
        <w:rPr>
          <w:rFonts w:ascii="Times New Roman" w:hAnsi="Times New Roman" w:cs="Times New Roman" w:hint="eastAsia"/>
          <w:sz w:val="24"/>
          <w:szCs w:val="24"/>
        </w:rPr>
        <w:t>作为投资对象。</w:t>
      </w:r>
    </w:p>
    <w:p w:rsidR="006737ED" w:rsidRPr="00B55D5B" w:rsidRDefault="00747AF7" w:rsidP="008A0E5D">
      <w:pPr>
        <w:spacing w:beforeLines="50" w:before="156" w:afterLines="50" w:after="156" w:line="360" w:lineRule="auto"/>
        <w:ind w:firstLineChars="200" w:firstLine="480"/>
        <w:rPr>
          <w:rFonts w:ascii="Times New Roman" w:hAnsi="Times New Roman" w:cs="Times New Roman"/>
          <w:sz w:val="24"/>
          <w:szCs w:val="24"/>
        </w:rPr>
      </w:pPr>
      <w:proofErr w:type="spellStart"/>
      <w:r w:rsidRPr="00B55D5B">
        <w:rPr>
          <w:rFonts w:ascii="Times New Roman" w:hAnsi="Times New Roman" w:cs="Times New Roman" w:hint="eastAsia"/>
          <w:sz w:val="24"/>
          <w:szCs w:val="24"/>
        </w:rPr>
        <w:t>Clearbook</w:t>
      </w:r>
      <w:proofErr w:type="spellEnd"/>
      <w:r w:rsidR="002C3C13">
        <w:rPr>
          <w:rFonts w:ascii="Times New Roman" w:hAnsi="Times New Roman" w:cs="Times New Roman"/>
          <w:sz w:val="24"/>
          <w:szCs w:val="24"/>
        </w:rPr>
        <w:t>投资咨询</w:t>
      </w:r>
      <w:r w:rsidR="00CA5A4A">
        <w:rPr>
          <w:rFonts w:ascii="Times New Roman" w:hAnsi="Times New Roman" w:cs="Times New Roman" w:hint="eastAsia"/>
          <w:sz w:val="24"/>
          <w:szCs w:val="24"/>
        </w:rPr>
        <w:t>公司</w:t>
      </w:r>
      <w:r w:rsidR="006737ED" w:rsidRPr="00B55D5B">
        <w:rPr>
          <w:rFonts w:ascii="Times New Roman" w:hAnsi="Times New Roman" w:cs="Times New Roman"/>
          <w:sz w:val="24"/>
          <w:szCs w:val="24"/>
        </w:rPr>
        <w:t>（</w:t>
      </w:r>
      <w:proofErr w:type="spellStart"/>
      <w:r w:rsidR="006737ED" w:rsidRPr="00B55D5B">
        <w:rPr>
          <w:rFonts w:ascii="Times New Roman" w:hAnsi="Times New Roman" w:cs="Times New Roman"/>
          <w:sz w:val="24"/>
          <w:szCs w:val="24"/>
        </w:rPr>
        <w:t>Clearbook</w:t>
      </w:r>
      <w:proofErr w:type="spellEnd"/>
      <w:r w:rsidR="006737ED" w:rsidRPr="00B55D5B">
        <w:rPr>
          <w:rFonts w:ascii="Times New Roman" w:hAnsi="Times New Roman" w:cs="Times New Roman"/>
          <w:sz w:val="24"/>
          <w:szCs w:val="24"/>
        </w:rPr>
        <w:t xml:space="preserve"> Investment Consulting</w:t>
      </w:r>
      <w:r w:rsidR="006737ED" w:rsidRPr="00B55D5B">
        <w:rPr>
          <w:rFonts w:ascii="Times New Roman" w:hAnsi="Times New Roman" w:cs="Times New Roman"/>
          <w:sz w:val="24"/>
          <w:szCs w:val="24"/>
        </w:rPr>
        <w:t>）的布鲁斯</w:t>
      </w:r>
      <w:r w:rsidR="006737ED" w:rsidRPr="00B55D5B">
        <w:rPr>
          <w:rFonts w:ascii="Times New Roman" w:hAnsi="Times New Roman" w:cs="Times New Roman"/>
          <w:sz w:val="24"/>
          <w:szCs w:val="24"/>
        </w:rPr>
        <w:t>•</w:t>
      </w:r>
      <w:r w:rsidR="006737ED" w:rsidRPr="00B55D5B">
        <w:rPr>
          <w:rFonts w:ascii="Times New Roman" w:hAnsi="Times New Roman" w:cs="Times New Roman"/>
          <w:sz w:val="24"/>
          <w:szCs w:val="24"/>
        </w:rPr>
        <w:t>格雷汉姆</w:t>
      </w:r>
      <w:r w:rsidR="006737ED" w:rsidRPr="00B55D5B">
        <w:rPr>
          <w:rFonts w:ascii="Times New Roman" w:hAnsi="Times New Roman" w:cs="Times New Roman"/>
          <w:sz w:val="24"/>
          <w:szCs w:val="24"/>
        </w:rPr>
        <w:t xml:space="preserve"> </w:t>
      </w:r>
      <w:r w:rsidR="006737ED" w:rsidRPr="00B55D5B">
        <w:rPr>
          <w:rFonts w:ascii="Times New Roman" w:hAnsi="Times New Roman" w:cs="Times New Roman"/>
          <w:sz w:val="24"/>
          <w:szCs w:val="24"/>
        </w:rPr>
        <w:t>（</w:t>
      </w:r>
      <w:r w:rsidR="006737ED" w:rsidRPr="00B55D5B">
        <w:rPr>
          <w:rFonts w:ascii="Times New Roman" w:hAnsi="Times New Roman" w:cs="Times New Roman"/>
          <w:sz w:val="24"/>
          <w:szCs w:val="24"/>
        </w:rPr>
        <w:t>Bruce Graham</w:t>
      </w:r>
      <w:r w:rsidR="006737ED" w:rsidRPr="00B55D5B">
        <w:rPr>
          <w:rFonts w:ascii="Times New Roman" w:hAnsi="Times New Roman" w:cs="Times New Roman"/>
          <w:sz w:val="24"/>
          <w:szCs w:val="24"/>
        </w:rPr>
        <w:t>）常年与养老</w:t>
      </w:r>
      <w:r w:rsidR="006737ED" w:rsidRPr="00B55D5B">
        <w:rPr>
          <w:rFonts w:ascii="Times New Roman" w:hAnsi="Times New Roman" w:cs="Times New Roman" w:hint="eastAsia"/>
          <w:sz w:val="24"/>
          <w:szCs w:val="24"/>
        </w:rPr>
        <w:t>金</w:t>
      </w:r>
      <w:r w:rsidR="006737ED" w:rsidRPr="00B55D5B">
        <w:rPr>
          <w:rFonts w:ascii="Times New Roman" w:hAnsi="Times New Roman" w:cs="Times New Roman"/>
          <w:sz w:val="24"/>
          <w:szCs w:val="24"/>
        </w:rPr>
        <w:t>计划、</w:t>
      </w:r>
      <w:r w:rsidR="006737ED" w:rsidRPr="00B55D5B">
        <w:rPr>
          <w:rFonts w:ascii="Times New Roman" w:hAnsi="Times New Roman" w:cs="Times New Roman" w:hint="eastAsia"/>
          <w:sz w:val="24"/>
          <w:szCs w:val="24"/>
        </w:rPr>
        <w:t>捐赠基金</w:t>
      </w:r>
      <w:r w:rsidR="006737ED" w:rsidRPr="00B55D5B">
        <w:rPr>
          <w:rFonts w:ascii="Times New Roman" w:hAnsi="Times New Roman" w:cs="Times New Roman"/>
          <w:sz w:val="24"/>
          <w:szCs w:val="24"/>
        </w:rPr>
        <w:t>和</w:t>
      </w:r>
      <w:r w:rsidR="006737ED" w:rsidRPr="00B55D5B">
        <w:rPr>
          <w:rFonts w:ascii="Times New Roman" w:hAnsi="Times New Roman" w:cs="Times New Roman" w:hint="eastAsia"/>
          <w:sz w:val="24"/>
          <w:szCs w:val="24"/>
        </w:rPr>
        <w:t>基金会</w:t>
      </w:r>
      <w:r w:rsidR="006737ED" w:rsidRPr="00B55D5B">
        <w:rPr>
          <w:rFonts w:ascii="Times New Roman" w:hAnsi="Times New Roman" w:cs="Times New Roman"/>
          <w:sz w:val="24"/>
          <w:szCs w:val="24"/>
        </w:rPr>
        <w:t>保持</w:t>
      </w:r>
      <w:r w:rsidR="006737ED" w:rsidRPr="00B55D5B">
        <w:rPr>
          <w:rFonts w:ascii="Times New Roman" w:hAnsi="Times New Roman" w:cs="Times New Roman" w:hint="eastAsia"/>
          <w:sz w:val="24"/>
          <w:szCs w:val="24"/>
        </w:rPr>
        <w:t>着</w:t>
      </w:r>
      <w:r w:rsidR="006737ED" w:rsidRPr="00B55D5B">
        <w:rPr>
          <w:rFonts w:ascii="Times New Roman" w:hAnsi="Times New Roman" w:cs="Times New Roman"/>
          <w:sz w:val="24"/>
          <w:szCs w:val="24"/>
        </w:rPr>
        <w:t>合作</w:t>
      </w:r>
      <w:r w:rsidR="006737ED" w:rsidRPr="00B55D5B">
        <w:rPr>
          <w:rFonts w:ascii="Times New Roman" w:hAnsi="Times New Roman" w:cs="Times New Roman" w:hint="eastAsia"/>
          <w:sz w:val="24"/>
          <w:szCs w:val="24"/>
        </w:rPr>
        <w:t>。他认为客户的专业水平是使得他们认可对冲基金的重要前提条件。“对于基金会和捐</w:t>
      </w:r>
      <w:r w:rsidR="00786A2C" w:rsidRPr="00B55D5B">
        <w:rPr>
          <w:rFonts w:ascii="Times New Roman" w:hAnsi="Times New Roman" w:cs="Times New Roman" w:hint="eastAsia"/>
          <w:sz w:val="24"/>
          <w:szCs w:val="24"/>
        </w:rPr>
        <w:t>赠基金来说需要一年的时间来搭建这个过程，但对于大型养老金计划至少要</w:t>
      </w:r>
      <w:r w:rsidR="006737ED" w:rsidRPr="00B55D5B">
        <w:rPr>
          <w:rFonts w:ascii="Times New Roman" w:hAnsi="Times New Roman" w:cs="Times New Roman" w:hint="eastAsia"/>
          <w:sz w:val="24"/>
          <w:szCs w:val="24"/>
        </w:rPr>
        <w:t>两到三年。”他如是说到，“</w:t>
      </w:r>
      <w:r w:rsidR="00237D4E" w:rsidRPr="00B55D5B">
        <w:rPr>
          <w:rFonts w:ascii="Times New Roman" w:hAnsi="Times New Roman" w:cs="Times New Roman" w:hint="eastAsia"/>
          <w:sz w:val="24"/>
          <w:szCs w:val="24"/>
        </w:rPr>
        <w:t>虽然时间耗费长，但若想要他们涉足到对冲基金的投资，我们别无选择。</w:t>
      </w:r>
      <w:r w:rsidR="006737ED" w:rsidRPr="00B55D5B">
        <w:rPr>
          <w:rFonts w:ascii="Times New Roman" w:hAnsi="Times New Roman" w:cs="Times New Roman" w:hint="eastAsia"/>
          <w:sz w:val="24"/>
          <w:szCs w:val="24"/>
        </w:rPr>
        <w:t>”</w:t>
      </w:r>
    </w:p>
    <w:p w:rsidR="00237D4E" w:rsidRPr="00B55D5B" w:rsidRDefault="00237D4E"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然而，</w:t>
      </w:r>
      <w:r w:rsidRPr="00B55D5B">
        <w:rPr>
          <w:rFonts w:ascii="Times New Roman" w:hAnsi="Times New Roman" w:cs="Times New Roman"/>
          <w:sz w:val="24"/>
          <w:szCs w:val="24"/>
        </w:rPr>
        <w:t>格雷汉姆</w:t>
      </w:r>
      <w:r w:rsidRPr="00B55D5B">
        <w:rPr>
          <w:rFonts w:ascii="Times New Roman" w:hAnsi="Times New Roman" w:cs="Times New Roman" w:hint="eastAsia"/>
          <w:sz w:val="24"/>
          <w:szCs w:val="24"/>
        </w:rPr>
        <w:t>与其机构投资者之间仅限于一些电话交流和三小时的中期会议；并且其中关于对冲基金的投资交流只占有很小一部分。尽管面临着一系列的问题诸如时间的挑战、投资者缺乏经验</w:t>
      </w:r>
      <w:r w:rsidR="00E86819" w:rsidRPr="00B55D5B">
        <w:rPr>
          <w:rFonts w:ascii="Times New Roman" w:hAnsi="Times New Roman" w:cs="Times New Roman" w:hint="eastAsia"/>
          <w:sz w:val="24"/>
          <w:szCs w:val="24"/>
        </w:rPr>
        <w:t>、急需</w:t>
      </w:r>
      <w:r w:rsidRPr="00B55D5B">
        <w:rPr>
          <w:rFonts w:ascii="Times New Roman" w:hAnsi="Times New Roman" w:cs="Times New Roman" w:hint="eastAsia"/>
          <w:sz w:val="24"/>
          <w:szCs w:val="24"/>
        </w:rPr>
        <w:t>专业知识</w:t>
      </w:r>
      <w:r w:rsidR="00E86819" w:rsidRPr="00B55D5B">
        <w:rPr>
          <w:rFonts w:ascii="Times New Roman" w:hAnsi="Times New Roman" w:cs="Times New Roman" w:hint="eastAsia"/>
          <w:sz w:val="24"/>
          <w:szCs w:val="24"/>
        </w:rPr>
        <w:t>的普及</w:t>
      </w:r>
      <w:r w:rsidRPr="00B55D5B">
        <w:rPr>
          <w:rFonts w:ascii="Times New Roman" w:hAnsi="Times New Roman" w:cs="Times New Roman" w:hint="eastAsia"/>
          <w:sz w:val="24"/>
          <w:szCs w:val="24"/>
        </w:rPr>
        <w:t>等</w:t>
      </w:r>
      <w:r w:rsidR="00E86819" w:rsidRPr="00B55D5B">
        <w:rPr>
          <w:rFonts w:ascii="Times New Roman" w:hAnsi="Times New Roman" w:cs="Times New Roman" w:hint="eastAsia"/>
          <w:sz w:val="24"/>
          <w:szCs w:val="24"/>
        </w:rPr>
        <w:t>，</w:t>
      </w:r>
      <w:r w:rsidR="00E86819" w:rsidRPr="00B55D5B">
        <w:rPr>
          <w:rFonts w:ascii="Times New Roman" w:hAnsi="Times New Roman" w:cs="Times New Roman"/>
          <w:sz w:val="24"/>
          <w:szCs w:val="24"/>
        </w:rPr>
        <w:t>格雷汉姆</w:t>
      </w:r>
      <w:r w:rsidR="00E86819" w:rsidRPr="00B55D5B">
        <w:rPr>
          <w:rFonts w:ascii="Times New Roman" w:hAnsi="Times New Roman" w:cs="Times New Roman" w:hint="eastAsia"/>
          <w:sz w:val="24"/>
          <w:szCs w:val="24"/>
        </w:rPr>
        <w:t>仍常常推荐他的投资者把对冲基金和</w:t>
      </w:r>
      <w:r w:rsidR="00E86819" w:rsidRPr="00B55D5B">
        <w:rPr>
          <w:rFonts w:ascii="Times New Roman" w:hAnsi="Times New Roman" w:cs="Times New Roman" w:hint="eastAsia"/>
          <w:sz w:val="24"/>
          <w:szCs w:val="24"/>
        </w:rPr>
        <w:t>FOF</w:t>
      </w:r>
      <w:r w:rsidR="00E86819" w:rsidRPr="00B55D5B">
        <w:rPr>
          <w:rFonts w:ascii="Times New Roman" w:hAnsi="Times New Roman" w:cs="Times New Roman" w:hint="eastAsia"/>
          <w:sz w:val="24"/>
          <w:szCs w:val="24"/>
        </w:rPr>
        <w:t>作为超额收益来源配置入他们的资产组合中。</w:t>
      </w:r>
    </w:p>
    <w:p w:rsidR="00E86819" w:rsidRPr="00B55D5B" w:rsidRDefault="00905A85"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对所选及预选基金进行后续监测在</w:t>
      </w:r>
      <w:r w:rsidR="00CA5A4A">
        <w:rPr>
          <w:rFonts w:ascii="Times New Roman" w:hAnsi="Times New Roman" w:cs="Times New Roman" w:hint="eastAsia"/>
          <w:sz w:val="24"/>
          <w:szCs w:val="24"/>
        </w:rPr>
        <w:t>投资顾问</w:t>
      </w:r>
      <w:r w:rsidRPr="00B55D5B">
        <w:rPr>
          <w:rFonts w:ascii="Times New Roman" w:hAnsi="Times New Roman" w:cs="Times New Roman" w:hint="eastAsia"/>
          <w:sz w:val="24"/>
          <w:szCs w:val="24"/>
        </w:rPr>
        <w:t>看来也是一件很有挑战的事。其中的</w:t>
      </w:r>
      <w:r w:rsidR="00E86819" w:rsidRPr="00B55D5B">
        <w:rPr>
          <w:rFonts w:ascii="Times New Roman" w:hAnsi="Times New Roman" w:cs="Times New Roman" w:hint="eastAsia"/>
          <w:sz w:val="24"/>
          <w:szCs w:val="24"/>
        </w:rPr>
        <w:t>工作包括将管理层变动、周期业绩报告以及收益的分配及时告知投资者们。也会涉及到一些诸如“为什么基金表现总与市场背道而驰”的问题。站在投资者的角度</w:t>
      </w:r>
      <w:r w:rsidR="00CD27B5" w:rsidRPr="00B55D5B">
        <w:rPr>
          <w:rFonts w:ascii="Times New Roman" w:hAnsi="Times New Roman" w:cs="Times New Roman" w:hint="eastAsia"/>
          <w:sz w:val="24"/>
          <w:szCs w:val="24"/>
        </w:rPr>
        <w:t>，则</w:t>
      </w:r>
      <w:r w:rsidRPr="00B55D5B">
        <w:rPr>
          <w:rFonts w:ascii="Times New Roman" w:hAnsi="Times New Roman" w:cs="Times New Roman" w:hint="eastAsia"/>
          <w:sz w:val="24"/>
          <w:szCs w:val="24"/>
        </w:rPr>
        <w:t>要求他们必须与</w:t>
      </w:r>
      <w:r w:rsidR="00CD27B5" w:rsidRPr="00B55D5B">
        <w:rPr>
          <w:rFonts w:ascii="Times New Roman" w:hAnsi="Times New Roman" w:cs="Times New Roman" w:hint="eastAsia"/>
          <w:sz w:val="24"/>
          <w:szCs w:val="24"/>
        </w:rPr>
        <w:t>对冲基金和</w:t>
      </w:r>
      <w:r w:rsidR="00CD27B5"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管理人定期保持联系。一旦管理人不再</w:t>
      </w:r>
      <w:r w:rsidR="00CD27B5" w:rsidRPr="00B55D5B">
        <w:rPr>
          <w:rFonts w:ascii="Times New Roman" w:hAnsi="Times New Roman" w:cs="Times New Roman" w:hint="eastAsia"/>
          <w:sz w:val="24"/>
          <w:szCs w:val="24"/>
        </w:rPr>
        <w:t>提供相关信息或不情愿开报告会，这种情况下</w:t>
      </w:r>
      <w:r w:rsidRPr="00B55D5B">
        <w:rPr>
          <w:rFonts w:ascii="Times New Roman" w:hAnsi="Times New Roman" w:cs="Times New Roman" w:hint="eastAsia"/>
          <w:sz w:val="24"/>
          <w:szCs w:val="24"/>
        </w:rPr>
        <w:t>他们</w:t>
      </w:r>
      <w:r w:rsidR="00CD27B5" w:rsidRPr="00B55D5B">
        <w:rPr>
          <w:rFonts w:ascii="Times New Roman" w:hAnsi="Times New Roman" w:cs="Times New Roman" w:hint="eastAsia"/>
          <w:sz w:val="24"/>
          <w:szCs w:val="24"/>
        </w:rPr>
        <w:t>应立即赎回投资份额。</w:t>
      </w:r>
      <w:r w:rsidR="006C6343" w:rsidRPr="00B55D5B">
        <w:rPr>
          <w:rFonts w:ascii="Times New Roman" w:hAnsi="Times New Roman" w:cs="Times New Roman" w:hint="eastAsia"/>
          <w:sz w:val="24"/>
          <w:szCs w:val="24"/>
        </w:rPr>
        <w:t>不要去涉足那些宣称自己不愿意讨论投资策略是因为这样做会对资产组合造成风险的基金管理人。总而言之，后续对风险的管理与监控与此前挑选投资标的</w:t>
      </w:r>
      <w:proofErr w:type="gramStart"/>
      <w:r w:rsidR="006C6343" w:rsidRPr="00B55D5B">
        <w:rPr>
          <w:rFonts w:ascii="Times New Roman" w:hAnsi="Times New Roman" w:cs="Times New Roman" w:hint="eastAsia"/>
          <w:sz w:val="24"/>
          <w:szCs w:val="24"/>
        </w:rPr>
        <w:t>的</w:t>
      </w:r>
      <w:proofErr w:type="gramEnd"/>
      <w:r w:rsidR="006C6343" w:rsidRPr="00B55D5B">
        <w:rPr>
          <w:rFonts w:ascii="Times New Roman" w:hAnsi="Times New Roman" w:cs="Times New Roman" w:hint="eastAsia"/>
          <w:sz w:val="24"/>
          <w:szCs w:val="24"/>
        </w:rPr>
        <w:t>过程同等重要。</w:t>
      </w:r>
    </w:p>
    <w:p w:rsidR="006C6343" w:rsidRPr="00B55D5B" w:rsidRDefault="002C3C13" w:rsidP="008A0E5D">
      <w:pPr>
        <w:spacing w:beforeLines="50" w:before="156" w:afterLines="50" w:after="156"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投资顾问</w:t>
      </w:r>
      <w:r w:rsidR="006C6343" w:rsidRPr="00B55D5B">
        <w:rPr>
          <w:rFonts w:ascii="Times New Roman" w:hAnsi="Times New Roman" w:cs="Times New Roman" w:hint="eastAsia"/>
          <w:sz w:val="24"/>
          <w:szCs w:val="24"/>
        </w:rPr>
        <w:t>们在与客户交流沟通的过程中应保持积极主动的态度。他们必须</w:t>
      </w:r>
      <w:r w:rsidR="002F280A" w:rsidRPr="00B55D5B">
        <w:rPr>
          <w:rFonts w:ascii="Times New Roman" w:hAnsi="Times New Roman" w:cs="Times New Roman"/>
          <w:sz w:val="24"/>
          <w:szCs w:val="24"/>
        </w:rPr>
        <w:t>对</w:t>
      </w:r>
      <w:r w:rsidR="002F280A" w:rsidRPr="00B55D5B">
        <w:rPr>
          <w:rFonts w:ascii="Times New Roman" w:hAnsi="Times New Roman" w:cs="Times New Roman" w:hint="eastAsia"/>
          <w:sz w:val="24"/>
          <w:szCs w:val="24"/>
        </w:rPr>
        <w:lastRenderedPageBreak/>
        <w:t>客户随时可能涉及</w:t>
      </w:r>
      <w:r w:rsidR="002F280A" w:rsidRPr="00B55D5B">
        <w:rPr>
          <w:rFonts w:ascii="Times New Roman" w:hAnsi="Times New Roman" w:cs="Times New Roman"/>
          <w:sz w:val="24"/>
          <w:szCs w:val="24"/>
        </w:rPr>
        <w:t>的问题有所预料，</w:t>
      </w:r>
      <w:r w:rsidR="002F280A" w:rsidRPr="00B55D5B">
        <w:rPr>
          <w:rFonts w:ascii="Times New Roman" w:hAnsi="Times New Roman" w:cs="Times New Roman" w:hint="eastAsia"/>
          <w:sz w:val="24"/>
          <w:szCs w:val="24"/>
        </w:rPr>
        <w:t>并确保自己能对答如流。更为重要的是，</w:t>
      </w:r>
      <w:r w:rsidR="002D6E76" w:rsidRPr="00B55D5B">
        <w:rPr>
          <w:rFonts w:ascii="Times New Roman" w:hAnsi="Times New Roman" w:cs="Times New Roman" w:hint="eastAsia"/>
          <w:sz w:val="24"/>
          <w:szCs w:val="24"/>
        </w:rPr>
        <w:t>一旦投资结果没有达到投资者预期，他们必须为此有应对方案</w:t>
      </w:r>
      <w:r w:rsidR="002F280A" w:rsidRPr="00B55D5B">
        <w:rPr>
          <w:rFonts w:ascii="Times New Roman" w:hAnsi="Times New Roman" w:cs="Times New Roman" w:hint="eastAsia"/>
          <w:sz w:val="24"/>
          <w:szCs w:val="24"/>
        </w:rPr>
        <w:t>。</w:t>
      </w:r>
    </w:p>
    <w:p w:rsidR="003E31B7" w:rsidRPr="00B55D5B" w:rsidRDefault="002578B7" w:rsidP="003E31B7">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hint="eastAsia"/>
          <w:b/>
          <w:sz w:val="24"/>
          <w:szCs w:val="24"/>
        </w:rPr>
        <w:t>知识的普及</w:t>
      </w:r>
    </w:p>
    <w:p w:rsidR="002578B7" w:rsidRPr="00B55D5B" w:rsidRDefault="002578B7"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知识的普及过程非常重要。现今的分散化投资组合中纳入的不再仅仅是股票和债券等传统金融工具，而是正在迅速发展的新型金融工具，比如衍生品、信用违约互换或者是证券贷款工具（</w:t>
      </w:r>
      <w:r w:rsidRPr="00B55D5B">
        <w:rPr>
          <w:rFonts w:ascii="Times New Roman" w:hAnsi="Times New Roman" w:cs="Times New Roman" w:hint="eastAsia"/>
          <w:sz w:val="24"/>
          <w:szCs w:val="24"/>
        </w:rPr>
        <w:t>TALF</w:t>
      </w:r>
      <w:r w:rsidRPr="00B55D5B">
        <w:rPr>
          <w:rFonts w:ascii="Times New Roman" w:hAnsi="Times New Roman" w:cs="Times New Roman" w:hint="eastAsia"/>
          <w:sz w:val="24"/>
          <w:szCs w:val="24"/>
        </w:rPr>
        <w:t>）。要能知道资金的具体流向，投资者需要去学习的还很多。如今我们都身处</w:t>
      </w:r>
      <w:r w:rsidRPr="00B55D5B">
        <w:rPr>
          <w:rFonts w:ascii="Times New Roman" w:hAnsi="Times New Roman" w:cs="Times New Roman" w:hint="eastAsia"/>
          <w:sz w:val="24"/>
          <w:szCs w:val="24"/>
        </w:rPr>
        <w:t>24</w:t>
      </w:r>
      <w:r w:rsidRPr="00B55D5B">
        <w:rPr>
          <w:rFonts w:ascii="Times New Roman" w:hAnsi="Times New Roman" w:cs="Times New Roman" w:hint="eastAsia"/>
          <w:sz w:val="24"/>
          <w:szCs w:val="24"/>
        </w:rPr>
        <w:t>小时不间断的全球市场之中，投资者需要随时做好风险防范工作</w:t>
      </w:r>
      <w:r w:rsidR="00990EFA" w:rsidRPr="00B55D5B">
        <w:rPr>
          <w:rFonts w:ascii="Times New Roman" w:hAnsi="Times New Roman" w:cs="Times New Roman" w:hint="eastAsia"/>
          <w:sz w:val="24"/>
          <w:szCs w:val="24"/>
        </w:rPr>
        <w:t>。</w:t>
      </w:r>
      <w:r w:rsidRPr="00B55D5B">
        <w:rPr>
          <w:rFonts w:ascii="Times New Roman" w:hAnsi="Times New Roman" w:cs="Times New Roman" w:hint="eastAsia"/>
          <w:sz w:val="24"/>
          <w:szCs w:val="24"/>
        </w:rPr>
        <w:t>2007</w:t>
      </w:r>
      <w:r w:rsidRPr="00B55D5B">
        <w:rPr>
          <w:rFonts w:ascii="Times New Roman" w:hAnsi="Times New Roman" w:cs="Times New Roman" w:hint="eastAsia"/>
          <w:sz w:val="24"/>
          <w:szCs w:val="24"/>
        </w:rPr>
        <w:t>年到</w:t>
      </w:r>
      <w:r w:rsidRPr="00B55D5B">
        <w:rPr>
          <w:rFonts w:ascii="Times New Roman" w:hAnsi="Times New Roman" w:cs="Times New Roman" w:hint="eastAsia"/>
          <w:sz w:val="24"/>
          <w:szCs w:val="24"/>
        </w:rPr>
        <w:t>2008</w:t>
      </w:r>
      <w:r w:rsidR="00905A85" w:rsidRPr="00B55D5B">
        <w:rPr>
          <w:rFonts w:ascii="Times New Roman" w:hAnsi="Times New Roman" w:cs="Times New Roman" w:hint="eastAsia"/>
          <w:sz w:val="24"/>
          <w:szCs w:val="24"/>
        </w:rPr>
        <w:t>年的金融危机警惕我们必须随时保持危机感，因为没有什么不可能发生</w:t>
      </w:r>
      <w:r w:rsidR="00990EFA" w:rsidRPr="00B55D5B">
        <w:rPr>
          <w:rFonts w:ascii="Times New Roman" w:hAnsi="Times New Roman" w:cs="Times New Roman" w:hint="eastAsia"/>
          <w:sz w:val="24"/>
          <w:szCs w:val="24"/>
        </w:rPr>
        <w:t>。在过去两年的时间内，投资者都很受益于他们</w:t>
      </w:r>
      <w:r w:rsidR="002C3C13">
        <w:rPr>
          <w:rFonts w:ascii="Times New Roman" w:hAnsi="Times New Roman" w:cs="Times New Roman" w:hint="eastAsia"/>
          <w:sz w:val="24"/>
          <w:szCs w:val="24"/>
        </w:rPr>
        <w:t>投资顾问</w:t>
      </w:r>
      <w:r w:rsidR="00990EFA" w:rsidRPr="00B55D5B">
        <w:rPr>
          <w:rFonts w:ascii="Times New Roman" w:hAnsi="Times New Roman" w:cs="Times New Roman" w:hint="eastAsia"/>
          <w:sz w:val="24"/>
          <w:szCs w:val="24"/>
        </w:rPr>
        <w:t>们源源不断向他们普及的知识以及在市场波动时为他们提供的技术支持。至于其他投资者，却把时间耗在了寻找新的投资顾问上。</w:t>
      </w:r>
    </w:p>
    <w:p w:rsidR="00990EFA" w:rsidRPr="00B55D5B" w:rsidRDefault="008A0E5D"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在过去数年间，机构投资者为了增加投资回报，对</w:t>
      </w:r>
      <w:r w:rsidR="00990EFA" w:rsidRPr="00B55D5B">
        <w:rPr>
          <w:rFonts w:ascii="Times New Roman" w:hAnsi="Times New Roman" w:cs="Times New Roman" w:hint="eastAsia"/>
          <w:sz w:val="24"/>
          <w:szCs w:val="24"/>
        </w:rPr>
        <w:t>投资顾问在对冲基金领域的投资能力也更为看重。</w:t>
      </w:r>
      <w:r w:rsidR="00FF502C" w:rsidRPr="00B55D5B">
        <w:rPr>
          <w:rFonts w:ascii="Times New Roman" w:hAnsi="Times New Roman" w:cs="Times New Roman" w:hint="eastAsia"/>
          <w:sz w:val="24"/>
          <w:szCs w:val="24"/>
        </w:rPr>
        <w:t>尽管大部分投资顾问近些年都在建议投资房地产和</w:t>
      </w:r>
      <w:proofErr w:type="gramStart"/>
      <w:r w:rsidR="00FF502C" w:rsidRPr="00B55D5B">
        <w:rPr>
          <w:rFonts w:ascii="Times New Roman" w:hAnsi="Times New Roman" w:cs="Times New Roman" w:hint="eastAsia"/>
          <w:sz w:val="24"/>
          <w:szCs w:val="24"/>
        </w:rPr>
        <w:t>私募股</w:t>
      </w:r>
      <w:proofErr w:type="gramEnd"/>
      <w:r w:rsidR="00FF502C" w:rsidRPr="00B55D5B">
        <w:rPr>
          <w:rFonts w:ascii="Times New Roman" w:hAnsi="Times New Roman" w:cs="Times New Roman" w:hint="eastAsia"/>
          <w:sz w:val="24"/>
          <w:szCs w:val="24"/>
        </w:rPr>
        <w:t>权，但在过去的两年间，对冲基金的知识普及以及对其进行深入研究的需求越来越多，无</w:t>
      </w:r>
      <w:r w:rsidR="00C05525" w:rsidRPr="00B55D5B">
        <w:rPr>
          <w:rFonts w:ascii="Times New Roman" w:hAnsi="Times New Roman" w:cs="Times New Roman" w:hint="eastAsia"/>
          <w:sz w:val="24"/>
          <w:szCs w:val="24"/>
        </w:rPr>
        <w:t>疑</w:t>
      </w:r>
      <w:r w:rsidR="00FF502C" w:rsidRPr="00B55D5B">
        <w:rPr>
          <w:rFonts w:ascii="Times New Roman" w:hAnsi="Times New Roman" w:cs="Times New Roman" w:hint="eastAsia"/>
          <w:sz w:val="24"/>
          <w:szCs w:val="24"/>
        </w:rPr>
        <w:t>对投资</w:t>
      </w:r>
      <w:r w:rsidR="00905A85" w:rsidRPr="00B55D5B">
        <w:rPr>
          <w:rFonts w:ascii="Times New Roman" w:hAnsi="Times New Roman" w:cs="Times New Roman" w:hint="eastAsia"/>
          <w:sz w:val="24"/>
          <w:szCs w:val="24"/>
        </w:rPr>
        <w:t>顾问的专业能力也提出来了更高要求。这使得</w:t>
      </w:r>
      <w:r w:rsidR="002C3C13">
        <w:rPr>
          <w:rFonts w:ascii="Times New Roman" w:hAnsi="Times New Roman" w:cs="Times New Roman" w:hint="eastAsia"/>
          <w:sz w:val="24"/>
          <w:szCs w:val="24"/>
        </w:rPr>
        <w:t>投资咨询机构</w:t>
      </w:r>
      <w:r w:rsidR="00905A85" w:rsidRPr="00B55D5B">
        <w:rPr>
          <w:rFonts w:ascii="Times New Roman" w:hAnsi="Times New Roman" w:cs="Times New Roman" w:hint="eastAsia"/>
          <w:sz w:val="24"/>
          <w:szCs w:val="24"/>
        </w:rPr>
        <w:t>大幅裁减传统投资人员，并大幅增加对冲基金专业人士</w:t>
      </w:r>
      <w:r w:rsidR="00FF502C" w:rsidRPr="00B55D5B">
        <w:rPr>
          <w:rFonts w:ascii="Times New Roman" w:hAnsi="Times New Roman" w:cs="Times New Roman" w:hint="eastAsia"/>
          <w:sz w:val="24"/>
          <w:szCs w:val="24"/>
        </w:rPr>
        <w:t>。</w:t>
      </w:r>
    </w:p>
    <w:p w:rsidR="00FF502C" w:rsidRPr="00B55D5B" w:rsidRDefault="002B26CB"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随着机</w:t>
      </w:r>
      <w:r w:rsidR="009B4480" w:rsidRPr="00B55D5B">
        <w:rPr>
          <w:rFonts w:ascii="Times New Roman" w:hAnsi="Times New Roman" w:cs="Times New Roman" w:hint="eastAsia"/>
          <w:sz w:val="24"/>
          <w:szCs w:val="24"/>
        </w:rPr>
        <w:t>构投资者对对冲基金以及其他新的投资产品认可度不断提高，对冲基金</w:t>
      </w:r>
      <w:r w:rsidRPr="00B55D5B">
        <w:rPr>
          <w:rFonts w:ascii="Times New Roman" w:hAnsi="Times New Roman" w:cs="Times New Roman" w:hint="eastAsia"/>
          <w:sz w:val="24"/>
          <w:szCs w:val="24"/>
        </w:rPr>
        <w:t>逐渐进化成新的主流投资工具。但由于其独特的投资策略以及缺乏标准化的披露体系</w:t>
      </w:r>
      <w:r w:rsidR="007C10B3" w:rsidRPr="00B55D5B">
        <w:rPr>
          <w:rFonts w:ascii="Times New Roman" w:hAnsi="Times New Roman" w:cs="Times New Roman" w:hint="eastAsia"/>
          <w:sz w:val="24"/>
          <w:szCs w:val="24"/>
        </w:rPr>
        <w:t>，研究对冲基金相比于传统投资更有难度。</w:t>
      </w:r>
    </w:p>
    <w:p w:rsidR="00C46712" w:rsidRPr="00B55D5B" w:rsidRDefault="00405363"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对冲基金和</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推荐和评估过程中重要的一环就是对投资者的知识普及</w:t>
      </w:r>
      <w:r w:rsidR="009107AC" w:rsidRPr="00B55D5B">
        <w:rPr>
          <w:rFonts w:ascii="Times New Roman" w:hAnsi="Times New Roman" w:cs="Times New Roman" w:hint="eastAsia"/>
          <w:sz w:val="24"/>
          <w:szCs w:val="24"/>
        </w:rPr>
        <w:t>。</w:t>
      </w:r>
      <w:r w:rsidRPr="00B55D5B">
        <w:rPr>
          <w:rFonts w:ascii="Times New Roman" w:hAnsi="Times New Roman" w:cs="Times New Roman" w:hint="eastAsia"/>
          <w:sz w:val="24"/>
          <w:szCs w:val="24"/>
        </w:rPr>
        <w:t>向投资者清楚阐明</w:t>
      </w:r>
      <w:r w:rsidR="009107AC" w:rsidRPr="00B55D5B">
        <w:rPr>
          <w:rFonts w:ascii="Times New Roman" w:hAnsi="Times New Roman" w:cs="Times New Roman" w:hint="eastAsia"/>
          <w:sz w:val="24"/>
          <w:szCs w:val="24"/>
        </w:rPr>
        <w:t>什么是对冲基金在实际中做起来非常有难度。</w:t>
      </w:r>
      <w:r w:rsidR="00C46712" w:rsidRPr="00B55D5B">
        <w:rPr>
          <w:rFonts w:ascii="Times New Roman" w:hAnsi="Times New Roman" w:cs="Times New Roman" w:hint="eastAsia"/>
          <w:sz w:val="24"/>
          <w:szCs w:val="24"/>
        </w:rPr>
        <w:t>因为一旦有投资失败的事件发生，媒体便会对对冲基金业诟病不断，这在一定程度上对投资者造成影响。</w:t>
      </w:r>
    </w:p>
    <w:p w:rsidR="009107AC" w:rsidRPr="00B55D5B" w:rsidRDefault="009B4480"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许多养老金托管机构出于对头条风险的恐惧，</w:t>
      </w:r>
      <w:r w:rsidR="005F6C6D" w:rsidRPr="00B55D5B">
        <w:rPr>
          <w:rFonts w:ascii="Times New Roman" w:hAnsi="Times New Roman" w:cs="Times New Roman" w:hint="eastAsia"/>
          <w:sz w:val="24"/>
          <w:szCs w:val="24"/>
        </w:rPr>
        <w:t>不愿意投资对冲基金。几乎没有哪一家机构愿意花时间来了解对冲基金背后的投资策略和结构。他们不愿意为了</w:t>
      </w:r>
      <w:r w:rsidR="00C46712" w:rsidRPr="00B55D5B">
        <w:rPr>
          <w:rFonts w:ascii="Times New Roman" w:hAnsi="Times New Roman" w:cs="Times New Roman" w:hint="eastAsia"/>
          <w:sz w:val="24"/>
          <w:szCs w:val="24"/>
        </w:rPr>
        <w:t>追求</w:t>
      </w:r>
      <w:r w:rsidR="005F6C6D" w:rsidRPr="00B55D5B">
        <w:rPr>
          <w:rFonts w:ascii="Times New Roman" w:hAnsi="Times New Roman" w:cs="Times New Roman" w:hint="eastAsia"/>
          <w:sz w:val="24"/>
          <w:szCs w:val="24"/>
        </w:rPr>
        <w:t>潜在的</w:t>
      </w:r>
      <w:r w:rsidR="00C46712" w:rsidRPr="00B55D5B">
        <w:rPr>
          <w:rFonts w:ascii="Times New Roman" w:hAnsi="Times New Roman" w:cs="Times New Roman" w:hint="eastAsia"/>
          <w:sz w:val="24"/>
          <w:szCs w:val="24"/>
        </w:rPr>
        <w:t>丰厚</w:t>
      </w:r>
      <w:r w:rsidR="005F6C6D" w:rsidRPr="00B55D5B">
        <w:rPr>
          <w:rFonts w:ascii="Times New Roman" w:hAnsi="Times New Roman" w:cs="Times New Roman" w:hint="eastAsia"/>
          <w:sz w:val="24"/>
          <w:szCs w:val="24"/>
        </w:rPr>
        <w:t>回报</w:t>
      </w:r>
      <w:r w:rsidR="00C46712" w:rsidRPr="00B55D5B">
        <w:rPr>
          <w:rFonts w:ascii="Times New Roman" w:hAnsi="Times New Roman" w:cs="Times New Roman" w:hint="eastAsia"/>
          <w:sz w:val="24"/>
          <w:szCs w:val="24"/>
        </w:rPr>
        <w:t>而</w:t>
      </w:r>
      <w:r w:rsidR="005F6C6D" w:rsidRPr="00B55D5B">
        <w:rPr>
          <w:rFonts w:ascii="Times New Roman" w:hAnsi="Times New Roman" w:cs="Times New Roman" w:hint="eastAsia"/>
          <w:sz w:val="24"/>
          <w:szCs w:val="24"/>
        </w:rPr>
        <w:t>去承担头条风险。</w:t>
      </w:r>
      <w:r w:rsidR="00C46712" w:rsidRPr="00B55D5B">
        <w:rPr>
          <w:rFonts w:ascii="Times New Roman" w:hAnsi="Times New Roman" w:cs="Times New Roman" w:hint="eastAsia"/>
          <w:sz w:val="24"/>
          <w:szCs w:val="24"/>
        </w:rPr>
        <w:t>如果投资顾问在知识普及的过程中老是犯错，最终也会无济于事。在很多案例中我们都发现投资顾问代表常是一些转</w:t>
      </w:r>
      <w:r w:rsidR="00C46712" w:rsidRPr="00B55D5B">
        <w:rPr>
          <w:rFonts w:ascii="Times New Roman" w:hAnsi="Times New Roman" w:cs="Times New Roman" w:hint="eastAsia"/>
          <w:sz w:val="24"/>
          <w:szCs w:val="24"/>
        </w:rPr>
        <w:lastRenderedPageBreak/>
        <w:t>行的野心十足的年轻分析师或销售人员，</w:t>
      </w:r>
      <w:r w:rsidR="006C6BEC" w:rsidRPr="00B55D5B">
        <w:rPr>
          <w:rFonts w:ascii="Times New Roman" w:hAnsi="Times New Roman" w:cs="Times New Roman" w:hint="eastAsia"/>
          <w:sz w:val="24"/>
          <w:szCs w:val="24"/>
        </w:rPr>
        <w:t>并且他们中的大多数都有跳槽的打算。这对投资者和管理人双方无疑都是一个噩梦。资金托管机构无法与这些投资咨询人士搭建起信任的桥梁，后果也就</w:t>
      </w:r>
      <w:r w:rsidR="005365A8" w:rsidRPr="00B55D5B">
        <w:rPr>
          <w:rFonts w:ascii="Times New Roman" w:hAnsi="Times New Roman" w:cs="Times New Roman" w:hint="eastAsia"/>
          <w:sz w:val="24"/>
          <w:szCs w:val="24"/>
        </w:rPr>
        <w:t>可</w:t>
      </w:r>
      <w:r w:rsidR="006C6BEC" w:rsidRPr="00B55D5B">
        <w:rPr>
          <w:rFonts w:ascii="Times New Roman" w:hAnsi="Times New Roman" w:cs="Times New Roman" w:hint="eastAsia"/>
          <w:sz w:val="24"/>
          <w:szCs w:val="24"/>
        </w:rPr>
        <w:t>想而知。保证知识的普及与销售同步开展</w:t>
      </w:r>
      <w:r w:rsidR="00D64A2D" w:rsidRPr="00B55D5B">
        <w:rPr>
          <w:rFonts w:ascii="Times New Roman" w:hAnsi="Times New Roman" w:cs="Times New Roman" w:hint="eastAsia"/>
          <w:sz w:val="24"/>
          <w:szCs w:val="24"/>
        </w:rPr>
        <w:t>有助于延长对潜在投资者的知识普及周期。</w:t>
      </w:r>
    </w:p>
    <w:p w:rsidR="00D64A2D" w:rsidRPr="00B55D5B" w:rsidRDefault="00D64A2D"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“直接投资对冲基金对知识和时机的把握都提出了更高的要求”，</w:t>
      </w:r>
      <w:r w:rsidRPr="00B55D5B">
        <w:rPr>
          <w:rFonts w:ascii="Times New Roman" w:hAnsi="Times New Roman" w:cs="Times New Roman"/>
          <w:sz w:val="24"/>
          <w:szCs w:val="24"/>
        </w:rPr>
        <w:t>莱丽斯</w:t>
      </w:r>
      <w:r w:rsidRPr="00B55D5B">
        <w:rPr>
          <w:rFonts w:ascii="Times New Roman" w:hAnsi="Times New Roman" w:cs="Times New Roman"/>
          <w:sz w:val="24"/>
          <w:szCs w:val="24"/>
        </w:rPr>
        <w:t>•</w:t>
      </w:r>
      <w:r w:rsidRPr="00B55D5B">
        <w:rPr>
          <w:rFonts w:ascii="Times New Roman" w:hAnsi="Times New Roman" w:cs="Times New Roman"/>
          <w:sz w:val="24"/>
          <w:szCs w:val="24"/>
        </w:rPr>
        <w:t>拉尔（</w:t>
      </w:r>
      <w:r w:rsidRPr="00B55D5B">
        <w:rPr>
          <w:rFonts w:ascii="Times New Roman" w:hAnsi="Times New Roman" w:cs="Times New Roman"/>
          <w:sz w:val="24"/>
          <w:szCs w:val="24"/>
        </w:rPr>
        <w:t xml:space="preserve">Leslie </w:t>
      </w:r>
      <w:proofErr w:type="spellStart"/>
      <w:r w:rsidRPr="00B55D5B">
        <w:rPr>
          <w:rFonts w:ascii="Times New Roman" w:hAnsi="Times New Roman" w:cs="Times New Roman"/>
          <w:sz w:val="24"/>
          <w:szCs w:val="24"/>
        </w:rPr>
        <w:t>Rahl</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如是说到，“如果投资者不愿意在这上面花费时间，那他们最好选择投资</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w:t>
      </w:r>
    </w:p>
    <w:p w:rsidR="00D64A2D" w:rsidRPr="00B55D5B" w:rsidRDefault="00D64A2D"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理解对冲基金</w:t>
      </w:r>
      <w:r w:rsidR="009B4480" w:rsidRPr="00B55D5B">
        <w:rPr>
          <w:rFonts w:ascii="Times New Roman" w:hAnsi="Times New Roman" w:cs="Times New Roman" w:hint="eastAsia"/>
          <w:sz w:val="24"/>
          <w:szCs w:val="24"/>
        </w:rPr>
        <w:t>的过程很像理解债券的内在机理。对于大多数投资者，弄懂</w:t>
      </w:r>
      <w:r w:rsidRPr="00B55D5B">
        <w:rPr>
          <w:rFonts w:ascii="Times New Roman" w:hAnsi="Times New Roman" w:cs="Times New Roman" w:hint="eastAsia"/>
          <w:sz w:val="24"/>
          <w:szCs w:val="24"/>
        </w:rPr>
        <w:t>利率、收益率和债券价格三者之间的关系是件很困难的事</w:t>
      </w:r>
      <w:r w:rsidR="00BA2038" w:rsidRPr="00B55D5B">
        <w:rPr>
          <w:rFonts w:ascii="Times New Roman" w:hAnsi="Times New Roman" w:cs="Times New Roman" w:hint="eastAsia"/>
          <w:sz w:val="24"/>
          <w:szCs w:val="24"/>
        </w:rPr>
        <w:t>。债券类刊物上</w:t>
      </w:r>
      <w:r w:rsidRPr="00B55D5B">
        <w:rPr>
          <w:rFonts w:ascii="Times New Roman" w:hAnsi="Times New Roman" w:cs="Times New Roman" w:hint="eastAsia"/>
          <w:sz w:val="24"/>
          <w:szCs w:val="24"/>
        </w:rPr>
        <w:t>经常</w:t>
      </w:r>
      <w:r w:rsidR="00BA2038" w:rsidRPr="00B55D5B">
        <w:rPr>
          <w:rFonts w:ascii="Times New Roman" w:hAnsi="Times New Roman" w:cs="Times New Roman" w:hint="eastAsia"/>
          <w:sz w:val="24"/>
          <w:szCs w:val="24"/>
        </w:rPr>
        <w:t>出现这么</w:t>
      </w:r>
      <w:r w:rsidRPr="00B55D5B">
        <w:rPr>
          <w:rFonts w:ascii="Times New Roman" w:hAnsi="Times New Roman" w:cs="Times New Roman" w:hint="eastAsia"/>
          <w:sz w:val="24"/>
          <w:szCs w:val="24"/>
        </w:rPr>
        <w:t>一句话，“</w:t>
      </w:r>
      <w:r w:rsidR="00BA2038" w:rsidRPr="00B55D5B">
        <w:rPr>
          <w:rFonts w:ascii="Times New Roman" w:hAnsi="Times New Roman" w:cs="Times New Roman" w:hint="eastAsia"/>
          <w:sz w:val="24"/>
          <w:szCs w:val="24"/>
        </w:rPr>
        <w:t>当债券价格上涨时，其收益率在下降</w:t>
      </w:r>
      <w:r w:rsidRPr="00B55D5B">
        <w:rPr>
          <w:rFonts w:ascii="Times New Roman" w:hAnsi="Times New Roman" w:cs="Times New Roman" w:hint="eastAsia"/>
          <w:sz w:val="24"/>
          <w:szCs w:val="24"/>
        </w:rPr>
        <w:t>”</w:t>
      </w:r>
      <w:r w:rsidR="00BA2038" w:rsidRPr="00B55D5B">
        <w:rPr>
          <w:rFonts w:ascii="Times New Roman" w:hAnsi="Times New Roman" w:cs="Times New Roman" w:hint="eastAsia"/>
          <w:sz w:val="24"/>
          <w:szCs w:val="24"/>
        </w:rPr>
        <w:t>。倘若投资者对这句话理解起来都有困难，那就更不用谈对对冲基金的理解了。</w:t>
      </w:r>
      <w:r w:rsidR="00861CA5" w:rsidRPr="00B55D5B">
        <w:rPr>
          <w:rFonts w:ascii="Times New Roman" w:hAnsi="Times New Roman" w:cs="Times New Roman" w:hint="eastAsia"/>
          <w:sz w:val="24"/>
          <w:szCs w:val="24"/>
        </w:rPr>
        <w:t>为了让投资者知道钱去了哪</w:t>
      </w:r>
      <w:r w:rsidR="009B4480" w:rsidRPr="00B55D5B">
        <w:rPr>
          <w:rFonts w:ascii="Times New Roman" w:hAnsi="Times New Roman" w:cs="Times New Roman" w:hint="eastAsia"/>
          <w:sz w:val="24"/>
          <w:szCs w:val="24"/>
        </w:rPr>
        <w:t>里，投资顾问以及公司上上下下都应注重对其进行金融理论的普及，这隶属于</w:t>
      </w:r>
      <w:r w:rsidR="00861CA5" w:rsidRPr="00B55D5B">
        <w:rPr>
          <w:rFonts w:ascii="Times New Roman" w:hAnsi="Times New Roman" w:cs="Times New Roman" w:hint="eastAsia"/>
          <w:sz w:val="24"/>
          <w:szCs w:val="24"/>
        </w:rPr>
        <w:t>他们本职工作的一部分。</w:t>
      </w:r>
    </w:p>
    <w:p w:rsidR="00861CA5" w:rsidRPr="00B55D5B" w:rsidRDefault="00F15144"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在经历了</w:t>
      </w:r>
      <w:r w:rsidRPr="00B55D5B">
        <w:rPr>
          <w:rFonts w:ascii="Times New Roman" w:hAnsi="Times New Roman" w:cs="Times New Roman" w:hint="eastAsia"/>
          <w:sz w:val="24"/>
          <w:szCs w:val="24"/>
        </w:rPr>
        <w:t>2000</w:t>
      </w:r>
      <w:r w:rsidRPr="00B55D5B">
        <w:rPr>
          <w:rFonts w:ascii="Times New Roman" w:hAnsi="Times New Roman" w:cs="Times New Roman" w:hint="eastAsia"/>
          <w:sz w:val="24"/>
          <w:szCs w:val="24"/>
        </w:rPr>
        <w:t>年的科技泡沫和</w:t>
      </w:r>
      <w:r w:rsidRPr="00B55D5B">
        <w:rPr>
          <w:rFonts w:ascii="Times New Roman" w:hAnsi="Times New Roman" w:cs="Times New Roman" w:hint="eastAsia"/>
          <w:sz w:val="24"/>
          <w:szCs w:val="24"/>
        </w:rPr>
        <w:t>2008</w:t>
      </w:r>
      <w:r w:rsidRPr="00B55D5B">
        <w:rPr>
          <w:rFonts w:ascii="Times New Roman" w:hAnsi="Times New Roman" w:cs="Times New Roman" w:hint="eastAsia"/>
          <w:sz w:val="24"/>
          <w:szCs w:val="24"/>
        </w:rPr>
        <w:t>年的金融危机后，资金托管和投资咨询机构逐渐意识到对冲基金在组合资产风险分散方面的优势。</w:t>
      </w:r>
      <w:r w:rsidR="003D00AC" w:rsidRPr="00B55D5B">
        <w:rPr>
          <w:rFonts w:ascii="Times New Roman" w:hAnsi="Times New Roman" w:cs="Times New Roman" w:hint="eastAsia"/>
          <w:sz w:val="24"/>
          <w:szCs w:val="24"/>
        </w:rPr>
        <w:t>实际中</w:t>
      </w:r>
      <w:r w:rsidR="00183418" w:rsidRPr="00B55D5B">
        <w:rPr>
          <w:rFonts w:ascii="Times New Roman" w:hAnsi="Times New Roman" w:cs="Times New Roman" w:hint="eastAsia"/>
          <w:sz w:val="24"/>
          <w:szCs w:val="24"/>
        </w:rPr>
        <w:t>，对冲基金相比于传统投资工具而言在风险管理和增加超额收益方面表现</w:t>
      </w:r>
      <w:r w:rsidR="009B4480" w:rsidRPr="00B55D5B">
        <w:rPr>
          <w:rFonts w:ascii="Times New Roman" w:hAnsi="Times New Roman" w:cs="Times New Roman" w:hint="eastAsia"/>
          <w:sz w:val="24"/>
          <w:szCs w:val="24"/>
        </w:rPr>
        <w:t>得</w:t>
      </w:r>
      <w:r w:rsidR="00183418" w:rsidRPr="00B55D5B">
        <w:rPr>
          <w:rFonts w:ascii="Times New Roman" w:hAnsi="Times New Roman" w:cs="Times New Roman" w:hint="eastAsia"/>
          <w:sz w:val="24"/>
          <w:szCs w:val="24"/>
        </w:rPr>
        <w:t>更好。同时，会计部门在托管机构的报表中把养老金计划作为一项负债核算。既然对冲基金和</w:t>
      </w:r>
      <w:r w:rsidR="00183418" w:rsidRPr="00B55D5B">
        <w:rPr>
          <w:rFonts w:ascii="Times New Roman" w:hAnsi="Times New Roman" w:cs="Times New Roman" w:hint="eastAsia"/>
          <w:sz w:val="24"/>
          <w:szCs w:val="24"/>
        </w:rPr>
        <w:t>FOF</w:t>
      </w:r>
      <w:r w:rsidR="00183418" w:rsidRPr="00B55D5B">
        <w:rPr>
          <w:rFonts w:ascii="Times New Roman" w:hAnsi="Times New Roman" w:cs="Times New Roman" w:hint="eastAsia"/>
          <w:sz w:val="24"/>
          <w:szCs w:val="24"/>
        </w:rPr>
        <w:t>的使用为降低整体资产组合的风险提供了解决方案，</w:t>
      </w:r>
      <w:r w:rsidR="009B4480" w:rsidRPr="00B55D5B">
        <w:rPr>
          <w:rFonts w:ascii="Times New Roman" w:hAnsi="Times New Roman" w:cs="Times New Roman" w:hint="eastAsia"/>
          <w:sz w:val="24"/>
          <w:szCs w:val="24"/>
        </w:rPr>
        <w:t>养老金</w:t>
      </w:r>
      <w:r w:rsidR="00183418" w:rsidRPr="00B55D5B">
        <w:rPr>
          <w:rFonts w:ascii="Times New Roman" w:hAnsi="Times New Roman" w:cs="Times New Roman" w:hint="eastAsia"/>
          <w:sz w:val="24"/>
          <w:szCs w:val="24"/>
        </w:rPr>
        <w:t>计划的发起方当然愿意为其买单。</w:t>
      </w:r>
    </w:p>
    <w:p w:rsidR="00944C9C" w:rsidRPr="00B55D5B" w:rsidRDefault="00AD1EFA"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对冲基金的早期认可者中很多是通过</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接触到这些策略的</w:t>
      </w:r>
      <w:r w:rsidR="00ED35D3" w:rsidRPr="00B55D5B">
        <w:rPr>
          <w:rFonts w:ascii="Times New Roman" w:hAnsi="Times New Roman" w:cs="Times New Roman" w:hint="eastAsia"/>
          <w:sz w:val="24"/>
          <w:szCs w:val="24"/>
        </w:rPr>
        <w:t>，现在他们逐渐转为直接投资对冲基金。目前他们主要是通过与一些利用套利策略的成功对冲基金合作。</w:t>
      </w:r>
      <w:r w:rsidR="00853B82" w:rsidRPr="00B55D5B">
        <w:rPr>
          <w:rFonts w:ascii="Times New Roman" w:hAnsi="Times New Roman" w:cs="Times New Roman" w:hint="eastAsia"/>
          <w:sz w:val="24"/>
          <w:szCs w:val="24"/>
        </w:rPr>
        <w:t>有些</w:t>
      </w:r>
      <w:r w:rsidR="00ED35D3" w:rsidRPr="00B55D5B">
        <w:rPr>
          <w:rFonts w:ascii="Times New Roman" w:hAnsi="Times New Roman" w:cs="Times New Roman"/>
          <w:sz w:val="24"/>
          <w:szCs w:val="24"/>
        </w:rPr>
        <w:t>机构投资者</w:t>
      </w:r>
      <w:r w:rsidR="00853B82" w:rsidRPr="00B55D5B">
        <w:rPr>
          <w:rFonts w:ascii="Times New Roman" w:hAnsi="Times New Roman" w:cs="Times New Roman" w:hint="eastAsia"/>
          <w:sz w:val="24"/>
          <w:szCs w:val="24"/>
        </w:rPr>
        <w:t>选择独自</w:t>
      </w:r>
      <w:r w:rsidR="00853B82" w:rsidRPr="00B55D5B">
        <w:rPr>
          <w:rFonts w:ascii="Times New Roman" w:hAnsi="Times New Roman" w:cs="Times New Roman"/>
          <w:sz w:val="24"/>
          <w:szCs w:val="24"/>
        </w:rPr>
        <w:t>完成投资，</w:t>
      </w:r>
      <w:r w:rsidR="00853B82" w:rsidRPr="00B55D5B">
        <w:rPr>
          <w:rFonts w:ascii="Times New Roman" w:hAnsi="Times New Roman" w:cs="Times New Roman" w:hint="eastAsia"/>
          <w:sz w:val="24"/>
          <w:szCs w:val="24"/>
        </w:rPr>
        <w:t>另一部分</w:t>
      </w:r>
      <w:r w:rsidR="00B2035F" w:rsidRPr="00B55D5B">
        <w:rPr>
          <w:rFonts w:ascii="Times New Roman" w:hAnsi="Times New Roman" w:cs="Times New Roman" w:hint="eastAsia"/>
          <w:sz w:val="24"/>
          <w:szCs w:val="24"/>
        </w:rPr>
        <w:t>则</w:t>
      </w:r>
      <w:r w:rsidR="00853B82" w:rsidRPr="00B55D5B">
        <w:rPr>
          <w:rFonts w:ascii="Times New Roman" w:hAnsi="Times New Roman" w:cs="Times New Roman" w:hint="eastAsia"/>
          <w:sz w:val="24"/>
          <w:szCs w:val="24"/>
        </w:rPr>
        <w:t>是</w:t>
      </w:r>
      <w:r w:rsidR="00ED35D3" w:rsidRPr="00B55D5B">
        <w:rPr>
          <w:rFonts w:ascii="Times New Roman" w:hAnsi="Times New Roman" w:cs="Times New Roman"/>
          <w:sz w:val="24"/>
          <w:szCs w:val="24"/>
        </w:rPr>
        <w:t>通过</w:t>
      </w:r>
      <w:r w:rsidR="00ED35D3" w:rsidRPr="00B55D5B">
        <w:rPr>
          <w:rFonts w:ascii="Times New Roman" w:hAnsi="Times New Roman" w:cs="Times New Roman"/>
          <w:sz w:val="24"/>
          <w:szCs w:val="24"/>
        </w:rPr>
        <w:t>FOF</w:t>
      </w:r>
      <w:r w:rsidR="00ED35D3" w:rsidRPr="00B55D5B">
        <w:rPr>
          <w:rFonts w:ascii="Times New Roman" w:hAnsi="Times New Roman" w:cs="Times New Roman"/>
          <w:sz w:val="24"/>
          <w:szCs w:val="24"/>
        </w:rPr>
        <w:t>来定制个性化的</w:t>
      </w:r>
      <w:r w:rsidR="00853B82" w:rsidRPr="00B55D5B">
        <w:rPr>
          <w:rFonts w:ascii="Times New Roman" w:hAnsi="Times New Roman" w:cs="Times New Roman" w:hint="eastAsia"/>
          <w:sz w:val="24"/>
          <w:szCs w:val="24"/>
        </w:rPr>
        <w:t>投资</w:t>
      </w:r>
      <w:r w:rsidR="00853B82" w:rsidRPr="00B55D5B">
        <w:rPr>
          <w:rFonts w:ascii="Times New Roman" w:hAnsi="Times New Roman" w:cs="Times New Roman"/>
          <w:sz w:val="24"/>
          <w:szCs w:val="24"/>
        </w:rPr>
        <w:t>委托</w:t>
      </w:r>
      <w:r w:rsidR="00ED35D3" w:rsidRPr="00B55D5B">
        <w:rPr>
          <w:rFonts w:ascii="Times New Roman" w:hAnsi="Times New Roman" w:cs="Times New Roman"/>
          <w:sz w:val="24"/>
          <w:szCs w:val="24"/>
        </w:rPr>
        <w:t>与</w:t>
      </w:r>
      <w:r w:rsidR="00ED35D3" w:rsidRPr="00B55D5B">
        <w:rPr>
          <w:rFonts w:ascii="Times New Roman" w:hAnsi="Times New Roman" w:cs="Times New Roman"/>
          <w:sz w:val="24"/>
          <w:szCs w:val="24"/>
        </w:rPr>
        <w:t>FOF</w:t>
      </w:r>
      <w:r w:rsidR="00853B82" w:rsidRPr="00B55D5B">
        <w:rPr>
          <w:rFonts w:ascii="Times New Roman" w:hAnsi="Times New Roman" w:cs="Times New Roman"/>
          <w:sz w:val="24"/>
          <w:szCs w:val="24"/>
        </w:rPr>
        <w:t>经理</w:t>
      </w:r>
      <w:r w:rsidR="00853B82" w:rsidRPr="00B55D5B">
        <w:rPr>
          <w:rFonts w:ascii="Times New Roman" w:hAnsi="Times New Roman" w:cs="Times New Roman" w:hint="eastAsia"/>
          <w:sz w:val="24"/>
          <w:szCs w:val="24"/>
        </w:rPr>
        <w:t>合作完成</w:t>
      </w:r>
      <w:r w:rsidR="00ED35D3" w:rsidRPr="00B55D5B">
        <w:rPr>
          <w:rFonts w:ascii="Times New Roman" w:hAnsi="Times New Roman" w:cs="Times New Roman"/>
          <w:sz w:val="24"/>
          <w:szCs w:val="24"/>
        </w:rPr>
        <w:t>投资，</w:t>
      </w:r>
      <w:r w:rsidR="00853B82" w:rsidRPr="00B55D5B">
        <w:rPr>
          <w:rFonts w:ascii="Times New Roman" w:hAnsi="Times New Roman" w:cs="Times New Roman" w:hint="eastAsia"/>
          <w:sz w:val="24"/>
          <w:szCs w:val="24"/>
        </w:rPr>
        <w:t>在这种投资方式下</w:t>
      </w:r>
      <w:r w:rsidR="00853B82" w:rsidRPr="00B55D5B">
        <w:rPr>
          <w:rFonts w:ascii="Times New Roman" w:hAnsi="Times New Roman" w:cs="Times New Roman"/>
          <w:sz w:val="24"/>
          <w:szCs w:val="24"/>
        </w:rPr>
        <w:t>投资人可以</w:t>
      </w:r>
      <w:r w:rsidR="00853B82" w:rsidRPr="00B55D5B">
        <w:rPr>
          <w:rFonts w:ascii="Times New Roman" w:hAnsi="Times New Roman" w:cs="Times New Roman" w:hint="eastAsia"/>
          <w:sz w:val="24"/>
          <w:szCs w:val="24"/>
        </w:rPr>
        <w:t>依托于</w:t>
      </w:r>
      <w:r w:rsidR="00853B82" w:rsidRPr="00B55D5B">
        <w:rPr>
          <w:rFonts w:ascii="Times New Roman" w:hAnsi="Times New Roman" w:cs="Times New Roman"/>
          <w:sz w:val="24"/>
          <w:szCs w:val="24"/>
        </w:rPr>
        <w:t>经理的专业技能和背景知识</w:t>
      </w:r>
      <w:r w:rsidR="00853B82" w:rsidRPr="00B55D5B">
        <w:rPr>
          <w:rFonts w:ascii="Times New Roman" w:hAnsi="Times New Roman" w:cs="Times New Roman" w:hint="eastAsia"/>
          <w:sz w:val="24"/>
          <w:szCs w:val="24"/>
        </w:rPr>
        <w:t>。另外，一些</w:t>
      </w:r>
      <w:r w:rsidR="00853B82" w:rsidRPr="00B55D5B">
        <w:rPr>
          <w:rFonts w:ascii="Times New Roman" w:hAnsi="Times New Roman" w:cs="Times New Roman" w:hint="eastAsia"/>
          <w:sz w:val="24"/>
          <w:szCs w:val="24"/>
        </w:rPr>
        <w:t>FOF</w:t>
      </w:r>
      <w:r w:rsidR="00853B82" w:rsidRPr="00B55D5B">
        <w:rPr>
          <w:rFonts w:ascii="Times New Roman" w:hAnsi="Times New Roman" w:cs="Times New Roman" w:hint="eastAsia"/>
          <w:sz w:val="24"/>
          <w:szCs w:val="24"/>
        </w:rPr>
        <w:t>管理</w:t>
      </w:r>
      <w:r w:rsidR="00B2035F" w:rsidRPr="00B55D5B">
        <w:rPr>
          <w:rFonts w:ascii="Times New Roman" w:hAnsi="Times New Roman" w:cs="Times New Roman" w:hint="eastAsia"/>
          <w:sz w:val="24"/>
          <w:szCs w:val="24"/>
        </w:rPr>
        <w:t>人与对冲基金管理人正一起打造管理账户类的投资工具，方便投资者对其资产及其</w:t>
      </w:r>
      <w:r w:rsidR="0051081C" w:rsidRPr="00B55D5B">
        <w:rPr>
          <w:rFonts w:ascii="Times New Roman" w:hAnsi="Times New Roman" w:cs="Times New Roman" w:hint="eastAsia"/>
          <w:sz w:val="24"/>
          <w:szCs w:val="24"/>
        </w:rPr>
        <w:t>透明</w:t>
      </w:r>
      <w:r w:rsidR="00B2035F" w:rsidRPr="00B55D5B">
        <w:rPr>
          <w:rFonts w:ascii="Times New Roman" w:hAnsi="Times New Roman" w:cs="Times New Roman" w:hint="eastAsia"/>
          <w:sz w:val="24"/>
          <w:szCs w:val="24"/>
        </w:rPr>
        <w:t>性进行</w:t>
      </w:r>
      <w:r w:rsidR="00853B82" w:rsidRPr="00B55D5B">
        <w:rPr>
          <w:rFonts w:ascii="Times New Roman" w:hAnsi="Times New Roman" w:cs="Times New Roman" w:hint="eastAsia"/>
          <w:sz w:val="24"/>
          <w:szCs w:val="24"/>
        </w:rPr>
        <w:t>监督。</w:t>
      </w:r>
    </w:p>
    <w:p w:rsidR="003E31B7" w:rsidRPr="00B55D5B" w:rsidRDefault="003E31B7" w:rsidP="003E31B7">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b/>
          <w:sz w:val="24"/>
          <w:szCs w:val="24"/>
        </w:rPr>
        <w:t>养老基金投资者</w:t>
      </w:r>
    </w:p>
    <w:p w:rsidR="008A0E5D" w:rsidRPr="00B55D5B" w:rsidRDefault="009965B4"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随着投资者对全球非主流投资工具逐渐重视并试图利用离岸市场的利基策</w:t>
      </w:r>
      <w:r w:rsidRPr="00B55D5B">
        <w:rPr>
          <w:rFonts w:ascii="Times New Roman" w:hAnsi="Times New Roman" w:cs="Times New Roman" w:hint="eastAsia"/>
          <w:sz w:val="24"/>
          <w:szCs w:val="24"/>
        </w:rPr>
        <w:lastRenderedPageBreak/>
        <w:t>略获利，</w:t>
      </w:r>
      <w:r w:rsidR="00FD1B72" w:rsidRPr="00B55D5B">
        <w:rPr>
          <w:rFonts w:ascii="Times New Roman" w:hAnsi="Times New Roman" w:cs="Times New Roman" w:hint="eastAsia"/>
          <w:sz w:val="24"/>
          <w:szCs w:val="24"/>
        </w:rPr>
        <w:t>专业化的投资需求不断增加。</w:t>
      </w:r>
    </w:p>
    <w:p w:rsidR="00853B82" w:rsidRPr="00B55D5B" w:rsidRDefault="0011158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A</w:t>
      </w:r>
      <w:r w:rsidRPr="00B55D5B">
        <w:rPr>
          <w:rFonts w:ascii="Times New Roman" w:hAnsi="Times New Roman" w:cs="Times New Roman"/>
          <w:sz w:val="24"/>
          <w:szCs w:val="24"/>
        </w:rPr>
        <w:t>BP</w:t>
      </w:r>
      <w:r w:rsidR="00FD1B72" w:rsidRPr="00B55D5B">
        <w:rPr>
          <w:rFonts w:ascii="Times New Roman" w:hAnsi="Times New Roman" w:cs="Times New Roman"/>
          <w:sz w:val="24"/>
          <w:szCs w:val="24"/>
        </w:rPr>
        <w:t>是一家</w:t>
      </w:r>
      <w:r w:rsidR="00FD1B72" w:rsidRPr="00B55D5B">
        <w:rPr>
          <w:rFonts w:ascii="Times New Roman" w:hAnsi="Times New Roman" w:cs="Times New Roman" w:hint="eastAsia"/>
          <w:sz w:val="24"/>
          <w:szCs w:val="24"/>
        </w:rPr>
        <w:t>为荷兰</w:t>
      </w:r>
      <w:r w:rsidR="00FD1B72" w:rsidRPr="00B55D5B">
        <w:rPr>
          <w:rFonts w:ascii="Times New Roman" w:hAnsi="Times New Roman" w:cs="Times New Roman"/>
          <w:sz w:val="24"/>
          <w:szCs w:val="24"/>
        </w:rPr>
        <w:t>270</w:t>
      </w:r>
      <w:r w:rsidR="00FD1B72" w:rsidRPr="00B55D5B">
        <w:rPr>
          <w:rFonts w:ascii="Times New Roman" w:hAnsi="Times New Roman" w:cs="Times New Roman"/>
          <w:sz w:val="24"/>
          <w:szCs w:val="24"/>
        </w:rPr>
        <w:t>万退休</w:t>
      </w:r>
      <w:r w:rsidR="00FD1B72" w:rsidRPr="00B55D5B">
        <w:rPr>
          <w:rFonts w:ascii="Times New Roman" w:hAnsi="Times New Roman" w:cs="Times New Roman" w:hint="eastAsia"/>
          <w:sz w:val="24"/>
          <w:szCs w:val="24"/>
        </w:rPr>
        <w:t>人员提供养老金服务的公司</w:t>
      </w:r>
      <w:r w:rsidR="00FD1B72" w:rsidRPr="00B55D5B">
        <w:rPr>
          <w:rFonts w:ascii="Times New Roman" w:hAnsi="Times New Roman" w:cs="Times New Roman"/>
          <w:sz w:val="24"/>
          <w:szCs w:val="24"/>
        </w:rPr>
        <w:t>，在</w:t>
      </w:r>
      <w:r w:rsidR="00FD1B72" w:rsidRPr="00B55D5B">
        <w:rPr>
          <w:rFonts w:ascii="Times New Roman" w:hAnsi="Times New Roman" w:cs="Times New Roman"/>
          <w:sz w:val="24"/>
          <w:szCs w:val="24"/>
        </w:rPr>
        <w:t>2007</w:t>
      </w:r>
      <w:r w:rsidR="00FD1B72" w:rsidRPr="00B55D5B">
        <w:rPr>
          <w:rFonts w:ascii="Times New Roman" w:hAnsi="Times New Roman" w:cs="Times New Roman"/>
          <w:sz w:val="24"/>
          <w:szCs w:val="24"/>
        </w:rPr>
        <w:t>年</w:t>
      </w:r>
      <w:r w:rsidR="00FD1B72" w:rsidRPr="00B55D5B">
        <w:rPr>
          <w:rFonts w:ascii="Times New Roman" w:hAnsi="Times New Roman" w:cs="Times New Roman" w:hint="eastAsia"/>
          <w:sz w:val="24"/>
          <w:szCs w:val="24"/>
        </w:rPr>
        <w:t>便</w:t>
      </w:r>
      <w:r w:rsidR="00FD1B72" w:rsidRPr="00B55D5B">
        <w:rPr>
          <w:rFonts w:ascii="Times New Roman" w:hAnsi="Times New Roman" w:cs="Times New Roman"/>
          <w:sz w:val="24"/>
          <w:szCs w:val="24"/>
        </w:rPr>
        <w:t>拥有超过</w:t>
      </w:r>
      <w:r w:rsidR="00FD1B72" w:rsidRPr="00B55D5B">
        <w:rPr>
          <w:rFonts w:ascii="Times New Roman" w:hAnsi="Times New Roman" w:cs="Times New Roman"/>
          <w:sz w:val="24"/>
          <w:szCs w:val="24"/>
        </w:rPr>
        <w:t>2770</w:t>
      </w:r>
      <w:r w:rsidR="00FD1B72" w:rsidRPr="00B55D5B">
        <w:rPr>
          <w:rFonts w:ascii="Times New Roman" w:hAnsi="Times New Roman" w:cs="Times New Roman"/>
          <w:sz w:val="24"/>
          <w:szCs w:val="24"/>
        </w:rPr>
        <w:t>亿美元的资产</w:t>
      </w:r>
      <w:r w:rsidR="00FD1B72" w:rsidRPr="00B55D5B">
        <w:rPr>
          <w:rFonts w:ascii="Times New Roman" w:hAnsi="Times New Roman" w:cs="Times New Roman" w:hint="eastAsia"/>
          <w:sz w:val="24"/>
          <w:szCs w:val="24"/>
        </w:rPr>
        <w:t>。</w:t>
      </w:r>
      <w:r w:rsidRPr="00B55D5B">
        <w:rPr>
          <w:rFonts w:ascii="Times New Roman" w:hAnsi="Times New Roman" w:cs="Times New Roman" w:hint="eastAsia"/>
          <w:sz w:val="24"/>
          <w:szCs w:val="24"/>
        </w:rPr>
        <w:t>它</w:t>
      </w:r>
      <w:r w:rsidR="008A0E5D" w:rsidRPr="00B55D5B">
        <w:rPr>
          <w:rFonts w:ascii="Times New Roman" w:hAnsi="Times New Roman" w:cs="Times New Roman" w:hint="eastAsia"/>
          <w:sz w:val="24"/>
          <w:szCs w:val="24"/>
        </w:rPr>
        <w:t>是对冲基金的早期</w:t>
      </w:r>
      <w:r w:rsidR="00FD1B72" w:rsidRPr="00B55D5B">
        <w:rPr>
          <w:rFonts w:ascii="Times New Roman" w:hAnsi="Times New Roman" w:cs="Times New Roman" w:hint="eastAsia"/>
          <w:sz w:val="24"/>
          <w:szCs w:val="24"/>
        </w:rPr>
        <w:t>认可者。在过去七年的时间内，其管理团队</w:t>
      </w:r>
      <w:r w:rsidR="005E61DD" w:rsidRPr="00B55D5B">
        <w:rPr>
          <w:rFonts w:ascii="Times New Roman" w:hAnsi="Times New Roman" w:cs="Times New Roman" w:hint="eastAsia"/>
          <w:sz w:val="24"/>
          <w:szCs w:val="24"/>
        </w:rPr>
        <w:t>积极投资于另类投资产品。</w:t>
      </w:r>
      <w:r w:rsidR="00F50016" w:rsidRPr="00B55D5B">
        <w:rPr>
          <w:rFonts w:ascii="Times New Roman" w:hAnsi="Times New Roman" w:cs="Times New Roman" w:hint="eastAsia"/>
          <w:sz w:val="24"/>
          <w:szCs w:val="24"/>
        </w:rPr>
        <w:t>目前其超过</w:t>
      </w:r>
      <w:r w:rsidR="00F50016" w:rsidRPr="00B55D5B">
        <w:rPr>
          <w:rFonts w:ascii="Times New Roman" w:hAnsi="Times New Roman" w:cs="Times New Roman" w:hint="eastAsia"/>
          <w:sz w:val="24"/>
          <w:szCs w:val="24"/>
        </w:rPr>
        <w:t>20%</w:t>
      </w:r>
      <w:r w:rsidRPr="00B55D5B">
        <w:rPr>
          <w:rFonts w:ascii="Times New Roman" w:hAnsi="Times New Roman" w:cs="Times New Roman" w:hint="eastAsia"/>
          <w:sz w:val="24"/>
          <w:szCs w:val="24"/>
        </w:rPr>
        <w:t>的资产都投向了对冲基金，并且历史业绩</w:t>
      </w:r>
      <w:r w:rsidR="00F50016" w:rsidRPr="00B55D5B">
        <w:rPr>
          <w:rFonts w:ascii="Times New Roman" w:hAnsi="Times New Roman" w:cs="Times New Roman" w:hint="eastAsia"/>
          <w:sz w:val="24"/>
          <w:szCs w:val="24"/>
        </w:rPr>
        <w:t>相当突出。</w:t>
      </w:r>
    </w:p>
    <w:p w:rsidR="00F50016" w:rsidRPr="00B55D5B" w:rsidRDefault="00F5001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普华永道在</w:t>
      </w:r>
      <w:r w:rsidRPr="00B55D5B">
        <w:rPr>
          <w:rFonts w:ascii="Times New Roman" w:hAnsi="Times New Roman" w:cs="Times New Roman" w:hint="eastAsia"/>
          <w:sz w:val="24"/>
          <w:szCs w:val="24"/>
        </w:rPr>
        <w:t>2008</w:t>
      </w:r>
      <w:r w:rsidRPr="00B55D5B">
        <w:rPr>
          <w:rFonts w:ascii="Times New Roman" w:hAnsi="Times New Roman" w:cs="Times New Roman" w:hint="eastAsia"/>
          <w:sz w:val="24"/>
          <w:szCs w:val="24"/>
        </w:rPr>
        <w:t>年</w:t>
      </w:r>
      <w:r w:rsidRPr="00B55D5B">
        <w:rPr>
          <w:rFonts w:ascii="Times New Roman" w:hAnsi="Times New Roman" w:cs="Times New Roman" w:hint="eastAsia"/>
          <w:sz w:val="24"/>
          <w:szCs w:val="24"/>
        </w:rPr>
        <w:t>3</w:t>
      </w:r>
      <w:r w:rsidRPr="00B55D5B">
        <w:rPr>
          <w:rFonts w:ascii="Times New Roman" w:hAnsi="Times New Roman" w:cs="Times New Roman" w:hint="eastAsia"/>
          <w:sz w:val="24"/>
          <w:szCs w:val="24"/>
        </w:rPr>
        <w:t>月份的报告中显示，</w:t>
      </w:r>
      <w:r w:rsidRPr="00B55D5B">
        <w:rPr>
          <w:rFonts w:ascii="Times New Roman" w:hAnsi="Times New Roman" w:cs="Times New Roman" w:hint="eastAsia"/>
          <w:sz w:val="24"/>
          <w:szCs w:val="24"/>
        </w:rPr>
        <w:t>ABP</w:t>
      </w:r>
      <w:r w:rsidRPr="00B55D5B">
        <w:rPr>
          <w:rFonts w:ascii="Times New Roman" w:hAnsi="Times New Roman" w:cs="Times New Roman" w:hint="eastAsia"/>
          <w:sz w:val="24"/>
          <w:szCs w:val="24"/>
        </w:rPr>
        <w:t>公司计划在</w:t>
      </w:r>
      <w:r w:rsidRPr="00B55D5B">
        <w:rPr>
          <w:rFonts w:ascii="Times New Roman" w:hAnsi="Times New Roman" w:cs="Times New Roman" w:hint="eastAsia"/>
          <w:sz w:val="24"/>
          <w:szCs w:val="24"/>
        </w:rPr>
        <w:t>2009</w:t>
      </w:r>
      <w:r w:rsidRPr="00B55D5B">
        <w:rPr>
          <w:rFonts w:ascii="Times New Roman" w:hAnsi="Times New Roman" w:cs="Times New Roman" w:hint="eastAsia"/>
          <w:sz w:val="24"/>
          <w:szCs w:val="24"/>
        </w:rPr>
        <w:t>年将其另类投资规模提高到所有资产的</w:t>
      </w:r>
      <w:r w:rsidRPr="00B55D5B">
        <w:rPr>
          <w:rFonts w:ascii="Times New Roman" w:hAnsi="Times New Roman" w:cs="Times New Roman" w:hint="eastAsia"/>
          <w:sz w:val="24"/>
          <w:szCs w:val="24"/>
        </w:rPr>
        <w:t>26%</w:t>
      </w:r>
      <w:r w:rsidRPr="00B55D5B">
        <w:rPr>
          <w:rFonts w:ascii="Times New Roman" w:hAnsi="Times New Roman" w:cs="Times New Roman" w:hint="eastAsia"/>
          <w:sz w:val="24"/>
          <w:szCs w:val="24"/>
        </w:rPr>
        <w:t>。如果真的是这样的话，将与哈佛和耶鲁大学基金持平。当然，在经过了</w:t>
      </w:r>
      <w:r w:rsidRPr="00B55D5B">
        <w:rPr>
          <w:rFonts w:ascii="Times New Roman" w:hAnsi="Times New Roman" w:cs="Times New Roman" w:hint="eastAsia"/>
          <w:sz w:val="24"/>
          <w:szCs w:val="24"/>
        </w:rPr>
        <w:t>2008</w:t>
      </w:r>
      <w:r w:rsidRPr="00B55D5B">
        <w:rPr>
          <w:rFonts w:ascii="Times New Roman" w:hAnsi="Times New Roman" w:cs="Times New Roman" w:hint="eastAsia"/>
          <w:sz w:val="24"/>
          <w:szCs w:val="24"/>
        </w:rPr>
        <w:t>年的金融危机后，我们并不清楚</w:t>
      </w:r>
      <w:r w:rsidRPr="00B55D5B">
        <w:rPr>
          <w:rFonts w:ascii="Times New Roman" w:hAnsi="Times New Roman" w:cs="Times New Roman" w:hint="eastAsia"/>
          <w:sz w:val="24"/>
          <w:szCs w:val="24"/>
        </w:rPr>
        <w:t>ABP</w:t>
      </w:r>
      <w:r w:rsidRPr="00B55D5B">
        <w:rPr>
          <w:rFonts w:ascii="Times New Roman" w:hAnsi="Times New Roman" w:cs="Times New Roman" w:hint="eastAsia"/>
          <w:sz w:val="24"/>
          <w:szCs w:val="24"/>
        </w:rPr>
        <w:t>公司是否仍有这样的计划。</w:t>
      </w:r>
    </w:p>
    <w:p w:rsidR="003E31B7" w:rsidRPr="00B55D5B" w:rsidRDefault="00504DCF" w:rsidP="003E31B7">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b/>
          <w:sz w:val="24"/>
          <w:szCs w:val="24"/>
        </w:rPr>
        <w:t>大学</w:t>
      </w:r>
      <w:r w:rsidRPr="00B55D5B">
        <w:rPr>
          <w:rFonts w:ascii="Times New Roman" w:hAnsi="Times New Roman" w:cs="Times New Roman" w:hint="eastAsia"/>
          <w:b/>
          <w:sz w:val="24"/>
          <w:szCs w:val="24"/>
        </w:rPr>
        <w:t>捐赠基金</w:t>
      </w:r>
    </w:p>
    <w:p w:rsidR="00504DCF" w:rsidRPr="00B55D5B" w:rsidRDefault="00504DCF"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2</w:t>
      </w:r>
      <w:r w:rsidRPr="00B55D5B">
        <w:rPr>
          <w:rFonts w:ascii="Times New Roman" w:hAnsi="Times New Roman" w:cs="Times New Roman"/>
          <w:sz w:val="24"/>
          <w:szCs w:val="24"/>
        </w:rPr>
        <w:t>005</w:t>
      </w:r>
      <w:r w:rsidRPr="00B55D5B">
        <w:rPr>
          <w:rFonts w:ascii="Times New Roman" w:hAnsi="Times New Roman" w:cs="Times New Roman" w:hint="eastAsia"/>
          <w:sz w:val="24"/>
          <w:szCs w:val="24"/>
        </w:rPr>
        <w:t>年</w:t>
      </w:r>
      <w:r w:rsidRPr="00B55D5B">
        <w:rPr>
          <w:rFonts w:ascii="Times New Roman" w:hAnsi="Times New Roman" w:cs="Times New Roman" w:hint="eastAsia"/>
          <w:sz w:val="24"/>
          <w:szCs w:val="24"/>
        </w:rPr>
        <w:t>10</w:t>
      </w:r>
      <w:r w:rsidRPr="00B55D5B">
        <w:rPr>
          <w:rFonts w:ascii="Times New Roman" w:hAnsi="Times New Roman" w:cs="Times New Roman" w:hint="eastAsia"/>
          <w:sz w:val="24"/>
          <w:szCs w:val="24"/>
        </w:rPr>
        <w:t>月，</w:t>
      </w:r>
      <w:proofErr w:type="gramStart"/>
      <w:r w:rsidRPr="00B55D5B">
        <w:rPr>
          <w:rFonts w:ascii="Times New Roman" w:hAnsi="Times New Roman" w:cs="Times New Roman"/>
          <w:sz w:val="24"/>
          <w:szCs w:val="24"/>
        </w:rPr>
        <w:t>凯瑟</w:t>
      </w:r>
      <w:proofErr w:type="gramEnd"/>
      <w:r w:rsidRPr="00B55D5B">
        <w:rPr>
          <w:rFonts w:ascii="Times New Roman" w:hAnsi="Times New Roman" w:cs="Times New Roman"/>
          <w:sz w:val="24"/>
          <w:szCs w:val="24"/>
        </w:rPr>
        <w:t>琳</w:t>
      </w:r>
      <w:r w:rsidRPr="00B55D5B">
        <w:rPr>
          <w:rFonts w:ascii="Times New Roman" w:hAnsi="Times New Roman" w:cs="Times New Roman"/>
          <w:sz w:val="24"/>
          <w:szCs w:val="24"/>
        </w:rPr>
        <w:t>•</w:t>
      </w:r>
      <w:r w:rsidRPr="00B55D5B">
        <w:rPr>
          <w:rFonts w:ascii="Times New Roman" w:hAnsi="Times New Roman" w:cs="Times New Roman"/>
          <w:sz w:val="24"/>
          <w:szCs w:val="24"/>
        </w:rPr>
        <w:t>克里希留斯（</w:t>
      </w:r>
      <w:r w:rsidRPr="00B55D5B">
        <w:rPr>
          <w:rFonts w:ascii="Times New Roman" w:hAnsi="Times New Roman" w:cs="Times New Roman"/>
          <w:sz w:val="24"/>
          <w:szCs w:val="24"/>
        </w:rPr>
        <w:t xml:space="preserve">Kathryn </w:t>
      </w:r>
      <w:proofErr w:type="spellStart"/>
      <w:r w:rsidRPr="00B55D5B">
        <w:rPr>
          <w:rFonts w:ascii="Times New Roman" w:hAnsi="Times New Roman" w:cs="Times New Roman"/>
          <w:sz w:val="24"/>
          <w:szCs w:val="24"/>
        </w:rPr>
        <w:t>Crecelius</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女士</w:t>
      </w:r>
      <w:r w:rsidR="00111586" w:rsidRPr="00B55D5B">
        <w:rPr>
          <w:rFonts w:ascii="Times New Roman" w:hAnsi="Times New Roman" w:cs="Times New Roman" w:hint="eastAsia"/>
          <w:sz w:val="24"/>
          <w:szCs w:val="24"/>
        </w:rPr>
        <w:t>开始</w:t>
      </w:r>
      <w:r w:rsidRPr="00B55D5B">
        <w:rPr>
          <w:rFonts w:ascii="Times New Roman" w:hAnsi="Times New Roman" w:cs="Times New Roman" w:hint="eastAsia"/>
          <w:sz w:val="24"/>
          <w:szCs w:val="24"/>
        </w:rPr>
        <w:t>担任约翰霍普金斯大学</w:t>
      </w:r>
      <w:r w:rsidRPr="00B55D5B">
        <w:rPr>
          <w:rFonts w:ascii="Times New Roman" w:hAnsi="Times New Roman" w:cs="Times New Roman"/>
          <w:sz w:val="24"/>
          <w:szCs w:val="24"/>
        </w:rPr>
        <w:t>（</w:t>
      </w:r>
      <w:r w:rsidRPr="00B55D5B">
        <w:rPr>
          <w:rFonts w:ascii="Times New Roman" w:hAnsi="Times New Roman" w:cs="Times New Roman"/>
          <w:sz w:val="24"/>
          <w:szCs w:val="24"/>
        </w:rPr>
        <w:t>Johns Hopkins University</w:t>
      </w:r>
      <w:r w:rsidRPr="00B55D5B">
        <w:rPr>
          <w:rFonts w:ascii="Times New Roman" w:hAnsi="Times New Roman" w:cs="Times New Roman"/>
          <w:sz w:val="24"/>
          <w:szCs w:val="24"/>
        </w:rPr>
        <w:t>）</w:t>
      </w:r>
      <w:r w:rsidR="00111586" w:rsidRPr="00B55D5B">
        <w:rPr>
          <w:rFonts w:ascii="Times New Roman" w:hAnsi="Times New Roman" w:cs="Times New Roman" w:hint="eastAsia"/>
          <w:sz w:val="24"/>
          <w:szCs w:val="24"/>
        </w:rPr>
        <w:t>的首席投资管，全权负责捐赠基金</w:t>
      </w:r>
      <w:r w:rsidRPr="00B55D5B">
        <w:rPr>
          <w:rFonts w:ascii="Times New Roman" w:hAnsi="Times New Roman" w:cs="Times New Roman" w:hint="eastAsia"/>
          <w:sz w:val="24"/>
          <w:szCs w:val="24"/>
        </w:rPr>
        <w:t>管理工作。早年她曾将</w:t>
      </w:r>
      <w:r w:rsidRPr="00B55D5B">
        <w:rPr>
          <w:rFonts w:ascii="Times New Roman" w:hAnsi="Times New Roman" w:cs="Times New Roman" w:hint="eastAsia"/>
          <w:sz w:val="24"/>
          <w:szCs w:val="24"/>
        </w:rPr>
        <w:t>MIT</w:t>
      </w:r>
      <w:r w:rsidRPr="00B55D5B">
        <w:rPr>
          <w:rFonts w:ascii="Times New Roman" w:hAnsi="Times New Roman" w:cs="Times New Roman" w:hint="eastAsia"/>
          <w:sz w:val="24"/>
          <w:szCs w:val="24"/>
        </w:rPr>
        <w:t>捐赠基金投向另类投资领域。在约翰霍普金斯</w:t>
      </w:r>
      <w:r w:rsidR="00111586" w:rsidRPr="00B55D5B">
        <w:rPr>
          <w:rFonts w:ascii="Times New Roman" w:hAnsi="Times New Roman" w:cs="Times New Roman" w:hint="eastAsia"/>
          <w:sz w:val="24"/>
          <w:szCs w:val="24"/>
        </w:rPr>
        <w:t>任职期间</w:t>
      </w:r>
      <w:r w:rsidRPr="00B55D5B">
        <w:rPr>
          <w:rFonts w:ascii="Times New Roman" w:hAnsi="Times New Roman" w:cs="Times New Roman" w:hint="eastAsia"/>
          <w:sz w:val="24"/>
          <w:szCs w:val="24"/>
        </w:rPr>
        <w:t>，她将原投资于</w:t>
      </w:r>
      <w:r w:rsidRPr="00B55D5B">
        <w:rPr>
          <w:rFonts w:ascii="Times New Roman" w:hAnsi="Times New Roman" w:cs="Times New Roman" w:hint="eastAsia"/>
          <w:sz w:val="24"/>
          <w:szCs w:val="24"/>
        </w:rPr>
        <w:t>FOF</w:t>
      </w:r>
      <w:r w:rsidR="004956A1" w:rsidRPr="00B55D5B">
        <w:rPr>
          <w:rFonts w:ascii="Times New Roman" w:hAnsi="Times New Roman" w:cs="Times New Roman" w:hint="eastAsia"/>
          <w:sz w:val="24"/>
          <w:szCs w:val="24"/>
        </w:rPr>
        <w:t>的资金赎回并重新投向单一策略基金中。其背后的投资团队在另类投资方面付出了相当多的精力。</w:t>
      </w:r>
    </w:p>
    <w:p w:rsidR="004956A1" w:rsidRPr="00B55D5B" w:rsidRDefault="004956A1"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sz w:val="24"/>
          <w:szCs w:val="24"/>
        </w:rPr>
        <w:t>克里希留斯（</w:t>
      </w:r>
      <w:proofErr w:type="spellStart"/>
      <w:r w:rsidRPr="00B55D5B">
        <w:rPr>
          <w:rFonts w:ascii="Times New Roman" w:hAnsi="Times New Roman" w:cs="Times New Roman"/>
          <w:sz w:val="24"/>
          <w:szCs w:val="24"/>
        </w:rPr>
        <w:t>Crecelius</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并不看好</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。她的观点就是，她之所以被聘于此就是为了打造可以主动管理资金的内部团队。“归根结底是谁来运作基金会或捐赠基金的事</w:t>
      </w:r>
      <w:r w:rsidR="008C4D03" w:rsidRPr="00B55D5B">
        <w:rPr>
          <w:rFonts w:ascii="Times New Roman" w:hAnsi="Times New Roman" w:cs="Times New Roman" w:hint="eastAsia"/>
          <w:sz w:val="24"/>
          <w:szCs w:val="24"/>
        </w:rPr>
        <w:t>，</w:t>
      </w:r>
      <w:r w:rsidRPr="00B55D5B">
        <w:rPr>
          <w:rFonts w:ascii="Times New Roman" w:hAnsi="Times New Roman" w:cs="Times New Roman" w:hint="eastAsia"/>
          <w:sz w:val="24"/>
          <w:szCs w:val="24"/>
        </w:rPr>
        <w:t>这应该由有能力的投资团队来完成”</w:t>
      </w:r>
      <w:r w:rsidR="008C4D03" w:rsidRPr="00B55D5B">
        <w:rPr>
          <w:rFonts w:ascii="Times New Roman" w:hAnsi="Times New Roman" w:cs="Times New Roman" w:hint="eastAsia"/>
          <w:sz w:val="24"/>
          <w:szCs w:val="24"/>
        </w:rPr>
        <w:t>她如此说</w:t>
      </w:r>
      <w:r w:rsidR="00D94633" w:rsidRPr="00B55D5B">
        <w:rPr>
          <w:rFonts w:ascii="Times New Roman" w:hAnsi="Times New Roman" w:cs="Times New Roman" w:hint="eastAsia"/>
          <w:sz w:val="24"/>
          <w:szCs w:val="24"/>
        </w:rPr>
        <w:t>道</w:t>
      </w:r>
      <w:r w:rsidRPr="00B55D5B">
        <w:rPr>
          <w:rFonts w:ascii="Times New Roman" w:hAnsi="Times New Roman" w:cs="Times New Roman" w:hint="eastAsia"/>
          <w:sz w:val="24"/>
          <w:szCs w:val="24"/>
        </w:rPr>
        <w:t>。</w:t>
      </w:r>
    </w:p>
    <w:p w:rsidR="004956A1" w:rsidRPr="00B55D5B" w:rsidRDefault="00F0129B" w:rsidP="00303BD4">
      <w:pPr>
        <w:spacing w:beforeLines="50" w:before="156" w:afterLines="50" w:after="156" w:line="360" w:lineRule="auto"/>
        <w:ind w:firstLine="540"/>
        <w:rPr>
          <w:rFonts w:ascii="Times New Roman" w:hAnsi="Times New Roman" w:cs="Times New Roman"/>
          <w:sz w:val="24"/>
          <w:szCs w:val="24"/>
        </w:rPr>
      </w:pPr>
      <w:r w:rsidRPr="00B55D5B">
        <w:rPr>
          <w:rFonts w:ascii="Times New Roman" w:hAnsi="Times New Roman" w:cs="Times New Roman"/>
          <w:sz w:val="24"/>
          <w:szCs w:val="24"/>
        </w:rPr>
        <w:t>约翰霍普金斯大学（</w:t>
      </w:r>
      <w:r w:rsidRPr="00B55D5B">
        <w:rPr>
          <w:rFonts w:ascii="Times New Roman" w:hAnsi="Times New Roman" w:cs="Times New Roman"/>
          <w:sz w:val="24"/>
          <w:szCs w:val="24"/>
        </w:rPr>
        <w:t>Johns Hopkins University</w:t>
      </w:r>
      <w:r w:rsidRPr="00B55D5B">
        <w:rPr>
          <w:rFonts w:ascii="Times New Roman" w:hAnsi="Times New Roman" w:cs="Times New Roman"/>
          <w:sz w:val="24"/>
          <w:szCs w:val="24"/>
        </w:rPr>
        <w:t>）指</w:t>
      </w:r>
      <w:r w:rsidRPr="00B55D5B">
        <w:rPr>
          <w:rFonts w:ascii="Times New Roman" w:hAnsi="Times New Roman" w:cs="Times New Roman" w:hint="eastAsia"/>
          <w:sz w:val="24"/>
          <w:szCs w:val="24"/>
        </w:rPr>
        <w:t>派专业人员</w:t>
      </w:r>
      <w:r w:rsidR="00111586" w:rsidRPr="00B55D5B">
        <w:rPr>
          <w:rFonts w:ascii="Times New Roman" w:hAnsi="Times New Roman" w:cs="Times New Roman" w:hint="eastAsia"/>
          <w:sz w:val="24"/>
          <w:szCs w:val="24"/>
        </w:rPr>
        <w:t>来</w:t>
      </w:r>
      <w:r w:rsidRPr="00B55D5B">
        <w:rPr>
          <w:rFonts w:ascii="Times New Roman" w:hAnsi="Times New Roman" w:cs="Times New Roman" w:hint="eastAsia"/>
          <w:sz w:val="24"/>
          <w:szCs w:val="24"/>
        </w:rPr>
        <w:t>进行资产的管理</w:t>
      </w:r>
      <w:r w:rsidRPr="00B55D5B">
        <w:rPr>
          <w:rFonts w:ascii="Times New Roman" w:hAnsi="Times New Roman" w:cs="Times New Roman"/>
          <w:sz w:val="24"/>
          <w:szCs w:val="24"/>
        </w:rPr>
        <w:t>，但是其他的机构仍然通过委员会来做这项工作</w:t>
      </w:r>
      <w:r w:rsidRPr="00B55D5B">
        <w:rPr>
          <w:rFonts w:ascii="Times New Roman" w:hAnsi="Times New Roman" w:cs="Times New Roman" w:hint="eastAsia"/>
          <w:sz w:val="24"/>
          <w:szCs w:val="24"/>
        </w:rPr>
        <w:t>。</w:t>
      </w:r>
      <w:r w:rsidRPr="00B55D5B">
        <w:rPr>
          <w:rFonts w:ascii="Times New Roman" w:hAnsi="Times New Roman" w:cs="Times New Roman"/>
          <w:sz w:val="24"/>
          <w:szCs w:val="24"/>
        </w:rPr>
        <w:t>许多大学和中学</w:t>
      </w:r>
      <w:r w:rsidRPr="00B55D5B">
        <w:rPr>
          <w:rFonts w:ascii="Times New Roman" w:hAnsi="Times New Roman" w:cs="Times New Roman" w:hint="eastAsia"/>
          <w:sz w:val="24"/>
          <w:szCs w:val="24"/>
        </w:rPr>
        <w:t>都设</w:t>
      </w:r>
      <w:r w:rsidRPr="00B55D5B">
        <w:rPr>
          <w:rFonts w:ascii="Times New Roman" w:hAnsi="Times New Roman" w:cs="Times New Roman"/>
          <w:sz w:val="24"/>
          <w:szCs w:val="24"/>
        </w:rPr>
        <w:t>有投资委员会、</w:t>
      </w:r>
      <w:r w:rsidRPr="00B55D5B">
        <w:rPr>
          <w:rFonts w:ascii="Times New Roman" w:hAnsi="Times New Roman" w:cs="Times New Roman" w:hint="eastAsia"/>
          <w:sz w:val="24"/>
          <w:szCs w:val="24"/>
        </w:rPr>
        <w:t>捐赠</w:t>
      </w:r>
      <w:r w:rsidRPr="00B55D5B">
        <w:rPr>
          <w:rFonts w:ascii="Times New Roman" w:hAnsi="Times New Roman" w:cs="Times New Roman"/>
          <w:sz w:val="24"/>
          <w:szCs w:val="24"/>
        </w:rPr>
        <w:t>基金</w:t>
      </w:r>
      <w:r w:rsidRPr="00B55D5B">
        <w:rPr>
          <w:rFonts w:ascii="Times New Roman" w:hAnsi="Times New Roman" w:cs="Times New Roman" w:hint="eastAsia"/>
          <w:sz w:val="24"/>
          <w:szCs w:val="24"/>
        </w:rPr>
        <w:t>管理机构</w:t>
      </w:r>
      <w:r w:rsidRPr="00B55D5B">
        <w:rPr>
          <w:rFonts w:ascii="Times New Roman" w:hAnsi="Times New Roman" w:cs="Times New Roman"/>
          <w:sz w:val="24"/>
          <w:szCs w:val="24"/>
        </w:rPr>
        <w:t>以及</w:t>
      </w:r>
      <w:r w:rsidRPr="00B55D5B">
        <w:rPr>
          <w:rFonts w:ascii="Times New Roman" w:hAnsi="Times New Roman" w:cs="Times New Roman" w:hint="eastAsia"/>
          <w:sz w:val="24"/>
          <w:szCs w:val="24"/>
        </w:rPr>
        <w:t>外聘</w:t>
      </w:r>
      <w:r w:rsidRPr="00B55D5B">
        <w:rPr>
          <w:rFonts w:ascii="Times New Roman" w:hAnsi="Times New Roman" w:cs="Times New Roman"/>
          <w:sz w:val="24"/>
          <w:szCs w:val="24"/>
        </w:rPr>
        <w:t>活跃</w:t>
      </w:r>
      <w:r w:rsidRPr="00B55D5B">
        <w:rPr>
          <w:rFonts w:ascii="Times New Roman" w:hAnsi="Times New Roman" w:cs="Times New Roman" w:hint="eastAsia"/>
          <w:sz w:val="24"/>
          <w:szCs w:val="24"/>
        </w:rPr>
        <w:t>于业界的投资</w:t>
      </w:r>
      <w:r w:rsidRPr="00B55D5B">
        <w:rPr>
          <w:rFonts w:ascii="Times New Roman" w:hAnsi="Times New Roman" w:cs="Times New Roman"/>
          <w:sz w:val="24"/>
          <w:szCs w:val="24"/>
        </w:rPr>
        <w:t>顾问。</w:t>
      </w:r>
      <w:r w:rsidRPr="00B55D5B">
        <w:rPr>
          <w:rFonts w:ascii="Times New Roman" w:hAnsi="Times New Roman" w:cs="Times New Roman" w:hint="eastAsia"/>
          <w:sz w:val="24"/>
          <w:szCs w:val="24"/>
        </w:rPr>
        <w:t>这种架构设置无疑会带来诸多的问题。平日里，基金会和捐赠基金依托于投资顾问的投资建议，然而一旦投资出现问题，</w:t>
      </w:r>
      <w:r w:rsidR="009A2C8F" w:rsidRPr="00B55D5B">
        <w:rPr>
          <w:rFonts w:ascii="Times New Roman" w:hAnsi="Times New Roman" w:cs="Times New Roman" w:hint="eastAsia"/>
          <w:sz w:val="24"/>
          <w:szCs w:val="24"/>
        </w:rPr>
        <w:t>这些投资顾问</w:t>
      </w:r>
      <w:r w:rsidRPr="00B55D5B">
        <w:rPr>
          <w:rFonts w:ascii="Times New Roman" w:hAnsi="Times New Roman" w:cs="Times New Roman" w:hint="eastAsia"/>
          <w:sz w:val="24"/>
          <w:szCs w:val="24"/>
        </w:rPr>
        <w:t>也是替基金会和捐赠基金背黑锅的对象。</w:t>
      </w:r>
    </w:p>
    <w:p w:rsidR="003E31B7" w:rsidRPr="00B55D5B" w:rsidRDefault="003E31B7" w:rsidP="003E31B7">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b/>
          <w:sz w:val="24"/>
          <w:szCs w:val="24"/>
        </w:rPr>
        <w:t>增长的驱动因素</w:t>
      </w:r>
    </w:p>
    <w:p w:rsidR="007A78A8" w:rsidRPr="00B55D5B" w:rsidRDefault="007A78A8"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作为一名并购方面的专业人士，艾力克·韦伯（</w:t>
      </w:r>
      <w:r w:rsidRPr="00B55D5B">
        <w:rPr>
          <w:rFonts w:ascii="Times New Roman" w:hAnsi="Times New Roman" w:cs="Times New Roman" w:hint="eastAsia"/>
          <w:sz w:val="24"/>
          <w:szCs w:val="24"/>
        </w:rPr>
        <w:t>Eric Weber</w:t>
      </w:r>
      <w:r w:rsidRPr="00B55D5B">
        <w:rPr>
          <w:rFonts w:ascii="Times New Roman" w:hAnsi="Times New Roman" w:cs="Times New Roman" w:hint="eastAsia"/>
          <w:sz w:val="24"/>
          <w:szCs w:val="24"/>
        </w:rPr>
        <w:t>）</w:t>
      </w:r>
      <w:r w:rsidR="00111586" w:rsidRPr="00B55D5B">
        <w:rPr>
          <w:rFonts w:ascii="Times New Roman" w:hAnsi="Times New Roman" w:cs="Times New Roman" w:hint="eastAsia"/>
          <w:sz w:val="24"/>
          <w:szCs w:val="24"/>
        </w:rPr>
        <w:t>认为对冲基金</w:t>
      </w:r>
      <w:r w:rsidR="005B69CD" w:rsidRPr="00B55D5B">
        <w:rPr>
          <w:rFonts w:ascii="Times New Roman" w:hAnsi="Times New Roman" w:cs="Times New Roman" w:hint="eastAsia"/>
          <w:sz w:val="24"/>
          <w:szCs w:val="24"/>
        </w:rPr>
        <w:t>资产规模</w:t>
      </w:r>
      <w:r w:rsidR="00111586" w:rsidRPr="00B55D5B">
        <w:rPr>
          <w:rFonts w:ascii="Times New Roman" w:hAnsi="Times New Roman" w:cs="Times New Roman" w:hint="eastAsia"/>
          <w:sz w:val="24"/>
          <w:szCs w:val="24"/>
        </w:rPr>
        <w:t>的增多</w:t>
      </w:r>
      <w:r w:rsidRPr="00B55D5B">
        <w:rPr>
          <w:rFonts w:ascii="Times New Roman" w:hAnsi="Times New Roman" w:cs="Times New Roman" w:hint="eastAsia"/>
          <w:sz w:val="24"/>
          <w:szCs w:val="24"/>
        </w:rPr>
        <w:t>是由于需求的拉动。</w:t>
      </w:r>
    </w:p>
    <w:p w:rsidR="007A78A8" w:rsidRPr="00B55D5B" w:rsidRDefault="007A78A8"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lastRenderedPageBreak/>
        <w:t>“新涌现出的对冲基金和</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投资者都是不希望再投资于</w:t>
      </w:r>
      <w:r w:rsidR="00AD53F9" w:rsidRPr="00B55D5B">
        <w:rPr>
          <w:rFonts w:ascii="Times New Roman" w:hAnsi="Times New Roman" w:cs="Times New Roman" w:hint="eastAsia"/>
          <w:sz w:val="24"/>
          <w:szCs w:val="24"/>
        </w:rPr>
        <w:t>债券等传统金融工具的那部分人</w:t>
      </w:r>
      <w:r w:rsidRPr="00B55D5B">
        <w:rPr>
          <w:rFonts w:ascii="Times New Roman" w:hAnsi="Times New Roman" w:cs="Times New Roman" w:hint="eastAsia"/>
          <w:sz w:val="24"/>
          <w:szCs w:val="24"/>
        </w:rPr>
        <w:t>”</w:t>
      </w:r>
      <w:r w:rsidR="00AD53F9" w:rsidRPr="00B55D5B">
        <w:rPr>
          <w:rFonts w:ascii="Times New Roman" w:hAnsi="Times New Roman" w:cs="Times New Roman" w:hint="eastAsia"/>
          <w:sz w:val="24"/>
          <w:szCs w:val="24"/>
        </w:rPr>
        <w:t>他如是说，“投资顾问告诉他们可以投资对冲基金，他们就真的那样做了”。</w:t>
      </w:r>
    </w:p>
    <w:p w:rsidR="00AD53F9" w:rsidRPr="00B55D5B" w:rsidRDefault="0011158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据我们的经验，对于养老金计划来说对冲基金</w:t>
      </w:r>
      <w:r w:rsidR="00AD53F9" w:rsidRPr="00B55D5B">
        <w:rPr>
          <w:rFonts w:ascii="Times New Roman" w:hAnsi="Times New Roman" w:cs="Times New Roman" w:hint="eastAsia"/>
          <w:sz w:val="24"/>
          <w:szCs w:val="24"/>
        </w:rPr>
        <w:t>投资</w:t>
      </w:r>
      <w:r w:rsidRPr="00B55D5B">
        <w:rPr>
          <w:rFonts w:ascii="Times New Roman" w:hAnsi="Times New Roman" w:cs="Times New Roman" w:hint="eastAsia"/>
          <w:sz w:val="24"/>
          <w:szCs w:val="24"/>
        </w:rPr>
        <w:t>的</w:t>
      </w:r>
      <w:r w:rsidR="00AD53F9" w:rsidRPr="00B55D5B">
        <w:rPr>
          <w:rFonts w:ascii="Times New Roman" w:hAnsi="Times New Roman" w:cs="Times New Roman" w:hint="eastAsia"/>
          <w:sz w:val="24"/>
          <w:szCs w:val="24"/>
        </w:rPr>
        <w:t>学习周期一般是五年。只有当他们从</w:t>
      </w:r>
      <w:r w:rsidR="00AD53F9"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投资中学到了足够多的知识后，他们才有能力</w:t>
      </w:r>
      <w:r w:rsidR="00AD53F9" w:rsidRPr="00B55D5B">
        <w:rPr>
          <w:rFonts w:ascii="Times New Roman" w:hAnsi="Times New Roman" w:cs="Times New Roman" w:hint="eastAsia"/>
          <w:sz w:val="24"/>
          <w:szCs w:val="24"/>
        </w:rPr>
        <w:t>独立投资对冲基金。</w:t>
      </w:r>
    </w:p>
    <w:p w:rsidR="00AD53F9" w:rsidRPr="00B55D5B" w:rsidRDefault="00AD53F9"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sz w:val="24"/>
          <w:szCs w:val="24"/>
        </w:rPr>
        <w:t>莱丽斯</w:t>
      </w:r>
      <w:r w:rsidRPr="00B55D5B">
        <w:rPr>
          <w:rFonts w:ascii="Times New Roman" w:hAnsi="Times New Roman" w:cs="Times New Roman"/>
          <w:sz w:val="24"/>
          <w:szCs w:val="24"/>
        </w:rPr>
        <w:t>•</w:t>
      </w:r>
      <w:r w:rsidRPr="00B55D5B">
        <w:rPr>
          <w:rFonts w:ascii="Times New Roman" w:hAnsi="Times New Roman" w:cs="Times New Roman"/>
          <w:sz w:val="24"/>
          <w:szCs w:val="24"/>
        </w:rPr>
        <w:t>拉尔（</w:t>
      </w:r>
      <w:r w:rsidRPr="00B55D5B">
        <w:rPr>
          <w:rFonts w:ascii="Times New Roman" w:hAnsi="Times New Roman" w:cs="Times New Roman"/>
          <w:sz w:val="24"/>
          <w:szCs w:val="24"/>
        </w:rPr>
        <w:t xml:space="preserve">Leslie </w:t>
      </w:r>
      <w:proofErr w:type="spellStart"/>
      <w:r w:rsidRPr="00B55D5B">
        <w:rPr>
          <w:rFonts w:ascii="Times New Roman" w:hAnsi="Times New Roman" w:cs="Times New Roman"/>
          <w:sz w:val="24"/>
          <w:szCs w:val="24"/>
        </w:rPr>
        <w:t>Rahl</w:t>
      </w:r>
      <w:proofErr w:type="spellEnd"/>
      <w:r w:rsidRPr="00B55D5B">
        <w:rPr>
          <w:rFonts w:ascii="Times New Roman" w:hAnsi="Times New Roman" w:cs="Times New Roman"/>
          <w:sz w:val="24"/>
          <w:szCs w:val="24"/>
        </w:rPr>
        <w:t>）</w:t>
      </w:r>
      <w:r w:rsidRPr="00B55D5B">
        <w:rPr>
          <w:rFonts w:ascii="Times New Roman" w:hAnsi="Times New Roman" w:cs="Times New Roman" w:hint="eastAsia"/>
          <w:sz w:val="24"/>
          <w:szCs w:val="24"/>
        </w:rPr>
        <w:t>认为在进行直接投资前，投资咨询</w:t>
      </w:r>
      <w:r w:rsidR="00111586" w:rsidRPr="00B55D5B">
        <w:rPr>
          <w:rFonts w:ascii="Times New Roman" w:hAnsi="Times New Roman" w:cs="Times New Roman" w:hint="eastAsia"/>
          <w:sz w:val="24"/>
          <w:szCs w:val="24"/>
        </w:rPr>
        <w:t>满足了专业投资机构内部托管方投资</w:t>
      </w:r>
      <w:r w:rsidR="0026712D" w:rsidRPr="00B55D5B">
        <w:rPr>
          <w:rFonts w:ascii="Times New Roman" w:hAnsi="Times New Roman" w:cs="Times New Roman" w:hint="eastAsia"/>
          <w:sz w:val="24"/>
          <w:szCs w:val="24"/>
        </w:rPr>
        <w:t>的</w:t>
      </w:r>
      <w:r w:rsidRPr="00B55D5B">
        <w:rPr>
          <w:rFonts w:ascii="Times New Roman" w:hAnsi="Times New Roman" w:cs="Times New Roman" w:hint="eastAsia"/>
          <w:sz w:val="24"/>
          <w:szCs w:val="24"/>
        </w:rPr>
        <w:t>心理需求。同样，当业绩下滑时</w:t>
      </w:r>
      <w:r w:rsidR="0026712D" w:rsidRPr="00B55D5B">
        <w:rPr>
          <w:rFonts w:ascii="Times New Roman" w:hAnsi="Times New Roman" w:cs="Times New Roman" w:hint="eastAsia"/>
          <w:sz w:val="24"/>
          <w:szCs w:val="24"/>
        </w:rPr>
        <w:t>，他们</w:t>
      </w:r>
      <w:r w:rsidRPr="00B55D5B">
        <w:rPr>
          <w:rFonts w:ascii="Times New Roman" w:hAnsi="Times New Roman" w:cs="Times New Roman" w:hint="eastAsia"/>
          <w:sz w:val="24"/>
          <w:szCs w:val="24"/>
        </w:rPr>
        <w:t>也是被责骂的对象</w:t>
      </w:r>
      <w:r w:rsidR="0026712D" w:rsidRPr="00B55D5B">
        <w:rPr>
          <w:rFonts w:ascii="Times New Roman" w:hAnsi="Times New Roman" w:cs="Times New Roman" w:hint="eastAsia"/>
          <w:sz w:val="24"/>
          <w:szCs w:val="24"/>
        </w:rPr>
        <w:t>。“毕竟刚涉足对冲基金的投资者不具备进行直接投资的专业技能和知识储备。”她</w:t>
      </w:r>
      <w:r w:rsidR="004C762B" w:rsidRPr="00B55D5B">
        <w:rPr>
          <w:rFonts w:ascii="Times New Roman" w:hAnsi="Times New Roman" w:cs="Times New Roman" w:hint="eastAsia"/>
          <w:sz w:val="24"/>
          <w:szCs w:val="24"/>
        </w:rPr>
        <w:t>补充道</w:t>
      </w:r>
      <w:r w:rsidR="0026712D" w:rsidRPr="00B55D5B">
        <w:rPr>
          <w:rFonts w:ascii="Times New Roman" w:hAnsi="Times New Roman" w:cs="Times New Roman" w:hint="eastAsia"/>
          <w:sz w:val="24"/>
          <w:szCs w:val="24"/>
        </w:rPr>
        <w:t>，“在某种程度上，他们只是对对冲基金有所了解便认为他们可以进行相关的投资了。”</w:t>
      </w:r>
    </w:p>
    <w:p w:rsidR="003E31B7" w:rsidRPr="00B55D5B" w:rsidRDefault="00FB09BE" w:rsidP="003E31B7">
      <w:pPr>
        <w:spacing w:beforeLines="50" w:before="156" w:afterLines="50" w:after="156" w:line="360" w:lineRule="auto"/>
        <w:rPr>
          <w:rFonts w:ascii="Times New Roman" w:hAnsi="Times New Roman" w:cs="Times New Roman"/>
          <w:b/>
          <w:sz w:val="24"/>
          <w:szCs w:val="24"/>
        </w:rPr>
      </w:pPr>
      <w:r w:rsidRPr="00B55D5B">
        <w:rPr>
          <w:rFonts w:ascii="Times New Roman" w:hAnsi="Times New Roman" w:cs="Times New Roman" w:hint="eastAsia"/>
          <w:b/>
          <w:sz w:val="24"/>
          <w:szCs w:val="24"/>
        </w:rPr>
        <w:t>向直接投资的转变</w:t>
      </w:r>
    </w:p>
    <w:p w:rsidR="00FB09BE" w:rsidRPr="00B55D5B" w:rsidRDefault="002E362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在投资者从</w:t>
      </w:r>
      <w:r w:rsidRPr="00B55D5B">
        <w:rPr>
          <w:rFonts w:ascii="Times New Roman" w:hAnsi="Times New Roman" w:cs="Times New Roman" w:hint="eastAsia"/>
          <w:sz w:val="24"/>
          <w:szCs w:val="24"/>
        </w:rPr>
        <w:t>FOF</w:t>
      </w:r>
      <w:r w:rsidRPr="00B55D5B">
        <w:rPr>
          <w:rFonts w:ascii="Times New Roman" w:hAnsi="Times New Roman" w:cs="Times New Roman" w:hint="eastAsia"/>
          <w:sz w:val="24"/>
          <w:szCs w:val="24"/>
        </w:rPr>
        <w:t>到对冲基金的投资转变中，他们偏好于选择那些名声在外的大型基金公</w:t>
      </w:r>
      <w:r w:rsidR="00111586" w:rsidRPr="00B55D5B">
        <w:rPr>
          <w:rFonts w:ascii="Times New Roman" w:hAnsi="Times New Roman" w:cs="Times New Roman" w:hint="eastAsia"/>
          <w:sz w:val="24"/>
          <w:szCs w:val="24"/>
        </w:rPr>
        <w:t>司。除开那些受到投资者追捧的大公司，有许多小而优的基金公司未能</w:t>
      </w:r>
      <w:r w:rsidRPr="00B55D5B">
        <w:rPr>
          <w:rFonts w:ascii="Times New Roman" w:hAnsi="Times New Roman" w:cs="Times New Roman" w:hint="eastAsia"/>
          <w:sz w:val="24"/>
          <w:szCs w:val="24"/>
        </w:rPr>
        <w:t>进入大众视野。</w:t>
      </w:r>
    </w:p>
    <w:p w:rsidR="002E3626" w:rsidRPr="00B55D5B" w:rsidRDefault="002E362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遗憾的是，许多投资者并未抓住这些投资机会，反而继续追逐大型基金</w:t>
      </w:r>
      <w:r w:rsidR="00111586" w:rsidRPr="00B55D5B">
        <w:rPr>
          <w:rFonts w:ascii="Times New Roman" w:hAnsi="Times New Roman" w:cs="Times New Roman" w:hint="eastAsia"/>
          <w:sz w:val="24"/>
          <w:szCs w:val="24"/>
        </w:rPr>
        <w:t>的投资。在这种情形下，大型基金的规模</w:t>
      </w:r>
      <w:r w:rsidRPr="00B55D5B">
        <w:rPr>
          <w:rFonts w:ascii="Times New Roman" w:hAnsi="Times New Roman" w:cs="Times New Roman" w:hint="eastAsia"/>
          <w:sz w:val="24"/>
          <w:szCs w:val="24"/>
        </w:rPr>
        <w:t>越来越大，名声也越传越远。由于对冲基金有广告禁</w:t>
      </w:r>
      <w:r w:rsidR="001E12E9" w:rsidRPr="00B55D5B">
        <w:rPr>
          <w:rFonts w:ascii="Times New Roman" w:hAnsi="Times New Roman" w:cs="Times New Roman" w:hint="eastAsia"/>
          <w:sz w:val="24"/>
          <w:szCs w:val="24"/>
        </w:rPr>
        <w:t>令，找寻基金管理人也大多凭借口碑效应。如是看来，品牌效应在这个行业中的重要性就不言而喻了。</w:t>
      </w:r>
    </w:p>
    <w:p w:rsidR="001E12E9" w:rsidRPr="008A0E5D" w:rsidRDefault="00BC15D6" w:rsidP="008A0E5D">
      <w:pPr>
        <w:spacing w:beforeLines="50" w:before="156" w:afterLines="50" w:after="156" w:line="360" w:lineRule="auto"/>
        <w:ind w:firstLineChars="200" w:firstLine="480"/>
        <w:rPr>
          <w:rFonts w:ascii="Times New Roman" w:hAnsi="Times New Roman" w:cs="Times New Roman"/>
          <w:sz w:val="24"/>
          <w:szCs w:val="24"/>
        </w:rPr>
      </w:pPr>
      <w:r w:rsidRPr="00B55D5B">
        <w:rPr>
          <w:rFonts w:ascii="Times New Roman" w:hAnsi="Times New Roman" w:cs="Times New Roman" w:hint="eastAsia"/>
          <w:sz w:val="24"/>
          <w:szCs w:val="24"/>
        </w:rPr>
        <w:t>只有在业绩得到投资者口口相传的称赞后</w:t>
      </w:r>
      <w:r w:rsidR="00111586" w:rsidRPr="00B55D5B">
        <w:rPr>
          <w:rFonts w:ascii="Times New Roman" w:hAnsi="Times New Roman" w:cs="Times New Roman" w:hint="eastAsia"/>
          <w:sz w:val="24"/>
          <w:szCs w:val="24"/>
        </w:rPr>
        <w:t>，基金的品牌效应才能</w:t>
      </w:r>
      <w:r w:rsidRPr="00B55D5B">
        <w:rPr>
          <w:rFonts w:ascii="Times New Roman" w:hAnsi="Times New Roman" w:cs="Times New Roman" w:hint="eastAsia"/>
          <w:sz w:val="24"/>
          <w:szCs w:val="24"/>
        </w:rPr>
        <w:t>得以建立。问题却在于最后的结果并不如期望的那般好。在做投资的过程中，品牌效应始终取代不了尽职调查</w:t>
      </w:r>
      <w:r w:rsidR="00111586" w:rsidRPr="00B55D5B">
        <w:rPr>
          <w:rFonts w:ascii="Times New Roman" w:hAnsi="Times New Roman" w:cs="Times New Roman" w:hint="eastAsia"/>
          <w:sz w:val="24"/>
          <w:szCs w:val="24"/>
        </w:rPr>
        <w:t>。投资者应始终将尽职调查放在首位。</w:t>
      </w:r>
    </w:p>
    <w:p w:rsidR="002E3626" w:rsidRPr="002E3626" w:rsidRDefault="002E3626" w:rsidP="003E31B7">
      <w:pPr>
        <w:spacing w:beforeLines="50" w:before="156" w:afterLines="50" w:after="156" w:line="360" w:lineRule="auto"/>
        <w:rPr>
          <w:rFonts w:ascii="华文行楷" w:eastAsia="华文行楷" w:hAnsi="Times New Roman" w:cs="Times New Roman"/>
          <w:sz w:val="24"/>
          <w:szCs w:val="24"/>
        </w:rPr>
      </w:pPr>
    </w:p>
    <w:p w:rsidR="00FB09BE" w:rsidRDefault="00FB09BE" w:rsidP="003E31B7">
      <w:pPr>
        <w:spacing w:beforeLines="50" w:before="156" w:afterLines="50" w:after="156" w:line="360" w:lineRule="auto"/>
        <w:rPr>
          <w:rFonts w:ascii="Times New Roman" w:hAnsi="Times New Roman" w:cs="Times New Roman"/>
          <w:b/>
          <w:sz w:val="24"/>
          <w:szCs w:val="24"/>
        </w:rPr>
      </w:pPr>
    </w:p>
    <w:p w:rsidR="00FB09BE" w:rsidRPr="008B72C7" w:rsidRDefault="00FB09BE" w:rsidP="003E31B7">
      <w:pPr>
        <w:spacing w:beforeLines="50" w:before="156" w:afterLines="50" w:after="156" w:line="360" w:lineRule="auto"/>
        <w:rPr>
          <w:rFonts w:ascii="Times New Roman" w:hAnsi="Times New Roman" w:cs="Times New Roman"/>
          <w:b/>
          <w:sz w:val="24"/>
          <w:szCs w:val="24"/>
        </w:rPr>
      </w:pPr>
    </w:p>
    <w:p w:rsidR="00947587" w:rsidRPr="008B72C7" w:rsidRDefault="00947587" w:rsidP="003E31B7">
      <w:pPr>
        <w:spacing w:beforeLines="50" w:before="156" w:afterLines="50" w:after="156" w:line="360" w:lineRule="auto"/>
        <w:rPr>
          <w:rFonts w:ascii="Times New Roman" w:hAnsi="Times New Roman" w:cs="Times New Roman"/>
          <w:color w:val="FF0000"/>
          <w:sz w:val="24"/>
          <w:szCs w:val="24"/>
        </w:rPr>
      </w:pPr>
    </w:p>
    <w:sectPr w:rsidR="00947587" w:rsidRPr="008B72C7" w:rsidSect="007D686D">
      <w:footerReference w:type="default" r:id="rId12"/>
      <w:footnotePr>
        <w:numRestart w:val="eachPage"/>
      </w:footnotePr>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81" w:rsidRDefault="00AD2A81" w:rsidP="00946F40">
      <w:r>
        <w:separator/>
      </w:r>
    </w:p>
  </w:endnote>
  <w:endnote w:type="continuationSeparator" w:id="0">
    <w:p w:rsidR="00AD2A81" w:rsidRDefault="00AD2A81" w:rsidP="0094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870727"/>
      <w:docPartObj>
        <w:docPartGallery w:val="Page Numbers (Bottom of Page)"/>
        <w:docPartUnique/>
      </w:docPartObj>
    </w:sdtPr>
    <w:sdtEndPr/>
    <w:sdtContent>
      <w:p w:rsidR="00C52B17" w:rsidRDefault="00C52B17">
        <w:pPr>
          <w:pStyle w:val="a7"/>
          <w:jc w:val="center"/>
        </w:pPr>
        <w:r>
          <w:fldChar w:fldCharType="begin"/>
        </w:r>
        <w:r>
          <w:instrText>PAGE   \* MERGEFORMAT</w:instrText>
        </w:r>
        <w:r>
          <w:fldChar w:fldCharType="separate"/>
        </w:r>
        <w:r w:rsidR="00643C5F" w:rsidRPr="00643C5F">
          <w:rPr>
            <w:noProof/>
            <w:lang w:val="zh-CN"/>
          </w:rPr>
          <w:t>12</w:t>
        </w:r>
        <w:r>
          <w:fldChar w:fldCharType="end"/>
        </w:r>
      </w:p>
    </w:sdtContent>
  </w:sdt>
  <w:p w:rsidR="00C52B17" w:rsidRDefault="00C52B1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81" w:rsidRDefault="00AD2A81" w:rsidP="00946F40">
      <w:r>
        <w:separator/>
      </w:r>
    </w:p>
  </w:footnote>
  <w:footnote w:type="continuationSeparator" w:id="0">
    <w:p w:rsidR="00AD2A81" w:rsidRDefault="00AD2A81" w:rsidP="00946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43032"/>
    <w:multiLevelType w:val="hybridMultilevel"/>
    <w:tmpl w:val="0EA8B854"/>
    <w:lvl w:ilvl="0" w:tplc="04090003">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婧安">
    <w15:presenceInfo w15:providerId="Windows Live" w15:userId="d93a903116b1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E5"/>
    <w:rsid w:val="00006FD5"/>
    <w:rsid w:val="00014B26"/>
    <w:rsid w:val="0002761C"/>
    <w:rsid w:val="00033B34"/>
    <w:rsid w:val="000376B6"/>
    <w:rsid w:val="000559A5"/>
    <w:rsid w:val="00065670"/>
    <w:rsid w:val="00073072"/>
    <w:rsid w:val="0007477F"/>
    <w:rsid w:val="00084702"/>
    <w:rsid w:val="00085B92"/>
    <w:rsid w:val="000910F6"/>
    <w:rsid w:val="0009271C"/>
    <w:rsid w:val="000A32AF"/>
    <w:rsid w:val="000A5352"/>
    <w:rsid w:val="000E0EA3"/>
    <w:rsid w:val="000E3C63"/>
    <w:rsid w:val="000E74D7"/>
    <w:rsid w:val="000F02A4"/>
    <w:rsid w:val="000F05D3"/>
    <w:rsid w:val="00111586"/>
    <w:rsid w:val="001176D1"/>
    <w:rsid w:val="00142635"/>
    <w:rsid w:val="001427D6"/>
    <w:rsid w:val="00155293"/>
    <w:rsid w:val="0017618F"/>
    <w:rsid w:val="001767FD"/>
    <w:rsid w:val="00177568"/>
    <w:rsid w:val="0018043A"/>
    <w:rsid w:val="00183418"/>
    <w:rsid w:val="00190381"/>
    <w:rsid w:val="00193D68"/>
    <w:rsid w:val="001A03B9"/>
    <w:rsid w:val="001A19CF"/>
    <w:rsid w:val="001A447F"/>
    <w:rsid w:val="001B019A"/>
    <w:rsid w:val="001C6056"/>
    <w:rsid w:val="001D2BA8"/>
    <w:rsid w:val="001E0C0E"/>
    <w:rsid w:val="001E12E9"/>
    <w:rsid w:val="001E1E8C"/>
    <w:rsid w:val="001F12BC"/>
    <w:rsid w:val="001F7741"/>
    <w:rsid w:val="002000E4"/>
    <w:rsid w:val="00220C70"/>
    <w:rsid w:val="00231CEF"/>
    <w:rsid w:val="00237D4E"/>
    <w:rsid w:val="002466BF"/>
    <w:rsid w:val="00251C5C"/>
    <w:rsid w:val="00251EE6"/>
    <w:rsid w:val="002578B7"/>
    <w:rsid w:val="00262991"/>
    <w:rsid w:val="0026712D"/>
    <w:rsid w:val="00271413"/>
    <w:rsid w:val="00282F63"/>
    <w:rsid w:val="002B26CB"/>
    <w:rsid w:val="002B3D42"/>
    <w:rsid w:val="002C29ED"/>
    <w:rsid w:val="002C2D37"/>
    <w:rsid w:val="002C3C13"/>
    <w:rsid w:val="002C7EE1"/>
    <w:rsid w:val="002D046E"/>
    <w:rsid w:val="002D6E76"/>
    <w:rsid w:val="002E3626"/>
    <w:rsid w:val="002F0DB2"/>
    <w:rsid w:val="002F280A"/>
    <w:rsid w:val="00301B6A"/>
    <w:rsid w:val="00303BD4"/>
    <w:rsid w:val="00313D72"/>
    <w:rsid w:val="00315325"/>
    <w:rsid w:val="003160D8"/>
    <w:rsid w:val="00336904"/>
    <w:rsid w:val="00351F0B"/>
    <w:rsid w:val="00371A71"/>
    <w:rsid w:val="0038128F"/>
    <w:rsid w:val="003A176D"/>
    <w:rsid w:val="003B47E3"/>
    <w:rsid w:val="003B54D4"/>
    <w:rsid w:val="003C34C9"/>
    <w:rsid w:val="003D00AC"/>
    <w:rsid w:val="003E31B7"/>
    <w:rsid w:val="003E3914"/>
    <w:rsid w:val="003E7EBA"/>
    <w:rsid w:val="003F27A8"/>
    <w:rsid w:val="00405363"/>
    <w:rsid w:val="00414F5D"/>
    <w:rsid w:val="004227DD"/>
    <w:rsid w:val="004275D4"/>
    <w:rsid w:val="00464F06"/>
    <w:rsid w:val="00471460"/>
    <w:rsid w:val="00494ABF"/>
    <w:rsid w:val="004950C9"/>
    <w:rsid w:val="004956A1"/>
    <w:rsid w:val="004A582E"/>
    <w:rsid w:val="004C2256"/>
    <w:rsid w:val="004C762B"/>
    <w:rsid w:val="004F1B51"/>
    <w:rsid w:val="00504DCF"/>
    <w:rsid w:val="0051081C"/>
    <w:rsid w:val="0051170D"/>
    <w:rsid w:val="0052041B"/>
    <w:rsid w:val="005243F6"/>
    <w:rsid w:val="00532C62"/>
    <w:rsid w:val="00534ADA"/>
    <w:rsid w:val="005365A8"/>
    <w:rsid w:val="00541B4E"/>
    <w:rsid w:val="00542A2E"/>
    <w:rsid w:val="00550F4E"/>
    <w:rsid w:val="00566491"/>
    <w:rsid w:val="00584A49"/>
    <w:rsid w:val="005876A7"/>
    <w:rsid w:val="00590F43"/>
    <w:rsid w:val="005940F2"/>
    <w:rsid w:val="00597151"/>
    <w:rsid w:val="005A799E"/>
    <w:rsid w:val="005A7A94"/>
    <w:rsid w:val="005B380D"/>
    <w:rsid w:val="005B69CD"/>
    <w:rsid w:val="005C78D8"/>
    <w:rsid w:val="005D0542"/>
    <w:rsid w:val="005D336C"/>
    <w:rsid w:val="005E35AC"/>
    <w:rsid w:val="005E61DD"/>
    <w:rsid w:val="005E69A8"/>
    <w:rsid w:val="005F1F30"/>
    <w:rsid w:val="005F6C6D"/>
    <w:rsid w:val="0063618C"/>
    <w:rsid w:val="0063689A"/>
    <w:rsid w:val="00643C5F"/>
    <w:rsid w:val="0066291D"/>
    <w:rsid w:val="006663FF"/>
    <w:rsid w:val="0067015A"/>
    <w:rsid w:val="00672577"/>
    <w:rsid w:val="006737ED"/>
    <w:rsid w:val="00695247"/>
    <w:rsid w:val="006B7C24"/>
    <w:rsid w:val="006C3BC2"/>
    <w:rsid w:val="006C6343"/>
    <w:rsid w:val="006C6BEC"/>
    <w:rsid w:val="006C7FB2"/>
    <w:rsid w:val="006F1DA5"/>
    <w:rsid w:val="006F2C1C"/>
    <w:rsid w:val="00700BCD"/>
    <w:rsid w:val="00735893"/>
    <w:rsid w:val="007375F5"/>
    <w:rsid w:val="00747AF7"/>
    <w:rsid w:val="00754FF2"/>
    <w:rsid w:val="00755244"/>
    <w:rsid w:val="00767323"/>
    <w:rsid w:val="00772C1F"/>
    <w:rsid w:val="00786A2C"/>
    <w:rsid w:val="007A0CE6"/>
    <w:rsid w:val="007A1B24"/>
    <w:rsid w:val="007A78A8"/>
    <w:rsid w:val="007B0F51"/>
    <w:rsid w:val="007B7712"/>
    <w:rsid w:val="007C10B3"/>
    <w:rsid w:val="007C3B4E"/>
    <w:rsid w:val="007D004B"/>
    <w:rsid w:val="007D686D"/>
    <w:rsid w:val="007F3FAE"/>
    <w:rsid w:val="007F729D"/>
    <w:rsid w:val="00812ABD"/>
    <w:rsid w:val="00822715"/>
    <w:rsid w:val="00836F09"/>
    <w:rsid w:val="0084028F"/>
    <w:rsid w:val="00853B42"/>
    <w:rsid w:val="00853B82"/>
    <w:rsid w:val="00861CA5"/>
    <w:rsid w:val="00864A38"/>
    <w:rsid w:val="008804FD"/>
    <w:rsid w:val="00880AC2"/>
    <w:rsid w:val="00896EC6"/>
    <w:rsid w:val="008A0E5D"/>
    <w:rsid w:val="008A1CEF"/>
    <w:rsid w:val="008A724F"/>
    <w:rsid w:val="008B1D58"/>
    <w:rsid w:val="008B72C7"/>
    <w:rsid w:val="008C4D03"/>
    <w:rsid w:val="008D1097"/>
    <w:rsid w:val="00905A85"/>
    <w:rsid w:val="009107AC"/>
    <w:rsid w:val="0092158A"/>
    <w:rsid w:val="00927F35"/>
    <w:rsid w:val="00934756"/>
    <w:rsid w:val="00936D97"/>
    <w:rsid w:val="00944813"/>
    <w:rsid w:val="00944C9C"/>
    <w:rsid w:val="00946F40"/>
    <w:rsid w:val="00947587"/>
    <w:rsid w:val="009515FA"/>
    <w:rsid w:val="009615F0"/>
    <w:rsid w:val="009617A3"/>
    <w:rsid w:val="0097064B"/>
    <w:rsid w:val="009833C4"/>
    <w:rsid w:val="00990EFA"/>
    <w:rsid w:val="009965B4"/>
    <w:rsid w:val="009A0537"/>
    <w:rsid w:val="009A20B8"/>
    <w:rsid w:val="009A2C8F"/>
    <w:rsid w:val="009A7AC9"/>
    <w:rsid w:val="009B19B3"/>
    <w:rsid w:val="009B245F"/>
    <w:rsid w:val="009B4480"/>
    <w:rsid w:val="009C1EE0"/>
    <w:rsid w:val="009C6D87"/>
    <w:rsid w:val="009E7299"/>
    <w:rsid w:val="00A1405D"/>
    <w:rsid w:val="00A2345D"/>
    <w:rsid w:val="00A4489D"/>
    <w:rsid w:val="00A52BE5"/>
    <w:rsid w:val="00A5645A"/>
    <w:rsid w:val="00A662D0"/>
    <w:rsid w:val="00A73DF3"/>
    <w:rsid w:val="00A852AC"/>
    <w:rsid w:val="00A859DC"/>
    <w:rsid w:val="00AB6841"/>
    <w:rsid w:val="00AC042B"/>
    <w:rsid w:val="00AD1932"/>
    <w:rsid w:val="00AD1EFA"/>
    <w:rsid w:val="00AD23A6"/>
    <w:rsid w:val="00AD2A81"/>
    <w:rsid w:val="00AD4D69"/>
    <w:rsid w:val="00AD53F9"/>
    <w:rsid w:val="00AE394C"/>
    <w:rsid w:val="00AF4017"/>
    <w:rsid w:val="00AF5D9D"/>
    <w:rsid w:val="00B00261"/>
    <w:rsid w:val="00B05954"/>
    <w:rsid w:val="00B12511"/>
    <w:rsid w:val="00B17EF6"/>
    <w:rsid w:val="00B2035F"/>
    <w:rsid w:val="00B208E9"/>
    <w:rsid w:val="00B27393"/>
    <w:rsid w:val="00B43ACC"/>
    <w:rsid w:val="00B469E5"/>
    <w:rsid w:val="00B55D5B"/>
    <w:rsid w:val="00B57715"/>
    <w:rsid w:val="00B77ED7"/>
    <w:rsid w:val="00B86AFD"/>
    <w:rsid w:val="00B95CAC"/>
    <w:rsid w:val="00BA2038"/>
    <w:rsid w:val="00BB7030"/>
    <w:rsid w:val="00BC15D6"/>
    <w:rsid w:val="00BC1813"/>
    <w:rsid w:val="00BF65CF"/>
    <w:rsid w:val="00C01464"/>
    <w:rsid w:val="00C05525"/>
    <w:rsid w:val="00C1131E"/>
    <w:rsid w:val="00C2115F"/>
    <w:rsid w:val="00C22140"/>
    <w:rsid w:val="00C327BF"/>
    <w:rsid w:val="00C43E8F"/>
    <w:rsid w:val="00C46712"/>
    <w:rsid w:val="00C52B17"/>
    <w:rsid w:val="00C5333D"/>
    <w:rsid w:val="00C60E13"/>
    <w:rsid w:val="00C61D7A"/>
    <w:rsid w:val="00C67D89"/>
    <w:rsid w:val="00C703DB"/>
    <w:rsid w:val="00C70AC6"/>
    <w:rsid w:val="00CA5A4A"/>
    <w:rsid w:val="00CB43FA"/>
    <w:rsid w:val="00CC1F6B"/>
    <w:rsid w:val="00CC2765"/>
    <w:rsid w:val="00CD066C"/>
    <w:rsid w:val="00CD27B5"/>
    <w:rsid w:val="00CF0E2B"/>
    <w:rsid w:val="00CF1ADB"/>
    <w:rsid w:val="00CF2341"/>
    <w:rsid w:val="00CF57C3"/>
    <w:rsid w:val="00D16FA2"/>
    <w:rsid w:val="00D22A7B"/>
    <w:rsid w:val="00D269F1"/>
    <w:rsid w:val="00D308EE"/>
    <w:rsid w:val="00D33E77"/>
    <w:rsid w:val="00D378F8"/>
    <w:rsid w:val="00D546C6"/>
    <w:rsid w:val="00D5485A"/>
    <w:rsid w:val="00D64A2D"/>
    <w:rsid w:val="00D6591C"/>
    <w:rsid w:val="00D70DAF"/>
    <w:rsid w:val="00D8039A"/>
    <w:rsid w:val="00D8723D"/>
    <w:rsid w:val="00D90055"/>
    <w:rsid w:val="00D934D8"/>
    <w:rsid w:val="00D94633"/>
    <w:rsid w:val="00DB292B"/>
    <w:rsid w:val="00DD0DB3"/>
    <w:rsid w:val="00DD1524"/>
    <w:rsid w:val="00DE10A1"/>
    <w:rsid w:val="00DE5794"/>
    <w:rsid w:val="00E154D1"/>
    <w:rsid w:val="00E436C0"/>
    <w:rsid w:val="00E46CDC"/>
    <w:rsid w:val="00E54E8B"/>
    <w:rsid w:val="00E56DAF"/>
    <w:rsid w:val="00E86819"/>
    <w:rsid w:val="00EB3943"/>
    <w:rsid w:val="00EC10E0"/>
    <w:rsid w:val="00EC1ED9"/>
    <w:rsid w:val="00ED3568"/>
    <w:rsid w:val="00ED35D3"/>
    <w:rsid w:val="00ED3F2E"/>
    <w:rsid w:val="00ED6F23"/>
    <w:rsid w:val="00EE0BBD"/>
    <w:rsid w:val="00EF172B"/>
    <w:rsid w:val="00F0111C"/>
    <w:rsid w:val="00F0129B"/>
    <w:rsid w:val="00F07C8C"/>
    <w:rsid w:val="00F10DA5"/>
    <w:rsid w:val="00F15144"/>
    <w:rsid w:val="00F16192"/>
    <w:rsid w:val="00F22067"/>
    <w:rsid w:val="00F2705D"/>
    <w:rsid w:val="00F35131"/>
    <w:rsid w:val="00F3666C"/>
    <w:rsid w:val="00F36B99"/>
    <w:rsid w:val="00F3755D"/>
    <w:rsid w:val="00F50016"/>
    <w:rsid w:val="00F50368"/>
    <w:rsid w:val="00F5542D"/>
    <w:rsid w:val="00F753BF"/>
    <w:rsid w:val="00F85C56"/>
    <w:rsid w:val="00F874C1"/>
    <w:rsid w:val="00F87CC4"/>
    <w:rsid w:val="00F91FC3"/>
    <w:rsid w:val="00FB09BE"/>
    <w:rsid w:val="00FC075B"/>
    <w:rsid w:val="00FC2137"/>
    <w:rsid w:val="00FD1B72"/>
    <w:rsid w:val="00FD5033"/>
    <w:rsid w:val="00FD5A6E"/>
    <w:rsid w:val="00FE1F88"/>
    <w:rsid w:val="00FF3218"/>
    <w:rsid w:val="00FF502C"/>
    <w:rsid w:val="00FF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142635"/>
    <w:pPr>
      <w:spacing w:before="120" w:after="120"/>
      <w:jc w:val="left"/>
    </w:pPr>
    <w:rPr>
      <w:rFonts w:cstheme="minorHAnsi"/>
      <w:b/>
      <w:bCs/>
      <w:caps/>
      <w:sz w:val="28"/>
      <w:szCs w:val="20"/>
    </w:rPr>
  </w:style>
  <w:style w:type="paragraph" w:styleId="a3">
    <w:name w:val="List Paragraph"/>
    <w:basedOn w:val="a"/>
    <w:uiPriority w:val="34"/>
    <w:qFormat/>
    <w:rsid w:val="00C703DB"/>
    <w:pPr>
      <w:ind w:firstLineChars="200" w:firstLine="420"/>
    </w:pPr>
  </w:style>
  <w:style w:type="paragraph" w:styleId="a4">
    <w:name w:val="footnote text"/>
    <w:basedOn w:val="a"/>
    <w:link w:val="Char"/>
    <w:uiPriority w:val="99"/>
    <w:semiHidden/>
    <w:unhideWhenUsed/>
    <w:rsid w:val="00946F40"/>
    <w:pPr>
      <w:snapToGrid w:val="0"/>
      <w:jc w:val="left"/>
    </w:pPr>
    <w:rPr>
      <w:sz w:val="18"/>
      <w:szCs w:val="18"/>
    </w:rPr>
  </w:style>
  <w:style w:type="character" w:customStyle="1" w:styleId="Char">
    <w:name w:val="脚注文本 Char"/>
    <w:basedOn w:val="a0"/>
    <w:link w:val="a4"/>
    <w:uiPriority w:val="99"/>
    <w:semiHidden/>
    <w:rsid w:val="00946F40"/>
    <w:rPr>
      <w:sz w:val="18"/>
      <w:szCs w:val="18"/>
    </w:rPr>
  </w:style>
  <w:style w:type="character" w:styleId="a5">
    <w:name w:val="footnote reference"/>
    <w:basedOn w:val="a0"/>
    <w:uiPriority w:val="99"/>
    <w:semiHidden/>
    <w:unhideWhenUsed/>
    <w:rsid w:val="00946F40"/>
    <w:rPr>
      <w:vertAlign w:val="superscript"/>
    </w:rPr>
  </w:style>
  <w:style w:type="paragraph" w:styleId="a6">
    <w:name w:val="header"/>
    <w:basedOn w:val="a"/>
    <w:link w:val="Char0"/>
    <w:uiPriority w:val="99"/>
    <w:unhideWhenUsed/>
    <w:rsid w:val="006361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3618C"/>
    <w:rPr>
      <w:sz w:val="18"/>
      <w:szCs w:val="18"/>
    </w:rPr>
  </w:style>
  <w:style w:type="paragraph" w:styleId="a7">
    <w:name w:val="footer"/>
    <w:basedOn w:val="a"/>
    <w:link w:val="Char1"/>
    <w:uiPriority w:val="99"/>
    <w:unhideWhenUsed/>
    <w:rsid w:val="0063618C"/>
    <w:pPr>
      <w:tabs>
        <w:tab w:val="center" w:pos="4153"/>
        <w:tab w:val="right" w:pos="8306"/>
      </w:tabs>
      <w:snapToGrid w:val="0"/>
      <w:jc w:val="left"/>
    </w:pPr>
    <w:rPr>
      <w:sz w:val="18"/>
      <w:szCs w:val="18"/>
    </w:rPr>
  </w:style>
  <w:style w:type="character" w:customStyle="1" w:styleId="Char1">
    <w:name w:val="页脚 Char"/>
    <w:basedOn w:val="a0"/>
    <w:link w:val="a7"/>
    <w:uiPriority w:val="99"/>
    <w:rsid w:val="0063618C"/>
    <w:rPr>
      <w:sz w:val="18"/>
      <w:szCs w:val="18"/>
    </w:rPr>
  </w:style>
  <w:style w:type="table" w:styleId="a8">
    <w:name w:val="Table Grid"/>
    <w:basedOn w:val="a1"/>
    <w:uiPriority w:val="59"/>
    <w:rsid w:val="007D6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8"/>
    <w:uiPriority w:val="59"/>
    <w:rsid w:val="007D6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A859DC"/>
    <w:rPr>
      <w:sz w:val="18"/>
      <w:szCs w:val="18"/>
    </w:rPr>
  </w:style>
  <w:style w:type="character" w:customStyle="1" w:styleId="Char2">
    <w:name w:val="批注框文本 Char"/>
    <w:basedOn w:val="a0"/>
    <w:link w:val="a9"/>
    <w:uiPriority w:val="99"/>
    <w:semiHidden/>
    <w:rsid w:val="00A859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142635"/>
    <w:pPr>
      <w:spacing w:before="120" w:after="120"/>
      <w:jc w:val="left"/>
    </w:pPr>
    <w:rPr>
      <w:rFonts w:cstheme="minorHAnsi"/>
      <w:b/>
      <w:bCs/>
      <w:caps/>
      <w:sz w:val="28"/>
      <w:szCs w:val="20"/>
    </w:rPr>
  </w:style>
  <w:style w:type="paragraph" w:styleId="a3">
    <w:name w:val="List Paragraph"/>
    <w:basedOn w:val="a"/>
    <w:uiPriority w:val="34"/>
    <w:qFormat/>
    <w:rsid w:val="00C703DB"/>
    <w:pPr>
      <w:ind w:firstLineChars="200" w:firstLine="420"/>
    </w:pPr>
  </w:style>
  <w:style w:type="paragraph" w:styleId="a4">
    <w:name w:val="footnote text"/>
    <w:basedOn w:val="a"/>
    <w:link w:val="Char"/>
    <w:uiPriority w:val="99"/>
    <w:semiHidden/>
    <w:unhideWhenUsed/>
    <w:rsid w:val="00946F40"/>
    <w:pPr>
      <w:snapToGrid w:val="0"/>
      <w:jc w:val="left"/>
    </w:pPr>
    <w:rPr>
      <w:sz w:val="18"/>
      <w:szCs w:val="18"/>
    </w:rPr>
  </w:style>
  <w:style w:type="character" w:customStyle="1" w:styleId="Char">
    <w:name w:val="脚注文本 Char"/>
    <w:basedOn w:val="a0"/>
    <w:link w:val="a4"/>
    <w:uiPriority w:val="99"/>
    <w:semiHidden/>
    <w:rsid w:val="00946F40"/>
    <w:rPr>
      <w:sz w:val="18"/>
      <w:szCs w:val="18"/>
    </w:rPr>
  </w:style>
  <w:style w:type="character" w:styleId="a5">
    <w:name w:val="footnote reference"/>
    <w:basedOn w:val="a0"/>
    <w:uiPriority w:val="99"/>
    <w:semiHidden/>
    <w:unhideWhenUsed/>
    <w:rsid w:val="00946F40"/>
    <w:rPr>
      <w:vertAlign w:val="superscript"/>
    </w:rPr>
  </w:style>
  <w:style w:type="paragraph" w:styleId="a6">
    <w:name w:val="header"/>
    <w:basedOn w:val="a"/>
    <w:link w:val="Char0"/>
    <w:uiPriority w:val="99"/>
    <w:unhideWhenUsed/>
    <w:rsid w:val="006361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3618C"/>
    <w:rPr>
      <w:sz w:val="18"/>
      <w:szCs w:val="18"/>
    </w:rPr>
  </w:style>
  <w:style w:type="paragraph" w:styleId="a7">
    <w:name w:val="footer"/>
    <w:basedOn w:val="a"/>
    <w:link w:val="Char1"/>
    <w:uiPriority w:val="99"/>
    <w:unhideWhenUsed/>
    <w:rsid w:val="0063618C"/>
    <w:pPr>
      <w:tabs>
        <w:tab w:val="center" w:pos="4153"/>
        <w:tab w:val="right" w:pos="8306"/>
      </w:tabs>
      <w:snapToGrid w:val="0"/>
      <w:jc w:val="left"/>
    </w:pPr>
    <w:rPr>
      <w:sz w:val="18"/>
      <w:szCs w:val="18"/>
    </w:rPr>
  </w:style>
  <w:style w:type="character" w:customStyle="1" w:styleId="Char1">
    <w:name w:val="页脚 Char"/>
    <w:basedOn w:val="a0"/>
    <w:link w:val="a7"/>
    <w:uiPriority w:val="99"/>
    <w:rsid w:val="0063618C"/>
    <w:rPr>
      <w:sz w:val="18"/>
      <w:szCs w:val="18"/>
    </w:rPr>
  </w:style>
  <w:style w:type="table" w:styleId="a8">
    <w:name w:val="Table Grid"/>
    <w:basedOn w:val="a1"/>
    <w:uiPriority w:val="59"/>
    <w:rsid w:val="007D6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8"/>
    <w:uiPriority w:val="59"/>
    <w:rsid w:val="007D68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A859DC"/>
    <w:rPr>
      <w:sz w:val="18"/>
      <w:szCs w:val="18"/>
    </w:rPr>
  </w:style>
  <w:style w:type="character" w:customStyle="1" w:styleId="Char2">
    <w:name w:val="批注框文本 Char"/>
    <w:basedOn w:val="a0"/>
    <w:link w:val="a9"/>
    <w:uiPriority w:val="99"/>
    <w:semiHidden/>
    <w:rsid w:val="00A859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7836">
      <w:bodyDiv w:val="1"/>
      <w:marLeft w:val="0"/>
      <w:marRight w:val="0"/>
      <w:marTop w:val="0"/>
      <w:marBottom w:val="0"/>
      <w:divBdr>
        <w:top w:val="none" w:sz="0" w:space="0" w:color="auto"/>
        <w:left w:val="none" w:sz="0" w:space="0" w:color="auto"/>
        <w:bottom w:val="none" w:sz="0" w:space="0" w:color="auto"/>
        <w:right w:val="none" w:sz="0" w:space="0" w:color="auto"/>
      </w:divBdr>
      <w:divsChild>
        <w:div w:id="1137605018">
          <w:marLeft w:val="0"/>
          <w:marRight w:val="0"/>
          <w:marTop w:val="0"/>
          <w:marBottom w:val="0"/>
          <w:divBdr>
            <w:top w:val="single" w:sz="18" w:space="0" w:color="9ECE1C"/>
            <w:left w:val="single" w:sz="18" w:space="0" w:color="9ECE1C"/>
            <w:bottom w:val="single" w:sz="18" w:space="0" w:color="9ECE1C"/>
            <w:right w:val="single" w:sz="18" w:space="0" w:color="9ECE1C"/>
          </w:divBdr>
        </w:div>
        <w:div w:id="2136481404">
          <w:marLeft w:val="0"/>
          <w:marRight w:val="0"/>
          <w:marTop w:val="0"/>
          <w:marBottom w:val="0"/>
          <w:divBdr>
            <w:top w:val="none" w:sz="0" w:space="0" w:color="auto"/>
            <w:left w:val="none" w:sz="0" w:space="0" w:color="auto"/>
            <w:bottom w:val="none" w:sz="0" w:space="0" w:color="auto"/>
            <w:right w:val="none" w:sz="0" w:space="0" w:color="auto"/>
          </w:divBdr>
          <w:divsChild>
            <w:div w:id="152576042">
              <w:marLeft w:val="0"/>
              <w:marRight w:val="0"/>
              <w:marTop w:val="0"/>
              <w:marBottom w:val="0"/>
              <w:divBdr>
                <w:top w:val="none" w:sz="0" w:space="0" w:color="auto"/>
                <w:left w:val="none" w:sz="0" w:space="0" w:color="auto"/>
                <w:bottom w:val="none" w:sz="0" w:space="0" w:color="auto"/>
                <w:right w:val="none" w:sz="0" w:space="0" w:color="auto"/>
              </w:divBdr>
              <w:divsChild>
                <w:div w:id="6802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___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___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赎回比例</c:v>
                </c:pt>
              </c:strCache>
            </c:strRef>
          </c:tx>
          <c:spPr>
            <a:solidFill>
              <a:schemeClr val="accent1"/>
            </a:solidFill>
            <a:ln>
              <a:noFill/>
            </a:ln>
            <a:effectLst/>
          </c:spPr>
          <c:invertIfNegative val="0"/>
          <c:dPt>
            <c:idx val="0"/>
            <c:invertIfNegative val="0"/>
            <c:bubble3D val="0"/>
            <c:spPr>
              <a:solidFill>
                <a:schemeClr val="accent3">
                  <a:lumMod val="60000"/>
                  <a:lumOff val="40000"/>
                </a:schemeClr>
              </a:solidFill>
              <a:ln>
                <a:noFill/>
              </a:ln>
              <a:effectLst/>
            </c:spPr>
            <c:extLst xmlns:c16r2="http://schemas.microsoft.com/office/drawing/2015/06/chart">
              <c:ext xmlns:c16="http://schemas.microsoft.com/office/drawing/2014/chart" uri="{C3380CC4-5D6E-409C-BE32-E72D297353CC}">
                <c16:uniqueId val="{00000001-CBC6-4724-B2B0-61BBE1F2E342}"/>
              </c:ext>
            </c:extLst>
          </c:dPt>
          <c:dPt>
            <c:idx val="1"/>
            <c:invertIfNegative val="0"/>
            <c:bubble3D val="0"/>
            <c:spPr>
              <a:solidFill>
                <a:schemeClr val="accent3">
                  <a:lumMod val="40000"/>
                  <a:lumOff val="60000"/>
                </a:schemeClr>
              </a:solidFill>
              <a:ln>
                <a:noFill/>
              </a:ln>
              <a:effectLst/>
            </c:spPr>
            <c:extLst xmlns:c16r2="http://schemas.microsoft.com/office/drawing/2015/06/chart">
              <c:ext xmlns:c16="http://schemas.microsoft.com/office/drawing/2014/chart" uri="{C3380CC4-5D6E-409C-BE32-E72D297353CC}">
                <c16:uniqueId val="{00000003-CBC6-4724-B2B0-61BBE1F2E342}"/>
              </c:ext>
            </c:extLst>
          </c:dPt>
          <c:dPt>
            <c:idx val="2"/>
            <c:invertIfNegative val="0"/>
            <c:bubble3D val="0"/>
            <c:spPr>
              <a:solidFill>
                <a:schemeClr val="accent3">
                  <a:lumMod val="75000"/>
                </a:schemeClr>
              </a:solidFill>
              <a:ln>
                <a:solidFill>
                  <a:schemeClr val="accent3">
                    <a:lumMod val="75000"/>
                  </a:schemeClr>
                </a:solidFill>
              </a:ln>
              <a:effectLst/>
            </c:spPr>
            <c:extLst xmlns:c16r2="http://schemas.microsoft.com/office/drawing/2015/06/chart">
              <c:ext xmlns:c16="http://schemas.microsoft.com/office/drawing/2014/chart" uri="{C3380CC4-5D6E-409C-BE32-E72D297353CC}">
                <c16:uniqueId val="{00000005-CBC6-4724-B2B0-61BBE1F2E3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传统投资</c:v>
                </c:pt>
                <c:pt idx="1">
                  <c:v>对冲基金/FOF</c:v>
                </c:pt>
                <c:pt idx="2">
                  <c:v>其他</c:v>
                </c:pt>
              </c:strCache>
            </c:strRef>
          </c:cat>
          <c:val>
            <c:numRef>
              <c:f>Sheet1!$B$2:$B$4</c:f>
              <c:numCache>
                <c:formatCode>0%</c:formatCode>
                <c:ptCount val="3"/>
                <c:pt idx="0">
                  <c:v>0.46</c:v>
                </c:pt>
                <c:pt idx="1">
                  <c:v>0.55000000000000004</c:v>
                </c:pt>
                <c:pt idx="2">
                  <c:v>0.03</c:v>
                </c:pt>
              </c:numCache>
            </c:numRef>
          </c:val>
          <c:extLst xmlns:c16r2="http://schemas.microsoft.com/office/drawing/2015/06/chart">
            <c:ext xmlns:c16="http://schemas.microsoft.com/office/drawing/2014/chart" uri="{C3380CC4-5D6E-409C-BE32-E72D297353CC}">
              <c16:uniqueId val="{00000006-CBC6-4724-B2B0-61BBE1F2E342}"/>
            </c:ext>
          </c:extLst>
        </c:ser>
        <c:dLbls>
          <c:dLblPos val="outEnd"/>
          <c:showLegendKey val="0"/>
          <c:showVal val="1"/>
          <c:showCatName val="0"/>
          <c:showSerName val="0"/>
          <c:showPercent val="0"/>
          <c:showBubbleSize val="0"/>
        </c:dLbls>
        <c:gapWidth val="219"/>
        <c:overlap val="-27"/>
        <c:axId val="269282304"/>
        <c:axId val="269298688"/>
      </c:barChart>
      <c:catAx>
        <c:axId val="26928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9298688"/>
        <c:crosses val="autoZero"/>
        <c:auto val="1"/>
        <c:lblAlgn val="ctr"/>
        <c:lblOffset val="100"/>
        <c:noMultiLvlLbl val="0"/>
      </c:catAx>
      <c:valAx>
        <c:axId val="26929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占调查对象比例</a:t>
                </a:r>
              </a:p>
            </c:rich>
          </c:tx>
          <c:layout>
            <c:manualLayout>
              <c:xMode val="edge"/>
              <c:yMode val="edge"/>
              <c:x val="1.6666666666666666E-2"/>
              <c:y val="0.36250400991542725"/>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928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赎回比例</c:v>
                </c:pt>
              </c:strCache>
            </c:strRef>
          </c:tx>
          <c:spPr>
            <a:solidFill>
              <a:schemeClr val="accent1"/>
            </a:solidFill>
            <a:ln>
              <a:noFill/>
            </a:ln>
            <a:effectLst/>
          </c:spPr>
          <c:invertIfNegative val="0"/>
          <c:dPt>
            <c:idx val="0"/>
            <c:invertIfNegative val="0"/>
            <c:bubble3D val="0"/>
            <c:spPr>
              <a:solidFill>
                <a:schemeClr val="accent3">
                  <a:lumMod val="60000"/>
                  <a:lumOff val="40000"/>
                </a:schemeClr>
              </a:solidFill>
              <a:ln>
                <a:noFill/>
              </a:ln>
              <a:effectLst/>
            </c:spPr>
            <c:extLst xmlns:c16r2="http://schemas.microsoft.com/office/drawing/2015/06/chart">
              <c:ext xmlns:c16="http://schemas.microsoft.com/office/drawing/2014/chart" uri="{C3380CC4-5D6E-409C-BE32-E72D297353CC}">
                <c16:uniqueId val="{00000001-07D5-463A-9705-B8DDFBA7CA2D}"/>
              </c:ext>
            </c:extLst>
          </c:dPt>
          <c:dPt>
            <c:idx val="1"/>
            <c:invertIfNegative val="0"/>
            <c:bubble3D val="0"/>
            <c:spPr>
              <a:solidFill>
                <a:schemeClr val="accent3">
                  <a:lumMod val="40000"/>
                  <a:lumOff val="60000"/>
                </a:schemeClr>
              </a:solidFill>
              <a:ln>
                <a:noFill/>
              </a:ln>
              <a:effectLst/>
            </c:spPr>
            <c:extLst xmlns:c16r2="http://schemas.microsoft.com/office/drawing/2015/06/chart">
              <c:ext xmlns:c16="http://schemas.microsoft.com/office/drawing/2014/chart" uri="{C3380CC4-5D6E-409C-BE32-E72D297353CC}">
                <c16:uniqueId val="{00000003-07D5-463A-9705-B8DDFBA7CA2D}"/>
              </c:ext>
            </c:extLst>
          </c:dPt>
          <c:dPt>
            <c:idx val="2"/>
            <c:invertIfNegative val="0"/>
            <c:bubble3D val="0"/>
            <c:spPr>
              <a:solidFill>
                <a:schemeClr val="accent3">
                  <a:lumMod val="75000"/>
                </a:schemeClr>
              </a:solidFill>
              <a:ln>
                <a:solidFill>
                  <a:schemeClr val="accent3">
                    <a:lumMod val="75000"/>
                  </a:schemeClr>
                </a:solidFill>
              </a:ln>
              <a:effectLst/>
            </c:spPr>
            <c:extLst xmlns:c16r2="http://schemas.microsoft.com/office/drawing/2015/06/chart">
              <c:ext xmlns:c16="http://schemas.microsoft.com/office/drawing/2014/chart" uri="{C3380CC4-5D6E-409C-BE32-E72D297353CC}">
                <c16:uniqueId val="{00000005-07D5-463A-9705-B8DDFBA7CA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传统投资</c:v>
                </c:pt>
                <c:pt idx="1">
                  <c:v>对冲基金/FOF</c:v>
                </c:pt>
                <c:pt idx="2">
                  <c:v>其他</c:v>
                </c:pt>
              </c:strCache>
            </c:strRef>
          </c:cat>
          <c:val>
            <c:numRef>
              <c:f>Sheet1!$B$2:$B$4</c:f>
              <c:numCache>
                <c:formatCode>0%</c:formatCode>
                <c:ptCount val="3"/>
                <c:pt idx="0">
                  <c:v>0.25</c:v>
                </c:pt>
                <c:pt idx="1">
                  <c:v>0.36</c:v>
                </c:pt>
                <c:pt idx="2">
                  <c:v>0.13</c:v>
                </c:pt>
              </c:numCache>
            </c:numRef>
          </c:val>
          <c:extLst xmlns:c16r2="http://schemas.microsoft.com/office/drawing/2015/06/chart">
            <c:ext xmlns:c16="http://schemas.microsoft.com/office/drawing/2014/chart" uri="{C3380CC4-5D6E-409C-BE32-E72D297353CC}">
              <c16:uniqueId val="{00000006-07D5-463A-9705-B8DDFBA7CA2D}"/>
            </c:ext>
          </c:extLst>
        </c:ser>
        <c:dLbls>
          <c:dLblPos val="outEnd"/>
          <c:showLegendKey val="0"/>
          <c:showVal val="1"/>
          <c:showCatName val="0"/>
          <c:showSerName val="0"/>
          <c:showPercent val="0"/>
          <c:showBubbleSize val="0"/>
        </c:dLbls>
        <c:gapWidth val="219"/>
        <c:overlap val="-27"/>
        <c:axId val="270298496"/>
        <c:axId val="270306688"/>
      </c:barChart>
      <c:catAx>
        <c:axId val="27029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0306688"/>
        <c:crosses val="autoZero"/>
        <c:auto val="1"/>
        <c:lblAlgn val="ctr"/>
        <c:lblOffset val="100"/>
        <c:noMultiLvlLbl val="0"/>
      </c:catAx>
      <c:valAx>
        <c:axId val="27030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占调查对象比例</a:t>
                </a:r>
              </a:p>
            </c:rich>
          </c:tx>
          <c:layout>
            <c:manualLayout>
              <c:xMode val="edge"/>
              <c:yMode val="edge"/>
              <c:x val="1.6666666666666666E-2"/>
              <c:y val="0.36250400991542725"/>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0298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zh-CN" sz="1200"/>
              <a:t>2008</a:t>
            </a:r>
            <a:r>
              <a:rPr lang="zh-CN" altLang="en-US" sz="1200"/>
              <a:t>年的平均资产配置情况</a:t>
            </a:r>
          </a:p>
        </c:rich>
      </c:tx>
      <c:overlay val="0"/>
    </c:title>
    <c:autoTitleDeleted val="0"/>
    <c:plotArea>
      <c:layout/>
      <c:pieChart>
        <c:varyColors val="1"/>
        <c:ser>
          <c:idx val="0"/>
          <c:order val="0"/>
          <c:tx>
            <c:strRef>
              <c:f>Sheet1!$B$1</c:f>
              <c:strCache>
                <c:ptCount val="1"/>
                <c:pt idx="0">
                  <c:v>2008年的平均资产配置</c:v>
                </c:pt>
              </c:strCache>
            </c:strRef>
          </c:tx>
          <c:explosion val="25"/>
          <c:dLbls>
            <c:spPr>
              <a:noFill/>
              <a:ln>
                <a:noFill/>
              </a:ln>
              <a:effectLst/>
            </c:spPr>
            <c:dLblPos val="outEnd"/>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extLst>
          </c:dLbls>
          <c:cat>
            <c:strRef>
              <c:f>Sheet1!$A$2:$A$12</c:f>
              <c:strCache>
                <c:ptCount val="11"/>
                <c:pt idx="0">
                  <c:v>长期股权（国际）</c:v>
                </c:pt>
                <c:pt idx="1">
                  <c:v>应税债券</c:v>
                </c:pt>
                <c:pt idx="2">
                  <c:v>对冲基金/基金中的基金</c:v>
                </c:pt>
                <c:pt idx="3">
                  <c:v>大宗商品</c:v>
                </c:pt>
                <c:pt idx="4">
                  <c:v>长期股权（国内）</c:v>
                </c:pt>
                <c:pt idx="5">
                  <c:v>现金</c:v>
                </c:pt>
                <c:pt idx="6">
                  <c:v>风险投资</c:v>
                </c:pt>
                <c:pt idx="7">
                  <c:v>市政债券</c:v>
                </c:pt>
                <c:pt idx="8">
                  <c:v>其他</c:v>
                </c:pt>
                <c:pt idx="9">
                  <c:v>房地产投资</c:v>
                </c:pt>
                <c:pt idx="10">
                  <c:v>私募股权</c:v>
                </c:pt>
              </c:strCache>
            </c:strRef>
          </c:cat>
          <c:val>
            <c:numRef>
              <c:f>Sheet1!$B$2:$B$12</c:f>
              <c:numCache>
                <c:formatCode>0%</c:formatCode>
                <c:ptCount val="11"/>
                <c:pt idx="0">
                  <c:v>7.0000000000000007E-2</c:v>
                </c:pt>
                <c:pt idx="1">
                  <c:v>0.05</c:v>
                </c:pt>
                <c:pt idx="2">
                  <c:v>0.22</c:v>
                </c:pt>
                <c:pt idx="3">
                  <c:v>0.01</c:v>
                </c:pt>
                <c:pt idx="4">
                  <c:v>0.17</c:v>
                </c:pt>
                <c:pt idx="5">
                  <c:v>0.17</c:v>
                </c:pt>
                <c:pt idx="6">
                  <c:v>0.02</c:v>
                </c:pt>
                <c:pt idx="7">
                  <c:v>0.1</c:v>
                </c:pt>
                <c:pt idx="8">
                  <c:v>0.03</c:v>
                </c:pt>
                <c:pt idx="9">
                  <c:v>0.08</c:v>
                </c:pt>
                <c:pt idx="10">
                  <c:v>0.08</c:v>
                </c:pt>
              </c:numCache>
            </c:numRef>
          </c:val>
          <c:extLst xmlns:c16r2="http://schemas.microsoft.com/office/drawing/2015/06/chart">
            <c:ext xmlns:c16="http://schemas.microsoft.com/office/drawing/2014/chart" uri="{C3380CC4-5D6E-409C-BE32-E72D297353CC}">
              <c16:uniqueId val="{00000000-3535-411B-A52B-8CAA973CB85E}"/>
            </c:ext>
          </c:extLst>
        </c:ser>
        <c:dLbls>
          <c:dLblPos val="outEnd"/>
          <c:showLegendKey val="0"/>
          <c:showVal val="1"/>
          <c:showCatName val="0"/>
          <c:showSerName val="0"/>
          <c:showPercent val="0"/>
          <c:showBubbleSize val="0"/>
          <c:showLeaderLines val="0"/>
        </c:dLbls>
        <c:firstSliceAng val="0"/>
      </c:pieChart>
    </c:plotArea>
    <c:legend>
      <c:legendPos val="r"/>
      <c:overlay val="0"/>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F2000-43D1-4EA6-842A-BB1E48AF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1489</Words>
  <Characters>8488</Characters>
  <Application>Microsoft Office Word</Application>
  <DocSecurity>0</DocSecurity>
  <Lines>70</Lines>
  <Paragraphs>19</Paragraphs>
  <ScaleCrop>false</ScaleCrop>
  <Company>MS</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刘彬彬</cp:lastModifiedBy>
  <cp:revision>6</cp:revision>
  <dcterms:created xsi:type="dcterms:W3CDTF">2016-12-29T09:22:00Z</dcterms:created>
  <dcterms:modified xsi:type="dcterms:W3CDTF">2016-12-30T06:36:00Z</dcterms:modified>
</cp:coreProperties>
</file>