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1AEEDABE" w:rsidR="00AA063C" w:rsidRPr="004B6C06" w:rsidRDefault="00715E72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>
                <w:pPr>
                  <w:jc w:val="both"/>
                  <w:spacing w:before="0" w:after="0" w:line="240" w:lineRule="auto"/>
                </w:pPr>
                <w:r>
                  <w:t>• Compromiso de la escuela: mantener apoyos y ajustes razonables.</w:t>
                </w:r>
              </w:p>
              <w:p>
                <w:pPr>
                  <w:jc w:val="both"/>
                  <w:spacing w:before="0" w:after="0" w:line="240" w:lineRule="auto"/>
                </w:pPr>
                <w:r>
                  <w:t>• Compromiso de la familia: reforzar hábitos de estudio y comunicación, especialmente cuando enfrente tareas de mayor dificultad.</w:t>
                </w:r>
              </w:p>
              <w:p>
                <w:pPr>
                  <w:jc w:val="both"/>
                  <w:spacing w:before="0" w:after="0" w:line="240" w:lineRule="auto"/>
                </w:pPr>
                <w:r>
                  <w:t>• Compromiso compartido: revisar avances en reuniones periódicas.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