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before="240" w:after="20"/>
      </w:pPr>
      <w:r>
        <w:rPr>
          <w:rFonts w:ascii="Noto Sans" w:hAnsi="Noto Sans" w:eastAsia="Noto Sans"/>
          <w:b/>
          <w:i w:val="0"/>
          <w:color w:val="201B22"/>
          <w:sz w:val="54"/>
        </w:rPr>
        <w:t>ETH 30D Senior Vault</w:t>
      </w:r>
    </w:p>
    <w:p>
      <w:pPr>
        <w:spacing w:before="0" w:after="100" w:line="259" w:lineRule="auto"/>
        <w:jc w:val="left"/>
      </w:pPr>
      <w:r>
        <w:rPr>
          <w:rFonts w:ascii="Noto Sans" w:hAnsi="Noto Sans" w:eastAsia="Noto Sans"/>
          <w:b/>
          <w:i w:val="0"/>
          <w:color w:val="9E1C29"/>
          <w:sz w:val="18"/>
        </w:rPr>
        <w:t>A review sheet for the sample vault ETH-30D-S</w:t>
      </w:r>
    </w:p>
    <w:p>
      <w:pPr>
        <w:spacing w:before="0" w:after="160" w:line="269" w:lineRule="auto"/>
        <w:jc w:val="left"/>
      </w:pPr>
      <w:r>
        <w:rPr>
          <w:rFonts w:ascii="Noto Sans" w:hAnsi="Noto Sans" w:eastAsia="Noto Sans"/>
          <w:b w:val="0"/>
          <w:i w:val="0"/>
          <w:color w:val="655E63"/>
          <w:sz w:val="18"/>
        </w:rPr>
        <w:t>Review the market, tranche, timing, and settlement order before you decide whether this example fits your risk preference. The values below are representative demo data for ETH-30D-S.</w:t>
      </w:r>
    </w:p>
    <w:tbl>
      <w:tblPr>
        <w:tblW w:type="dxa" w:w="10368"/>
        <w:tblLayout w:type="fixed"/>
        <w:tblLook w:firstColumn="1" w:firstRow="1" w:lastColumn="0" w:lastRow="0" w:noHBand="0" w:noVBand="1" w:val="04A0"/>
      </w:tblPr>
      <w:tblGrid>
        <w:gridCol w:w="3456"/>
        <w:gridCol w:w="3456"/>
        <w:gridCol w:w="3456"/>
      </w:tblGrid>
      <w:tr>
        <w:tc>
          <w:tcPr>
            <w:tcW w:type="dxa" w:w="3456"/>
            <w:shd w:val="clear" w:color="auto" w:fill="9E1C29"/>
            <w:tcBorders>
              <w:top w:val="single" w:sz="5" w:color="9E1C29"/>
              <w:left w:val="single" w:sz="5" w:color="9E1C29"/>
              <w:bottom w:val="single" w:sz="5" w:color="9E1C29"/>
              <w:right w:val="single" w:sz="5" w:color="9E1C29"/>
            </w:tcBorders>
            <w:tcMar>
              <w:top w:w="180" w:type="dxa"/>
              <w:start w:w="150" w:type="dxa"/>
              <w:bottom w:w="180" w:type="dxa"/>
              <w:end w:w="150" w:type="dxa"/>
            </w:tcMar>
          </w:tcPr>
          <w:p>
            <w:pPr>
              <w:spacing w:after="40"/>
            </w:pPr>
            <w:r/>
            <w:r>
              <w:rPr>
                <w:rFonts w:ascii="Noto Sans" w:hAnsi="Noto Sans" w:eastAsia="Noto Sans"/>
                <w:b/>
                <w:i w:val="0"/>
                <w:color w:val="FFFFFF"/>
                <w:sz w:val="14"/>
              </w:rPr>
              <w:t>ANNUALIZED ESTIMATE</w:t>
            </w:r>
          </w:p>
          <w:p>
            <w:pPr>
              <w:spacing w:after="40"/>
            </w:pPr>
            <w:r>
              <w:rPr>
                <w:rFonts w:ascii="Noto Sans" w:hAnsi="Noto Sans" w:eastAsia="Noto Sans"/>
                <w:b/>
                <w:i w:val="0"/>
                <w:color w:val="FFFFFF"/>
                <w:sz w:val="36"/>
              </w:rPr>
              <w:t>8.40%</w:t>
            </w:r>
          </w:p>
          <w:p>
            <w:pPr>
              <w:spacing w:after="0"/>
            </w:pPr>
            <w:r>
              <w:rPr>
                <w:rFonts w:ascii="Noto Sans" w:hAnsi="Noto Sans" w:eastAsia="Noto Sans"/>
                <w:b w:val="0"/>
                <w:i w:val="0"/>
                <w:color w:val="F5E8E9"/>
                <w:sz w:val="15"/>
              </w:rPr>
              <w:t>Estimate only</w:t>
            </w:r>
          </w:p>
        </w:tc>
        <w:tc>
          <w:tcPr>
            <w:tcW w:type="dxa" w:w="3456"/>
            <w:shd w:val="clear" w:color="auto" w:fill="9E1C29"/>
            <w:tcBorders>
              <w:top w:val="single" w:sz="5" w:color="9E1C29"/>
              <w:left w:val="single" w:sz="5" w:color="9E1C29"/>
              <w:bottom w:val="single" w:sz="5" w:color="9E1C29"/>
              <w:right w:val="single" w:sz="5" w:color="9E1C29"/>
            </w:tcBorders>
            <w:tcMar>
              <w:top w:w="180" w:type="dxa"/>
              <w:start w:w="150" w:type="dxa"/>
              <w:bottom w:w="180" w:type="dxa"/>
              <w:end w:w="150" w:type="dxa"/>
            </w:tcMar>
          </w:tcPr>
          <w:p>
            <w:pPr>
              <w:spacing w:after="40"/>
            </w:pPr>
            <w:r/>
            <w:r>
              <w:rPr>
                <w:rFonts w:ascii="Noto Sans" w:hAnsi="Noto Sans" w:eastAsia="Noto Sans"/>
                <w:b/>
                <w:i w:val="0"/>
                <w:color w:val="FFFFFF"/>
                <w:sz w:val="14"/>
              </w:rPr>
              <w:t>DURATION</w:t>
            </w:r>
          </w:p>
          <w:p>
            <w:pPr>
              <w:spacing w:after="40"/>
            </w:pPr>
            <w:r>
              <w:rPr>
                <w:rFonts w:ascii="Noto Sans" w:hAnsi="Noto Sans" w:eastAsia="Noto Sans"/>
                <w:b/>
                <w:i w:val="0"/>
                <w:color w:val="FFFFFF"/>
                <w:sz w:val="36"/>
              </w:rPr>
              <w:t>30 days</w:t>
            </w:r>
          </w:p>
          <w:p>
            <w:pPr>
              <w:spacing w:after="0"/>
            </w:pPr>
            <w:r>
              <w:rPr>
                <w:rFonts w:ascii="Noto Sans" w:hAnsi="Noto Sans" w:eastAsia="Noto Sans"/>
                <w:b w:val="0"/>
                <w:i w:val="0"/>
                <w:color w:val="F5E8E9"/>
                <w:sz w:val="15"/>
              </w:rPr>
              <w:t>Ends Oct 8, 2026</w:t>
            </w:r>
          </w:p>
        </w:tc>
        <w:tc>
          <w:tcPr>
            <w:tcW w:type="dxa" w:w="3456"/>
            <w:shd w:val="clear" w:color="auto" w:fill="9E1C29"/>
            <w:tcBorders>
              <w:top w:val="single" w:sz="5" w:color="9E1C29"/>
              <w:left w:val="single" w:sz="5" w:color="9E1C29"/>
              <w:bottom w:val="single" w:sz="5" w:color="9E1C29"/>
              <w:right w:val="single" w:sz="5" w:color="9E1C29"/>
            </w:tcBorders>
            <w:tcMar>
              <w:top w:w="180" w:type="dxa"/>
              <w:start w:w="150" w:type="dxa"/>
              <w:bottom w:w="180" w:type="dxa"/>
              <w:end w:w="150" w:type="dxa"/>
            </w:tcMar>
          </w:tcPr>
          <w:p>
            <w:pPr>
              <w:spacing w:after="40"/>
            </w:pPr>
            <w:r/>
            <w:r>
              <w:rPr>
                <w:rFonts w:ascii="Noto Sans" w:hAnsi="Noto Sans" w:eastAsia="Noto Sans"/>
                <w:b/>
                <w:i w:val="0"/>
                <w:color w:val="FFFFFF"/>
                <w:sz w:val="14"/>
              </w:rPr>
              <w:t>JUNIOR LOSS BUFFER</w:t>
            </w:r>
          </w:p>
          <w:p>
            <w:pPr>
              <w:spacing w:after="40"/>
            </w:pPr>
            <w:r>
              <w:rPr>
                <w:rFonts w:ascii="Noto Sans" w:hAnsi="Noto Sans" w:eastAsia="Noto Sans"/>
                <w:b/>
                <w:i w:val="0"/>
                <w:color w:val="FFFFFF"/>
                <w:sz w:val="36"/>
              </w:rPr>
              <w:t>30%</w:t>
            </w:r>
          </w:p>
          <w:p>
            <w:pPr>
              <w:spacing w:after="0"/>
            </w:pPr>
            <w:r>
              <w:rPr>
                <w:rFonts w:ascii="Noto Sans" w:hAnsi="Noto Sans" w:eastAsia="Noto Sans"/>
                <w:b w:val="0"/>
                <w:i w:val="0"/>
                <w:color w:val="F5E8E9"/>
                <w:sz w:val="15"/>
              </w:rPr>
              <w:t>First-loss layer</w:t>
            </w:r>
          </w:p>
        </w:tc>
      </w:tr>
    </w:tbl>
    <w:p>
      <w:pPr>
        <w:pStyle w:val="Heading1"/>
        <w:keepNext/>
        <w:spacing w:before="180" w:after="80"/>
      </w:pPr>
      <w:r>
        <w:rPr>
          <w:rFonts w:ascii="Noto Sans" w:hAnsi="Noto Sans" w:eastAsia="Noto Sans"/>
          <w:b/>
          <w:i w:val="0"/>
          <w:color w:val="201B22"/>
          <w:sz w:val="26"/>
        </w:rPr>
        <w:t>Vault terms</w:t>
      </w:r>
    </w:p>
    <w:tbl>
      <w:tblPr>
        <w:tblW w:type="dxa" w:w="10368"/>
        <w:tblLayout w:type="fixed"/>
        <w:tblLook w:firstColumn="1" w:firstRow="1" w:lastColumn="0" w:lastRow="0" w:noHBand="0" w:noVBand="1" w:val="04A0"/>
      </w:tblPr>
      <w:tblGrid>
        <w:gridCol w:w="2880"/>
        <w:gridCol w:w="7488"/>
      </w:tblGrid>
      <w:tr>
        <w:trPr>
          <w:trHeight w:hRule="atLeast" w:val="432"/>
        </w:trPr>
        <w:tc>
          <w:tcPr>
            <w:tcW w:type="dxa" w:w="2880"/>
            <w:tcBorders>
              <w:top w:val="single" w:sz="5" w:color="D9D9D9"/>
              <w:left w:val="single" w:sz="5" w:color="D9D9D9"/>
              <w:bottom w:val="single" w:sz="5" w:color="D9D9D9"/>
              <w:right w:val="single" w:sz="5" w:color="D9D9D9"/>
            </w:tcBorders>
            <w:shd w:val="clear" w:color="auto" w:fill="EEEAE5"/>
            <w:vAlign w:val="center"/>
            <w:tcMar>
              <w:top w:w="100" w:type="dxa"/>
              <w:start w:w="130" w:type="dxa"/>
              <w:bottom w:w="100" w:type="dxa"/>
              <w:end w:w="130" w:type="dxa"/>
            </w:tcMar>
          </w:tcPr>
          <w:p>
            <w:pPr>
              <w:spacing w:after="0" w:line="252" w:lineRule="auto"/>
              <w:jc w:val="left"/>
            </w:pPr>
            <w:r/>
            <w:r>
              <w:rPr>
                <w:rFonts w:ascii="Noto Sans" w:hAnsi="Noto Sans" w:eastAsia="Noto Sans"/>
                <w:b/>
                <w:i w:val="0"/>
                <w:color w:val="201B22"/>
                <w:sz w:val="17"/>
              </w:rPr>
              <w:t>Market and network</w:t>
            </w:r>
          </w:p>
        </w:tc>
        <w:tc>
          <w:tcPr>
            <w:tcW w:type="dxa" w:w="7488"/>
            <w:tcBorders>
              <w:top w:val="single" w:sz="5" w:color="D9D9D9"/>
              <w:left w:val="single" w:sz="5" w:color="D9D9D9"/>
              <w:bottom w:val="single" w:sz="5" w:color="D9D9D9"/>
              <w:right w:val="single" w:sz="5" w:color="D9D9D9"/>
            </w:tcBorders>
            <w:vAlign w:val="center"/>
            <w:tcMar>
              <w:top w:w="100" w:type="dxa"/>
              <w:start w:w="130" w:type="dxa"/>
              <w:bottom w:w="100" w:type="dxa"/>
              <w:end w:w="130" w:type="dxa"/>
            </w:tcMar>
          </w:tcPr>
          <w:p>
            <w:pPr>
              <w:spacing w:after="0" w:line="252" w:lineRule="auto"/>
              <w:jc w:val="left"/>
            </w:pPr>
            <w:r/>
            <w:r>
              <w:rPr>
                <w:rFonts w:ascii="Noto Sans" w:hAnsi="Noto Sans" w:eastAsia="Noto Sans"/>
                <w:b w:val="0"/>
                <w:i w:val="0"/>
                <w:color w:val="201B22"/>
                <w:sz w:val="17"/>
              </w:rPr>
              <w:t>ETH / USDC on Ethereum</w:t>
            </w:r>
          </w:p>
        </w:tc>
      </w:tr>
      <w:tr>
        <w:trPr>
          <w:trHeight w:hRule="atLeast" w:val="432"/>
        </w:trPr>
        <w:tc>
          <w:tcPr>
            <w:tcW w:type="dxa" w:w="2880"/>
            <w:tcBorders>
              <w:top w:val="single" w:sz="5" w:color="D9D9D9"/>
              <w:left w:val="single" w:sz="5" w:color="D9D9D9"/>
              <w:bottom w:val="single" w:sz="5" w:color="D9D9D9"/>
              <w:right w:val="single" w:sz="5" w:color="D9D9D9"/>
            </w:tcBorders>
            <w:shd w:val="clear" w:color="auto" w:fill="EEEAE5"/>
            <w:vAlign w:val="center"/>
            <w:tcMar>
              <w:top w:w="100" w:type="dxa"/>
              <w:start w:w="130" w:type="dxa"/>
              <w:bottom w:w="100" w:type="dxa"/>
              <w:end w:w="130" w:type="dxa"/>
            </w:tcMar>
          </w:tcPr>
          <w:p>
            <w:pPr>
              <w:spacing w:after="0" w:line="252" w:lineRule="auto"/>
              <w:jc w:val="left"/>
            </w:pPr>
            <w:r/>
            <w:r>
              <w:rPr>
                <w:rFonts w:ascii="Noto Sans" w:hAnsi="Noto Sans" w:eastAsia="Noto Sans"/>
                <w:b/>
                <w:i w:val="0"/>
                <w:color w:val="201B22"/>
                <w:sz w:val="17"/>
              </w:rPr>
              <w:t>Tranche</w:t>
            </w:r>
          </w:p>
        </w:tc>
        <w:tc>
          <w:tcPr>
            <w:tcW w:type="dxa" w:w="7488"/>
            <w:tcBorders>
              <w:top w:val="single" w:sz="5" w:color="D9D9D9"/>
              <w:left w:val="single" w:sz="5" w:color="D9D9D9"/>
              <w:bottom w:val="single" w:sz="5" w:color="D9D9D9"/>
              <w:right w:val="single" w:sz="5" w:color="D9D9D9"/>
            </w:tcBorders>
            <w:shd w:val="clear" w:color="auto" w:fill="FBFAF8"/>
            <w:vAlign w:val="center"/>
            <w:tcMar>
              <w:top w:w="100" w:type="dxa"/>
              <w:start w:w="130" w:type="dxa"/>
              <w:bottom w:w="100" w:type="dxa"/>
              <w:end w:w="130" w:type="dxa"/>
            </w:tcMar>
          </w:tcPr>
          <w:p>
            <w:pPr>
              <w:spacing w:after="0" w:line="252" w:lineRule="auto"/>
              <w:jc w:val="left"/>
            </w:pPr>
            <w:r/>
            <w:r>
              <w:rPr>
                <w:rFonts w:ascii="Noto Sans" w:hAnsi="Noto Sans" w:eastAsia="Noto Sans"/>
                <w:b w:val="0"/>
                <w:i w:val="0"/>
                <w:color w:val="201B22"/>
                <w:sz w:val="17"/>
              </w:rPr>
              <w:t>Senior</w:t>
            </w:r>
          </w:p>
        </w:tc>
      </w:tr>
      <w:tr>
        <w:trPr>
          <w:trHeight w:hRule="atLeast" w:val="432"/>
        </w:trPr>
        <w:tc>
          <w:tcPr>
            <w:tcW w:type="dxa" w:w="2880"/>
            <w:tcBorders>
              <w:top w:val="single" w:sz="5" w:color="D9D9D9"/>
              <w:left w:val="single" w:sz="5" w:color="D9D9D9"/>
              <w:bottom w:val="single" w:sz="5" w:color="D9D9D9"/>
              <w:right w:val="single" w:sz="5" w:color="D9D9D9"/>
            </w:tcBorders>
            <w:shd w:val="clear" w:color="auto" w:fill="EEEAE5"/>
            <w:vAlign w:val="center"/>
            <w:tcMar>
              <w:top w:w="100" w:type="dxa"/>
              <w:start w:w="130" w:type="dxa"/>
              <w:bottom w:w="100" w:type="dxa"/>
              <w:end w:w="130" w:type="dxa"/>
            </w:tcMar>
          </w:tcPr>
          <w:p>
            <w:pPr>
              <w:spacing w:after="0" w:line="252" w:lineRule="auto"/>
              <w:jc w:val="left"/>
            </w:pPr>
            <w:r/>
            <w:r>
              <w:rPr>
                <w:rFonts w:ascii="Noto Sans" w:hAnsi="Noto Sans" w:eastAsia="Noto Sans"/>
                <w:b/>
                <w:i w:val="0"/>
                <w:color w:val="201B22"/>
                <w:sz w:val="17"/>
              </w:rPr>
              <w:t>Duration and end date</w:t>
            </w:r>
          </w:p>
        </w:tc>
        <w:tc>
          <w:tcPr>
            <w:tcW w:type="dxa" w:w="7488"/>
            <w:tcBorders>
              <w:top w:val="single" w:sz="5" w:color="D9D9D9"/>
              <w:left w:val="single" w:sz="5" w:color="D9D9D9"/>
              <w:bottom w:val="single" w:sz="5" w:color="D9D9D9"/>
              <w:right w:val="single" w:sz="5" w:color="D9D9D9"/>
            </w:tcBorders>
            <w:vAlign w:val="center"/>
            <w:tcMar>
              <w:top w:w="100" w:type="dxa"/>
              <w:start w:w="130" w:type="dxa"/>
              <w:bottom w:w="100" w:type="dxa"/>
              <w:end w:w="130" w:type="dxa"/>
            </w:tcMar>
          </w:tcPr>
          <w:p>
            <w:pPr>
              <w:spacing w:after="0" w:line="252" w:lineRule="auto"/>
              <w:jc w:val="left"/>
            </w:pPr>
            <w:r/>
            <w:r>
              <w:rPr>
                <w:rFonts w:ascii="Noto Sans" w:hAnsi="Noto Sans" w:eastAsia="Noto Sans"/>
                <w:b w:val="0"/>
                <w:i w:val="0"/>
                <w:color w:val="201B22"/>
                <w:sz w:val="17"/>
              </w:rPr>
              <w:t>30 days / Oct 8, 2026</w:t>
            </w:r>
          </w:p>
        </w:tc>
      </w:tr>
      <w:tr>
        <w:trPr>
          <w:trHeight w:hRule="atLeast" w:val="432"/>
        </w:trPr>
        <w:tc>
          <w:tcPr>
            <w:tcW w:type="dxa" w:w="2880"/>
            <w:tcBorders>
              <w:top w:val="single" w:sz="5" w:color="D9D9D9"/>
              <w:left w:val="single" w:sz="5" w:color="D9D9D9"/>
              <w:bottom w:val="single" w:sz="5" w:color="D9D9D9"/>
              <w:right w:val="single" w:sz="5" w:color="D9D9D9"/>
            </w:tcBorders>
            <w:shd w:val="clear" w:color="auto" w:fill="EEEAE5"/>
            <w:vAlign w:val="center"/>
            <w:tcMar>
              <w:top w:w="100" w:type="dxa"/>
              <w:start w:w="130" w:type="dxa"/>
              <w:bottom w:w="100" w:type="dxa"/>
              <w:end w:w="130" w:type="dxa"/>
            </w:tcMar>
          </w:tcPr>
          <w:p>
            <w:pPr>
              <w:spacing w:after="0" w:line="252" w:lineRule="auto"/>
              <w:jc w:val="left"/>
            </w:pPr>
            <w:r/>
            <w:r>
              <w:rPr>
                <w:rFonts w:ascii="Noto Sans" w:hAnsi="Noto Sans" w:eastAsia="Noto Sans"/>
                <w:b/>
                <w:i w:val="0"/>
                <w:color w:val="201B22"/>
                <w:sz w:val="17"/>
              </w:rPr>
              <w:t>Price range</w:t>
            </w:r>
          </w:p>
        </w:tc>
        <w:tc>
          <w:tcPr>
            <w:tcW w:type="dxa" w:w="7488"/>
            <w:tcBorders>
              <w:top w:val="single" w:sz="5" w:color="D9D9D9"/>
              <w:left w:val="single" w:sz="5" w:color="D9D9D9"/>
              <w:bottom w:val="single" w:sz="5" w:color="D9D9D9"/>
              <w:right w:val="single" w:sz="5" w:color="D9D9D9"/>
            </w:tcBorders>
            <w:shd w:val="clear" w:color="auto" w:fill="FBFAF8"/>
            <w:vAlign w:val="center"/>
            <w:tcMar>
              <w:top w:w="100" w:type="dxa"/>
              <w:start w:w="130" w:type="dxa"/>
              <w:bottom w:w="100" w:type="dxa"/>
              <w:end w:w="130" w:type="dxa"/>
            </w:tcMar>
          </w:tcPr>
          <w:p>
            <w:pPr>
              <w:spacing w:after="0" w:line="252" w:lineRule="auto"/>
              <w:jc w:val="left"/>
            </w:pPr>
            <w:r/>
            <w:r>
              <w:rPr>
                <w:rFonts w:ascii="Noto Sans" w:hAnsi="Noto Sans" w:eastAsia="Noto Sans"/>
                <w:b w:val="0"/>
                <w:i w:val="0"/>
                <w:color w:val="201B22"/>
                <w:sz w:val="17"/>
              </w:rPr>
              <w:t>$2,800 - $4,200</w:t>
            </w:r>
          </w:p>
        </w:tc>
      </w:tr>
      <w:tr>
        <w:trPr>
          <w:trHeight w:hRule="atLeast" w:val="432"/>
        </w:trPr>
        <w:tc>
          <w:tcPr>
            <w:tcW w:type="dxa" w:w="2880"/>
            <w:tcBorders>
              <w:top w:val="single" w:sz="5" w:color="D9D9D9"/>
              <w:left w:val="single" w:sz="5" w:color="D9D9D9"/>
              <w:bottom w:val="single" w:sz="5" w:color="D9D9D9"/>
              <w:right w:val="single" w:sz="5" w:color="D9D9D9"/>
            </w:tcBorders>
            <w:shd w:val="clear" w:color="auto" w:fill="EEEAE5"/>
            <w:vAlign w:val="center"/>
            <w:tcMar>
              <w:top w:w="100" w:type="dxa"/>
              <w:start w:w="130" w:type="dxa"/>
              <w:bottom w:w="100" w:type="dxa"/>
              <w:end w:w="130" w:type="dxa"/>
            </w:tcMar>
          </w:tcPr>
          <w:p>
            <w:pPr>
              <w:spacing w:after="0" w:line="252" w:lineRule="auto"/>
              <w:jc w:val="left"/>
            </w:pPr>
            <w:r/>
            <w:r>
              <w:rPr>
                <w:rFonts w:ascii="Noto Sans" w:hAnsi="Noto Sans" w:eastAsia="Noto Sans"/>
                <w:b/>
                <w:i w:val="0"/>
                <w:color w:val="201B22"/>
                <w:sz w:val="17"/>
              </w:rPr>
              <w:t>Funding capacity</w:t>
            </w:r>
          </w:p>
        </w:tc>
        <w:tc>
          <w:tcPr>
            <w:tcW w:type="dxa" w:w="7488"/>
            <w:tcBorders>
              <w:top w:val="single" w:sz="5" w:color="D9D9D9"/>
              <w:left w:val="single" w:sz="5" w:color="D9D9D9"/>
              <w:bottom w:val="single" w:sz="5" w:color="D9D9D9"/>
              <w:right w:val="single" w:sz="5" w:color="D9D9D9"/>
            </w:tcBorders>
            <w:vAlign w:val="center"/>
            <w:tcMar>
              <w:top w:w="100" w:type="dxa"/>
              <w:start w:w="130" w:type="dxa"/>
              <w:bottom w:w="100" w:type="dxa"/>
              <w:end w:w="130" w:type="dxa"/>
            </w:tcMar>
          </w:tcPr>
          <w:p>
            <w:pPr>
              <w:spacing w:after="0" w:line="252" w:lineRule="auto"/>
              <w:jc w:val="left"/>
            </w:pPr>
            <w:r/>
            <w:r>
              <w:rPr>
                <w:rFonts w:ascii="Noto Sans" w:hAnsi="Noto Sans" w:eastAsia="Noto Sans"/>
                <w:b w:val="0"/>
                <w:i w:val="0"/>
                <w:color w:val="201B22"/>
                <w:sz w:val="17"/>
              </w:rPr>
              <w:t>$2,000,000 total / $1,240,000 funded / $760,000 sample space</w:t>
            </w:r>
          </w:p>
        </w:tc>
      </w:tr>
      <w:tr>
        <w:trPr>
          <w:trHeight w:hRule="atLeast" w:val="432"/>
        </w:trPr>
        <w:tc>
          <w:tcPr>
            <w:tcW w:type="dxa" w:w="2880"/>
            <w:tcBorders>
              <w:top w:val="single" w:sz="5" w:color="D9D9D9"/>
              <w:left w:val="single" w:sz="5" w:color="D9D9D9"/>
              <w:bottom w:val="single" w:sz="5" w:color="D9D9D9"/>
              <w:right w:val="single" w:sz="5" w:color="D9D9D9"/>
            </w:tcBorders>
            <w:shd w:val="clear" w:color="auto" w:fill="EEEAE5"/>
            <w:vAlign w:val="center"/>
            <w:tcMar>
              <w:top w:w="100" w:type="dxa"/>
              <w:start w:w="130" w:type="dxa"/>
              <w:bottom w:w="100" w:type="dxa"/>
              <w:end w:w="130" w:type="dxa"/>
            </w:tcMar>
          </w:tcPr>
          <w:p>
            <w:pPr>
              <w:spacing w:after="0" w:line="252" w:lineRule="auto"/>
              <w:jc w:val="left"/>
            </w:pPr>
            <w:r/>
            <w:r>
              <w:rPr>
                <w:rFonts w:ascii="Noto Sans" w:hAnsi="Noto Sans" w:eastAsia="Noto Sans"/>
                <w:b/>
                <w:i w:val="0"/>
                <w:color w:val="201B22"/>
                <w:sz w:val="17"/>
              </w:rPr>
              <w:t>Payment order</w:t>
            </w:r>
          </w:p>
        </w:tc>
        <w:tc>
          <w:tcPr>
            <w:tcW w:type="dxa" w:w="7488"/>
            <w:tcBorders>
              <w:top w:val="single" w:sz="5" w:color="D9D9D9"/>
              <w:left w:val="single" w:sz="5" w:color="D9D9D9"/>
              <w:bottom w:val="single" w:sz="5" w:color="D9D9D9"/>
              <w:right w:val="single" w:sz="5" w:color="D9D9D9"/>
            </w:tcBorders>
            <w:shd w:val="clear" w:color="auto" w:fill="FBFAF8"/>
            <w:vAlign w:val="center"/>
            <w:tcMar>
              <w:top w:w="100" w:type="dxa"/>
              <w:start w:w="130" w:type="dxa"/>
              <w:bottom w:w="100" w:type="dxa"/>
              <w:end w:w="130" w:type="dxa"/>
            </w:tcMar>
          </w:tcPr>
          <w:p>
            <w:pPr>
              <w:spacing w:after="0" w:line="252" w:lineRule="auto"/>
              <w:jc w:val="left"/>
            </w:pPr>
            <w:r/>
            <w:r>
              <w:rPr>
                <w:rFonts w:ascii="Noto Sans" w:hAnsi="Noto Sans" w:eastAsia="Noto Sans"/>
                <w:b w:val="0"/>
                <w:i w:val="0"/>
                <w:color w:val="201B22"/>
                <w:sz w:val="17"/>
              </w:rPr>
              <w:t>Senior paid before Junior from final vault value</w:t>
            </w:r>
          </w:p>
        </w:tc>
      </w:tr>
      <w:tr>
        <w:trPr>
          <w:trHeight w:hRule="atLeast" w:val="432"/>
        </w:trPr>
        <w:tc>
          <w:tcPr>
            <w:tcW w:type="dxa" w:w="2880"/>
            <w:tcBorders>
              <w:top w:val="single" w:sz="5" w:color="D9D9D9"/>
              <w:left w:val="single" w:sz="5" w:color="D9D9D9"/>
              <w:bottom w:val="single" w:sz="5" w:color="D9D9D9"/>
              <w:right w:val="single" w:sz="5" w:color="D9D9D9"/>
            </w:tcBorders>
            <w:shd w:val="clear" w:color="auto" w:fill="EEEAE5"/>
            <w:vAlign w:val="center"/>
            <w:tcMar>
              <w:top w:w="100" w:type="dxa"/>
              <w:start w:w="130" w:type="dxa"/>
              <w:bottom w:w="100" w:type="dxa"/>
              <w:end w:w="130" w:type="dxa"/>
            </w:tcMar>
          </w:tcPr>
          <w:p>
            <w:pPr>
              <w:spacing w:after="0" w:line="252" w:lineRule="auto"/>
              <w:jc w:val="left"/>
            </w:pPr>
            <w:r/>
            <w:r>
              <w:rPr>
                <w:rFonts w:ascii="Noto Sans" w:hAnsi="Noto Sans" w:eastAsia="Noto Sans"/>
                <w:b/>
                <w:i w:val="0"/>
                <w:color w:val="201B22"/>
                <w:sz w:val="17"/>
              </w:rPr>
              <w:t>Annualized estimate</w:t>
            </w:r>
          </w:p>
        </w:tc>
        <w:tc>
          <w:tcPr>
            <w:tcW w:type="dxa" w:w="7488"/>
            <w:tcBorders>
              <w:top w:val="single" w:sz="5" w:color="D9D9D9"/>
              <w:left w:val="single" w:sz="5" w:color="D9D9D9"/>
              <w:bottom w:val="single" w:sz="5" w:color="D9D9D9"/>
              <w:right w:val="single" w:sz="5" w:color="D9D9D9"/>
            </w:tcBorders>
            <w:vAlign w:val="center"/>
            <w:tcMar>
              <w:top w:w="100" w:type="dxa"/>
              <w:start w:w="130" w:type="dxa"/>
              <w:bottom w:w="100" w:type="dxa"/>
              <w:end w:w="130" w:type="dxa"/>
            </w:tcMar>
          </w:tcPr>
          <w:p>
            <w:pPr>
              <w:spacing w:after="0" w:line="252" w:lineRule="auto"/>
              <w:jc w:val="left"/>
            </w:pPr>
            <w:r/>
            <w:r>
              <w:rPr>
                <w:rFonts w:ascii="Noto Sans" w:hAnsi="Noto Sans" w:eastAsia="Noto Sans"/>
                <w:b w:val="0"/>
                <w:i w:val="0"/>
                <w:color w:val="201B22"/>
                <w:sz w:val="17"/>
              </w:rPr>
              <w:t>8.40% estimate, not guaranteed</w:t>
            </w:r>
          </w:p>
        </w:tc>
      </w:tr>
      <w:tr>
        <w:trPr>
          <w:trHeight w:hRule="atLeast" w:val="432"/>
        </w:trPr>
        <w:tc>
          <w:tcPr>
            <w:tcW w:type="dxa" w:w="2880"/>
            <w:tcBorders>
              <w:top w:val="single" w:sz="5" w:color="D9D9D9"/>
              <w:left w:val="single" w:sz="5" w:color="D9D9D9"/>
              <w:bottom w:val="single" w:sz="5" w:color="D9D9D9"/>
              <w:right w:val="single" w:sz="5" w:color="D9D9D9"/>
            </w:tcBorders>
            <w:shd w:val="clear" w:color="auto" w:fill="EEEAE5"/>
            <w:vAlign w:val="center"/>
            <w:tcMar>
              <w:top w:w="100" w:type="dxa"/>
              <w:start w:w="130" w:type="dxa"/>
              <w:bottom w:w="100" w:type="dxa"/>
              <w:end w:w="130" w:type="dxa"/>
            </w:tcMar>
          </w:tcPr>
          <w:p>
            <w:pPr>
              <w:spacing w:after="0" w:line="252" w:lineRule="auto"/>
              <w:jc w:val="left"/>
            </w:pPr>
            <w:r/>
            <w:r>
              <w:rPr>
                <w:rFonts w:ascii="Noto Sans" w:hAnsi="Noto Sans" w:eastAsia="Noto Sans"/>
                <w:b/>
                <w:i w:val="0"/>
                <w:color w:val="201B22"/>
                <w:sz w:val="17"/>
              </w:rPr>
              <w:t>Loss buffer</w:t>
            </w:r>
          </w:p>
        </w:tc>
        <w:tc>
          <w:tcPr>
            <w:tcW w:type="dxa" w:w="7488"/>
            <w:tcBorders>
              <w:top w:val="single" w:sz="5" w:color="D9D9D9"/>
              <w:left w:val="single" w:sz="5" w:color="D9D9D9"/>
              <w:bottom w:val="single" w:sz="5" w:color="D9D9D9"/>
              <w:right w:val="single" w:sz="5" w:color="D9D9D9"/>
            </w:tcBorders>
            <w:shd w:val="clear" w:color="auto" w:fill="FBFAF8"/>
            <w:vAlign w:val="center"/>
            <w:tcMar>
              <w:top w:w="100" w:type="dxa"/>
              <w:start w:w="130" w:type="dxa"/>
              <w:bottom w:w="100" w:type="dxa"/>
              <w:end w:w="130" w:type="dxa"/>
            </w:tcMar>
          </w:tcPr>
          <w:p>
            <w:pPr>
              <w:spacing w:after="0" w:line="252" w:lineRule="auto"/>
              <w:jc w:val="left"/>
            </w:pPr>
            <w:r/>
            <w:r>
              <w:rPr>
                <w:rFonts w:ascii="Noto Sans" w:hAnsi="Noto Sans" w:eastAsia="Noto Sans"/>
                <w:b w:val="0"/>
                <w:i w:val="0"/>
                <w:color w:val="201B22"/>
                <w:sz w:val="17"/>
              </w:rPr>
              <w:t>30% Junior first-loss layer; it can run out</w:t>
            </w:r>
          </w:p>
        </w:tc>
      </w:tr>
    </w:tbl>
    <w:p>
      <w:pPr>
        <w:pStyle w:val="Heading1"/>
        <w:keepNext/>
        <w:spacing w:before="160" w:after="60"/>
      </w:pPr>
      <w:r>
        <w:rPr>
          <w:rFonts w:ascii="Noto Sans" w:hAnsi="Noto Sans" w:eastAsia="Noto Sans"/>
          <w:b/>
          <w:i w:val="0"/>
          <w:color w:val="201B22"/>
          <w:sz w:val="26"/>
        </w:rPr>
        <w:t>Settlement order</w:t>
      </w:r>
    </w:p>
    <w:p>
      <w:pPr>
        <w:spacing w:before="0" w:after="100" w:line="264" w:lineRule="auto"/>
        <w:jc w:val="left"/>
      </w:pPr>
      <w:r>
        <w:rPr>
          <w:rFonts w:ascii="Noto Sans" w:hAnsi="Noto Sans" w:eastAsia="Noto Sans"/>
          <w:b w:val="0"/>
          <w:i w:val="0"/>
          <w:color w:val="655E63"/>
          <w:sz w:val="17"/>
        </w:rPr>
        <w:t>Both tranches share one final vault value and end date. Senior receives payment first. Junior receives what remains and takes the first loss. The buffer can reduce Senior exposure, but it cannot remove all risk.</w:t>
      </w:r>
    </w:p>
    <w:tbl>
      <w:tblPr>
        <w:tblW w:type="dxa" w:w="10368"/>
        <w:tblLayout w:type="fixed"/>
        <w:tblLook w:firstColumn="1" w:firstRow="1" w:lastColumn="0" w:lastRow="0" w:noHBand="0" w:noVBand="1" w:val="04A0"/>
      </w:tblPr>
      <w:tblGrid>
        <w:gridCol w:w="5184"/>
        <w:gridCol w:w="5184"/>
      </w:tblGrid>
      <w:tr>
        <w:tc>
          <w:tcPr>
            <w:tcW w:type="dxa" w:w="5184"/>
            <w:tcBorders>
              <w:top w:val="single" w:sz="5" w:color="D9D9D9"/>
              <w:left w:val="single" w:sz="5" w:color="D9D9D9"/>
              <w:bottom w:val="single" w:sz="5" w:color="D9D9D9"/>
              <w:right w:val="single" w:sz="5" w:color="D9D9D9"/>
            </w:tcBorders>
            <w:shd w:val="clear" w:color="auto" w:fill="F5E8E9"/>
            <w:tcMar>
              <w:top w:w="130" w:type="dxa"/>
              <w:start w:w="150" w:type="dxa"/>
              <w:bottom w:w="130" w:type="dxa"/>
              <w:end w:w="150" w:type="dxa"/>
            </w:tcMar>
          </w:tcPr>
          <w:p>
            <w:pPr>
              <w:spacing w:after="40"/>
            </w:pPr>
            <w:r/>
            <w:r>
              <w:rPr>
                <w:rFonts w:ascii="Noto Sans" w:hAnsi="Noto Sans" w:eastAsia="Noto Sans"/>
                <w:b/>
                <w:i w:val="0"/>
                <w:color w:val="9E1C29"/>
                <w:sz w:val="14"/>
              </w:rPr>
              <w:t>01  SENIOR</w:t>
            </w:r>
          </w:p>
          <w:p>
            <w:pPr>
              <w:spacing w:after="40"/>
            </w:pPr>
            <w:r>
              <w:rPr>
                <w:rFonts w:ascii="Noto Sans" w:hAnsi="Noto Sans" w:eastAsia="Noto Sans"/>
                <w:b/>
                <w:i w:val="0"/>
                <w:color w:val="201B22"/>
                <w:sz w:val="20"/>
              </w:rPr>
              <w:t>Paid first</w:t>
            </w:r>
          </w:p>
          <w:p>
            <w:pPr>
              <w:spacing w:after="0"/>
            </w:pPr>
            <w:r>
              <w:rPr>
                <w:rFonts w:ascii="Noto Sans" w:hAnsi="Noto Sans" w:eastAsia="Noto Sans"/>
                <w:b w:val="0"/>
                <w:i w:val="0"/>
                <w:color w:val="655E63"/>
                <w:sz w:val="16"/>
              </w:rPr>
              <w:t>Paid from available final vault value</w:t>
            </w:r>
          </w:p>
        </w:tc>
        <w:tc>
          <w:tcPr>
            <w:tcW w:type="dxa" w:w="5184"/>
            <w:tcBorders>
              <w:top w:val="single" w:sz="5" w:color="D9D9D9"/>
              <w:left w:val="single" w:sz="5" w:color="D9D9D9"/>
              <w:bottom w:val="single" w:sz="5" w:color="D9D9D9"/>
              <w:right w:val="single" w:sz="5" w:color="D9D9D9"/>
            </w:tcBorders>
            <w:shd w:val="clear" w:color="auto" w:fill="EEEAE5"/>
            <w:tcMar>
              <w:top w:w="130" w:type="dxa"/>
              <w:start w:w="150" w:type="dxa"/>
              <w:bottom w:w="130" w:type="dxa"/>
              <w:end w:w="150" w:type="dxa"/>
            </w:tcMar>
          </w:tcPr>
          <w:p>
            <w:pPr>
              <w:spacing w:after="40"/>
            </w:pPr>
            <w:r/>
            <w:r>
              <w:rPr>
                <w:rFonts w:ascii="Noto Sans" w:hAnsi="Noto Sans" w:eastAsia="Noto Sans"/>
                <w:b/>
                <w:i w:val="0"/>
                <w:color w:val="201B22"/>
                <w:sz w:val="14"/>
              </w:rPr>
              <w:t>02  JUNIOR</w:t>
            </w:r>
          </w:p>
          <w:p>
            <w:pPr>
              <w:spacing w:after="40"/>
            </w:pPr>
            <w:r>
              <w:rPr>
                <w:rFonts w:ascii="Noto Sans" w:hAnsi="Noto Sans" w:eastAsia="Noto Sans"/>
                <w:b/>
                <w:i w:val="0"/>
                <w:color w:val="201B22"/>
                <w:sz w:val="20"/>
              </w:rPr>
              <w:t>Paid after Senior</w:t>
            </w:r>
          </w:p>
          <w:p>
            <w:pPr>
              <w:spacing w:after="0"/>
            </w:pPr>
            <w:r>
              <w:rPr>
                <w:rFonts w:ascii="Noto Sans" w:hAnsi="Noto Sans" w:eastAsia="Noto Sans"/>
                <w:b w:val="0"/>
                <w:i w:val="0"/>
                <w:color w:val="655E63"/>
                <w:sz w:val="16"/>
              </w:rPr>
              <w:t>Receives residual value and takes first loss</w:t>
            </w:r>
          </w:p>
        </w:tc>
      </w:tr>
    </w:tbl>
    <w:p>
      <w:r>
        <w:br w:type="page"/>
      </w:r>
    </w:p>
    <w:p>
      <w:pPr>
        <w:pStyle w:val="Heading1"/>
        <w:keepNext/>
        <w:spacing w:before="200" w:after="40"/>
      </w:pPr>
      <w:r>
        <w:rPr>
          <w:rFonts w:ascii="Noto Sans" w:hAnsi="Noto Sans" w:eastAsia="Noto Sans"/>
          <w:b/>
          <w:i w:val="0"/>
          <w:color w:val="201B22"/>
          <w:sz w:val="26"/>
        </w:rPr>
        <w:t>Review checklist</w:t>
      </w:r>
    </w:p>
    <w:p>
      <w:pPr>
        <w:spacing w:before="0" w:after="140" w:line="264" w:lineRule="auto"/>
        <w:jc w:val="left"/>
      </w:pPr>
      <w:r>
        <w:rPr>
          <w:rFonts w:ascii="Noto Sans" w:hAnsi="Noto Sans" w:eastAsia="Noto Sans"/>
          <w:b w:val="0"/>
          <w:i w:val="0"/>
          <w:color w:val="655E63"/>
          <w:sz w:val="18"/>
        </w:rPr>
        <w:t>Use this page to record your review of the example terms. Check each item when you can explain it in your own words.</w:t>
      </w:r>
    </w:p>
    <w:tbl>
      <w:tblPr>
        <w:tblW w:type="dxa" w:w="10368"/>
        <w:tblLayout w:type="fixed"/>
        <w:tblLook w:firstColumn="1" w:firstRow="1" w:lastColumn="0" w:lastRow="0" w:noHBand="0" w:noVBand="1" w:val="04A0"/>
      </w:tblPr>
      <w:tblGrid>
        <w:gridCol w:w="792"/>
        <w:gridCol w:w="9576"/>
      </w:tblGrid>
      <w:tr>
        <w:trPr>
          <w:trHeight w:hRule="atLeast" w:val="446"/>
        </w:trPr>
        <w:tc>
          <w:tcPr>
            <w:tcW w:type="dxa" w:w="792"/>
            <w:tcBorders>
              <w:top w:val="single" w:sz="5" w:color="D9D9D9"/>
              <w:left w:val="single" w:sz="5" w:color="D9D9D9"/>
              <w:bottom w:val="single" w:sz="5" w:color="D9D9D9"/>
              <w:right w:val="single" w:sz="5" w:color="D9D9D9"/>
            </w:tcBorders>
            <w:shd w:val="clear" w:color="auto" w:fill="F5E8E9"/>
            <w:vAlign w:val="center"/>
            <w:tcMar>
              <w:top w:w="100" w:type="dxa"/>
              <w:start w:w="130" w:type="dxa"/>
              <w:bottom w:w="100" w:type="dxa"/>
              <w:end w:w="130" w:type="dxa"/>
            </w:tcMar>
          </w:tcPr>
          <w:p>
            <w:pPr>
              <w:spacing w:after="0" w:line="252" w:lineRule="auto"/>
              <w:jc w:val="center"/>
            </w:pPr>
            <w:r/>
            <w:r>
              <w:rPr>
                <w:rFonts w:ascii="Noto Sans" w:hAnsi="Noto Sans" w:eastAsia="Noto Sans"/>
                <w:b/>
                <w:i w:val="0"/>
                <w:color w:val="9E1C29"/>
                <w:sz w:val="20"/>
              </w:rPr>
              <w:t>[ ]</w:t>
            </w:r>
          </w:p>
        </w:tc>
        <w:tc>
          <w:tcPr>
            <w:tcW w:type="dxa" w:w="9576"/>
            <w:tcBorders>
              <w:top w:val="single" w:sz="5" w:color="D9D9D9"/>
              <w:left w:val="single" w:sz="5" w:color="D9D9D9"/>
              <w:bottom w:val="single" w:sz="5" w:color="D9D9D9"/>
              <w:right w:val="single" w:sz="5" w:color="D9D9D9"/>
            </w:tcBorders>
            <w:shd w:val="clear" w:color="auto" w:fill="F5E8E9"/>
            <w:vAlign w:val="center"/>
            <w:tcMar>
              <w:top w:w="100" w:type="dxa"/>
              <w:start w:w="130" w:type="dxa"/>
              <w:bottom w:w="100" w:type="dxa"/>
              <w:end w:w="130" w:type="dxa"/>
            </w:tcMar>
          </w:tcPr>
          <w:p>
            <w:pPr>
              <w:spacing w:after="0" w:line="252" w:lineRule="auto"/>
              <w:jc w:val="left"/>
            </w:pPr>
            <w:r/>
            <w:r>
              <w:rPr>
                <w:rFonts w:ascii="Noto Sans" w:hAnsi="Noto Sans" w:eastAsia="Noto Sans"/>
                <w:b w:val="0"/>
                <w:i w:val="0"/>
                <w:color w:val="201B22"/>
                <w:sz w:val="17"/>
              </w:rPr>
              <w:t>Market and network match the intended position: ETH / USDC on Ethereum.</w:t>
            </w:r>
          </w:p>
        </w:tc>
      </w:tr>
      <w:tr>
        <w:trPr>
          <w:trHeight w:hRule="atLeast" w:val="446"/>
        </w:trPr>
        <w:tc>
          <w:tcPr>
            <w:tcW w:type="dxa" w:w="792"/>
            <w:tcBorders>
              <w:top w:val="single" w:sz="5" w:color="D9D9D9"/>
              <w:left w:val="single" w:sz="5" w:color="D9D9D9"/>
              <w:bottom w:val="single" w:sz="5" w:color="D9D9D9"/>
              <w:right w:val="single" w:sz="5" w:color="D9D9D9"/>
            </w:tcBorders>
            <w:shd w:val="clear" w:color="auto" w:fill="FBFAF8"/>
            <w:vAlign w:val="center"/>
            <w:tcMar>
              <w:top w:w="100" w:type="dxa"/>
              <w:start w:w="130" w:type="dxa"/>
              <w:bottom w:w="100" w:type="dxa"/>
              <w:end w:w="130" w:type="dxa"/>
            </w:tcMar>
          </w:tcPr>
          <w:p>
            <w:pPr>
              <w:spacing w:after="0" w:line="252" w:lineRule="auto"/>
              <w:jc w:val="center"/>
            </w:pPr>
            <w:r/>
            <w:r>
              <w:rPr>
                <w:rFonts w:ascii="Noto Sans" w:hAnsi="Noto Sans" w:eastAsia="Noto Sans"/>
                <w:b/>
                <w:i w:val="0"/>
                <w:color w:val="9E1C29"/>
                <w:sz w:val="20"/>
              </w:rPr>
              <w:t>[ ]</w:t>
            </w:r>
          </w:p>
        </w:tc>
        <w:tc>
          <w:tcPr>
            <w:tcW w:type="dxa" w:w="9576"/>
            <w:tcBorders>
              <w:top w:val="single" w:sz="5" w:color="D9D9D9"/>
              <w:left w:val="single" w:sz="5" w:color="D9D9D9"/>
              <w:bottom w:val="single" w:sz="5" w:color="D9D9D9"/>
              <w:right w:val="single" w:sz="5" w:color="D9D9D9"/>
            </w:tcBorders>
            <w:shd w:val="clear" w:color="auto" w:fill="FBFAF8"/>
            <w:vAlign w:val="center"/>
            <w:tcMar>
              <w:top w:w="100" w:type="dxa"/>
              <w:start w:w="130" w:type="dxa"/>
              <w:bottom w:w="100" w:type="dxa"/>
              <w:end w:w="130" w:type="dxa"/>
            </w:tcMar>
          </w:tcPr>
          <w:p>
            <w:pPr>
              <w:spacing w:after="0" w:line="252" w:lineRule="auto"/>
              <w:jc w:val="left"/>
            </w:pPr>
            <w:r/>
            <w:r>
              <w:rPr>
                <w:rFonts w:ascii="Noto Sans" w:hAnsi="Noto Sans" w:eastAsia="Noto Sans"/>
                <w:b w:val="0"/>
                <w:i w:val="0"/>
                <w:color w:val="201B22"/>
                <w:sz w:val="17"/>
              </w:rPr>
              <w:t>Tranche role is clear: Senior is paid before Junior.</w:t>
            </w:r>
          </w:p>
        </w:tc>
      </w:tr>
      <w:tr>
        <w:trPr>
          <w:trHeight w:hRule="atLeast" w:val="446"/>
        </w:trPr>
        <w:tc>
          <w:tcPr>
            <w:tcW w:type="dxa" w:w="792"/>
            <w:tcBorders>
              <w:top w:val="single" w:sz="5" w:color="D9D9D9"/>
              <w:left w:val="single" w:sz="5" w:color="D9D9D9"/>
              <w:bottom w:val="single" w:sz="5" w:color="D9D9D9"/>
              <w:right w:val="single" w:sz="5" w:color="D9D9D9"/>
            </w:tcBorders>
            <w:shd w:val="clear" w:color="auto" w:fill="F5E8E9"/>
            <w:vAlign w:val="center"/>
            <w:tcMar>
              <w:top w:w="100" w:type="dxa"/>
              <w:start w:w="130" w:type="dxa"/>
              <w:bottom w:w="100" w:type="dxa"/>
              <w:end w:w="130" w:type="dxa"/>
            </w:tcMar>
          </w:tcPr>
          <w:p>
            <w:pPr>
              <w:spacing w:after="0" w:line="252" w:lineRule="auto"/>
              <w:jc w:val="center"/>
            </w:pPr>
            <w:r/>
            <w:r>
              <w:rPr>
                <w:rFonts w:ascii="Noto Sans" w:hAnsi="Noto Sans" w:eastAsia="Noto Sans"/>
                <w:b/>
                <w:i w:val="0"/>
                <w:color w:val="9E1C29"/>
                <w:sz w:val="20"/>
              </w:rPr>
              <w:t>[ ]</w:t>
            </w:r>
          </w:p>
        </w:tc>
        <w:tc>
          <w:tcPr>
            <w:tcW w:type="dxa" w:w="9576"/>
            <w:tcBorders>
              <w:top w:val="single" w:sz="5" w:color="D9D9D9"/>
              <w:left w:val="single" w:sz="5" w:color="D9D9D9"/>
              <w:bottom w:val="single" w:sz="5" w:color="D9D9D9"/>
              <w:right w:val="single" w:sz="5" w:color="D9D9D9"/>
            </w:tcBorders>
            <w:shd w:val="clear" w:color="auto" w:fill="F5E8E9"/>
            <w:vAlign w:val="center"/>
            <w:tcMar>
              <w:top w:w="100" w:type="dxa"/>
              <w:start w:w="130" w:type="dxa"/>
              <w:bottom w:w="100" w:type="dxa"/>
              <w:end w:w="130" w:type="dxa"/>
            </w:tcMar>
          </w:tcPr>
          <w:p>
            <w:pPr>
              <w:spacing w:after="0" w:line="252" w:lineRule="auto"/>
              <w:jc w:val="left"/>
            </w:pPr>
            <w:r/>
            <w:r>
              <w:rPr>
                <w:rFonts w:ascii="Noto Sans" w:hAnsi="Noto Sans" w:eastAsia="Noto Sans"/>
                <w:b w:val="0"/>
                <w:i w:val="0"/>
                <w:color w:val="201B22"/>
                <w:sz w:val="17"/>
              </w:rPr>
              <w:t>Term is acceptable: 30 days, ending Oct 8, 2026.</w:t>
            </w:r>
          </w:p>
        </w:tc>
      </w:tr>
      <w:tr>
        <w:trPr>
          <w:trHeight w:hRule="atLeast" w:val="446"/>
        </w:trPr>
        <w:tc>
          <w:tcPr>
            <w:tcW w:type="dxa" w:w="792"/>
            <w:tcBorders>
              <w:top w:val="single" w:sz="5" w:color="D9D9D9"/>
              <w:left w:val="single" w:sz="5" w:color="D9D9D9"/>
              <w:bottom w:val="single" w:sz="5" w:color="D9D9D9"/>
              <w:right w:val="single" w:sz="5" w:color="D9D9D9"/>
            </w:tcBorders>
            <w:shd w:val="clear" w:color="auto" w:fill="FBFAF8"/>
            <w:vAlign w:val="center"/>
            <w:tcMar>
              <w:top w:w="100" w:type="dxa"/>
              <w:start w:w="130" w:type="dxa"/>
              <w:bottom w:w="100" w:type="dxa"/>
              <w:end w:w="130" w:type="dxa"/>
            </w:tcMar>
          </w:tcPr>
          <w:p>
            <w:pPr>
              <w:spacing w:after="0" w:line="252" w:lineRule="auto"/>
              <w:jc w:val="center"/>
            </w:pPr>
            <w:r/>
            <w:r>
              <w:rPr>
                <w:rFonts w:ascii="Noto Sans" w:hAnsi="Noto Sans" w:eastAsia="Noto Sans"/>
                <w:b/>
                <w:i w:val="0"/>
                <w:color w:val="9E1C29"/>
                <w:sz w:val="20"/>
              </w:rPr>
              <w:t>[ ]</w:t>
            </w:r>
          </w:p>
        </w:tc>
        <w:tc>
          <w:tcPr>
            <w:tcW w:type="dxa" w:w="9576"/>
            <w:tcBorders>
              <w:top w:val="single" w:sz="5" w:color="D9D9D9"/>
              <w:left w:val="single" w:sz="5" w:color="D9D9D9"/>
              <w:bottom w:val="single" w:sz="5" w:color="D9D9D9"/>
              <w:right w:val="single" w:sz="5" w:color="D9D9D9"/>
            </w:tcBorders>
            <w:shd w:val="clear" w:color="auto" w:fill="FBFAF8"/>
            <w:vAlign w:val="center"/>
            <w:tcMar>
              <w:top w:w="100" w:type="dxa"/>
              <w:start w:w="130" w:type="dxa"/>
              <w:bottom w:w="100" w:type="dxa"/>
              <w:end w:w="130" w:type="dxa"/>
            </w:tcMar>
          </w:tcPr>
          <w:p>
            <w:pPr>
              <w:spacing w:after="0" w:line="252" w:lineRule="auto"/>
              <w:jc w:val="left"/>
            </w:pPr>
            <w:r/>
            <w:r>
              <w:rPr>
                <w:rFonts w:ascii="Noto Sans" w:hAnsi="Noto Sans" w:eastAsia="Noto Sans"/>
                <w:b w:val="0"/>
                <w:i w:val="0"/>
                <w:color w:val="201B22"/>
                <w:sz w:val="17"/>
              </w:rPr>
              <w:t>The sample range is understood: $2,800 - $4,200.</w:t>
            </w:r>
          </w:p>
        </w:tc>
      </w:tr>
      <w:tr>
        <w:trPr>
          <w:trHeight w:hRule="atLeast" w:val="446"/>
        </w:trPr>
        <w:tc>
          <w:tcPr>
            <w:tcW w:type="dxa" w:w="792"/>
            <w:tcBorders>
              <w:top w:val="single" w:sz="5" w:color="D9D9D9"/>
              <w:left w:val="single" w:sz="5" w:color="D9D9D9"/>
              <w:bottom w:val="single" w:sz="5" w:color="D9D9D9"/>
              <w:right w:val="single" w:sz="5" w:color="D9D9D9"/>
            </w:tcBorders>
            <w:shd w:val="clear" w:color="auto" w:fill="F5E8E9"/>
            <w:vAlign w:val="center"/>
            <w:tcMar>
              <w:top w:w="100" w:type="dxa"/>
              <w:start w:w="130" w:type="dxa"/>
              <w:bottom w:w="100" w:type="dxa"/>
              <w:end w:w="130" w:type="dxa"/>
            </w:tcMar>
          </w:tcPr>
          <w:p>
            <w:pPr>
              <w:spacing w:after="0" w:line="252" w:lineRule="auto"/>
              <w:jc w:val="center"/>
            </w:pPr>
            <w:r/>
            <w:r>
              <w:rPr>
                <w:rFonts w:ascii="Noto Sans" w:hAnsi="Noto Sans" w:eastAsia="Noto Sans"/>
                <w:b/>
                <w:i w:val="0"/>
                <w:color w:val="9E1C29"/>
                <w:sz w:val="20"/>
              </w:rPr>
              <w:t>[ ]</w:t>
            </w:r>
          </w:p>
        </w:tc>
        <w:tc>
          <w:tcPr>
            <w:tcW w:type="dxa" w:w="9576"/>
            <w:tcBorders>
              <w:top w:val="single" w:sz="5" w:color="D9D9D9"/>
              <w:left w:val="single" w:sz="5" w:color="D9D9D9"/>
              <w:bottom w:val="single" w:sz="5" w:color="D9D9D9"/>
              <w:right w:val="single" w:sz="5" w:color="D9D9D9"/>
            </w:tcBorders>
            <w:shd w:val="clear" w:color="auto" w:fill="F5E8E9"/>
            <w:vAlign w:val="center"/>
            <w:tcMar>
              <w:top w:w="100" w:type="dxa"/>
              <w:start w:w="130" w:type="dxa"/>
              <w:bottom w:w="100" w:type="dxa"/>
              <w:end w:w="130" w:type="dxa"/>
            </w:tcMar>
          </w:tcPr>
          <w:p>
            <w:pPr>
              <w:spacing w:after="0" w:line="252" w:lineRule="auto"/>
              <w:jc w:val="left"/>
            </w:pPr>
            <w:r/>
            <w:r>
              <w:rPr>
                <w:rFonts w:ascii="Noto Sans" w:hAnsi="Noto Sans" w:eastAsia="Noto Sans"/>
                <w:b w:val="0"/>
                <w:i w:val="0"/>
                <w:color w:val="201B22"/>
                <w:sz w:val="17"/>
              </w:rPr>
              <w:t>Loss boundary is understood: Junior covers first losses, but the 30% buffer can run out.</w:t>
            </w:r>
          </w:p>
        </w:tc>
      </w:tr>
      <w:tr>
        <w:trPr>
          <w:trHeight w:hRule="atLeast" w:val="446"/>
        </w:trPr>
        <w:tc>
          <w:tcPr>
            <w:tcW w:type="dxa" w:w="792"/>
            <w:tcBorders>
              <w:top w:val="single" w:sz="5" w:color="D9D9D9"/>
              <w:left w:val="single" w:sz="5" w:color="D9D9D9"/>
              <w:bottom w:val="single" w:sz="5" w:color="D9D9D9"/>
              <w:right w:val="single" w:sz="5" w:color="D9D9D9"/>
            </w:tcBorders>
            <w:shd w:val="clear" w:color="auto" w:fill="FBFAF8"/>
            <w:vAlign w:val="center"/>
            <w:tcMar>
              <w:top w:w="100" w:type="dxa"/>
              <w:start w:w="130" w:type="dxa"/>
              <w:bottom w:w="100" w:type="dxa"/>
              <w:end w:w="130" w:type="dxa"/>
            </w:tcMar>
          </w:tcPr>
          <w:p>
            <w:pPr>
              <w:spacing w:after="0" w:line="252" w:lineRule="auto"/>
              <w:jc w:val="center"/>
            </w:pPr>
            <w:r/>
            <w:r>
              <w:rPr>
                <w:rFonts w:ascii="Noto Sans" w:hAnsi="Noto Sans" w:eastAsia="Noto Sans"/>
                <w:b/>
                <w:i w:val="0"/>
                <w:color w:val="9E1C29"/>
                <w:sz w:val="20"/>
              </w:rPr>
              <w:t>[ ]</w:t>
            </w:r>
          </w:p>
        </w:tc>
        <w:tc>
          <w:tcPr>
            <w:tcW w:type="dxa" w:w="9576"/>
            <w:tcBorders>
              <w:top w:val="single" w:sz="5" w:color="D9D9D9"/>
              <w:left w:val="single" w:sz="5" w:color="D9D9D9"/>
              <w:bottom w:val="single" w:sz="5" w:color="D9D9D9"/>
              <w:right w:val="single" w:sz="5" w:color="D9D9D9"/>
            </w:tcBorders>
            <w:shd w:val="clear" w:color="auto" w:fill="FBFAF8"/>
            <w:vAlign w:val="center"/>
            <w:tcMar>
              <w:top w:w="100" w:type="dxa"/>
              <w:start w:w="130" w:type="dxa"/>
              <w:bottom w:w="100" w:type="dxa"/>
              <w:end w:w="130" w:type="dxa"/>
            </w:tcMar>
          </w:tcPr>
          <w:p>
            <w:pPr>
              <w:spacing w:after="0" w:line="252" w:lineRule="auto"/>
              <w:jc w:val="left"/>
            </w:pPr>
            <w:r/>
            <w:r>
              <w:rPr>
                <w:rFonts w:ascii="Noto Sans" w:hAnsi="Noto Sans" w:eastAsia="Noto Sans"/>
                <w:b w:val="0"/>
                <w:i w:val="0"/>
                <w:color w:val="201B22"/>
                <w:sz w:val="17"/>
              </w:rPr>
              <w:t>Capacity is understood: $1.24M funded of $2.0M capacity; $760k remains in this sample.</w:t>
            </w:r>
          </w:p>
        </w:tc>
      </w:tr>
      <w:tr>
        <w:trPr>
          <w:trHeight w:hRule="atLeast" w:val="446"/>
        </w:trPr>
        <w:tc>
          <w:tcPr>
            <w:tcW w:type="dxa" w:w="792"/>
            <w:tcBorders>
              <w:top w:val="single" w:sz="5" w:color="D9D9D9"/>
              <w:left w:val="single" w:sz="5" w:color="D9D9D9"/>
              <w:bottom w:val="single" w:sz="5" w:color="D9D9D9"/>
              <w:right w:val="single" w:sz="5" w:color="D9D9D9"/>
            </w:tcBorders>
            <w:shd w:val="clear" w:color="auto" w:fill="F5E8E9"/>
            <w:vAlign w:val="center"/>
            <w:tcMar>
              <w:top w:w="100" w:type="dxa"/>
              <w:start w:w="130" w:type="dxa"/>
              <w:bottom w:w="100" w:type="dxa"/>
              <w:end w:w="130" w:type="dxa"/>
            </w:tcMar>
          </w:tcPr>
          <w:p>
            <w:pPr>
              <w:spacing w:after="0" w:line="252" w:lineRule="auto"/>
              <w:jc w:val="center"/>
            </w:pPr>
            <w:r/>
            <w:r>
              <w:rPr>
                <w:rFonts w:ascii="Noto Sans" w:hAnsi="Noto Sans" w:eastAsia="Noto Sans"/>
                <w:b/>
                <w:i w:val="0"/>
                <w:color w:val="9E1C29"/>
                <w:sz w:val="20"/>
              </w:rPr>
              <w:t>[ ]</w:t>
            </w:r>
          </w:p>
        </w:tc>
        <w:tc>
          <w:tcPr>
            <w:tcW w:type="dxa" w:w="9576"/>
            <w:tcBorders>
              <w:top w:val="single" w:sz="5" w:color="D9D9D9"/>
              <w:left w:val="single" w:sz="5" w:color="D9D9D9"/>
              <w:bottom w:val="single" w:sz="5" w:color="D9D9D9"/>
              <w:right w:val="single" w:sz="5" w:color="D9D9D9"/>
            </w:tcBorders>
            <w:shd w:val="clear" w:color="auto" w:fill="F5E8E9"/>
            <w:vAlign w:val="center"/>
            <w:tcMar>
              <w:top w:w="100" w:type="dxa"/>
              <w:start w:w="130" w:type="dxa"/>
              <w:bottom w:w="100" w:type="dxa"/>
              <w:end w:w="130" w:type="dxa"/>
            </w:tcMar>
          </w:tcPr>
          <w:p>
            <w:pPr>
              <w:spacing w:after="0" w:line="252" w:lineRule="auto"/>
              <w:jc w:val="left"/>
            </w:pPr>
            <w:r/>
            <w:r>
              <w:rPr>
                <w:rFonts w:ascii="Noto Sans" w:hAnsi="Noto Sans" w:eastAsia="Noto Sans"/>
                <w:b w:val="0"/>
                <w:i w:val="0"/>
                <w:color w:val="201B22"/>
                <w:sz w:val="17"/>
              </w:rPr>
              <w:t>The estimate is understood: 8.40% is annualized and illustrative, not guaranteed.</w:t>
            </w:r>
          </w:p>
        </w:tc>
      </w:tr>
      <w:tr>
        <w:trPr>
          <w:trHeight w:hRule="atLeast" w:val="446"/>
        </w:trPr>
        <w:tc>
          <w:tcPr>
            <w:tcW w:type="dxa" w:w="792"/>
            <w:tcBorders>
              <w:top w:val="single" w:sz="5" w:color="D9D9D9"/>
              <w:left w:val="single" w:sz="5" w:color="D9D9D9"/>
              <w:bottom w:val="single" w:sz="5" w:color="D9D9D9"/>
              <w:right w:val="single" w:sz="5" w:color="D9D9D9"/>
            </w:tcBorders>
            <w:shd w:val="clear" w:color="auto" w:fill="FBFAF8"/>
            <w:vAlign w:val="center"/>
            <w:tcMar>
              <w:top w:w="100" w:type="dxa"/>
              <w:start w:w="130" w:type="dxa"/>
              <w:bottom w:w="100" w:type="dxa"/>
              <w:end w:w="130" w:type="dxa"/>
            </w:tcMar>
          </w:tcPr>
          <w:p>
            <w:pPr>
              <w:spacing w:after="0" w:line="252" w:lineRule="auto"/>
              <w:jc w:val="center"/>
            </w:pPr>
            <w:r/>
            <w:r>
              <w:rPr>
                <w:rFonts w:ascii="Noto Sans" w:hAnsi="Noto Sans" w:eastAsia="Noto Sans"/>
                <w:b/>
                <w:i w:val="0"/>
                <w:color w:val="9E1C29"/>
                <w:sz w:val="20"/>
              </w:rPr>
              <w:t>[ ]</w:t>
            </w:r>
          </w:p>
        </w:tc>
        <w:tc>
          <w:tcPr>
            <w:tcW w:type="dxa" w:w="9576"/>
            <w:tcBorders>
              <w:top w:val="single" w:sz="5" w:color="D9D9D9"/>
              <w:left w:val="single" w:sz="5" w:color="D9D9D9"/>
              <w:bottom w:val="single" w:sz="5" w:color="D9D9D9"/>
              <w:right w:val="single" w:sz="5" w:color="D9D9D9"/>
            </w:tcBorders>
            <w:shd w:val="clear" w:color="auto" w:fill="FBFAF8"/>
            <w:vAlign w:val="center"/>
            <w:tcMar>
              <w:top w:w="100" w:type="dxa"/>
              <w:start w:w="130" w:type="dxa"/>
              <w:bottom w:w="100" w:type="dxa"/>
              <w:end w:w="130" w:type="dxa"/>
            </w:tcMar>
          </w:tcPr>
          <w:p>
            <w:pPr>
              <w:spacing w:after="0" w:line="252" w:lineRule="auto"/>
              <w:jc w:val="left"/>
            </w:pPr>
            <w:r/>
            <w:r>
              <w:rPr>
                <w:rFonts w:ascii="Noto Sans" w:hAnsi="Noto Sans" w:eastAsia="Noto Sans"/>
                <w:b w:val="0"/>
                <w:i w:val="0"/>
                <w:color w:val="201B22"/>
                <w:sz w:val="17"/>
              </w:rPr>
              <w:t>The product boundary is clear: this preview uses demo financial operations.</w:t>
            </w:r>
          </w:p>
        </w:tc>
      </w:tr>
    </w:tbl>
    <w:p>
      <w:pPr>
        <w:pStyle w:val="Heading1"/>
        <w:keepNext/>
        <w:spacing w:before="200" w:after="40"/>
      </w:pPr>
      <w:r>
        <w:rPr>
          <w:rFonts w:ascii="Noto Sans" w:hAnsi="Noto Sans" w:eastAsia="Noto Sans"/>
          <w:b/>
          <w:i w:val="0"/>
          <w:color w:val="201B22"/>
          <w:sz w:val="26"/>
        </w:rPr>
        <w:t>Curator notes</w:t>
      </w:r>
    </w:p>
    <w:p>
      <w:pPr>
        <w:spacing w:before="0" w:after="60" w:line="259" w:lineRule="auto"/>
        <w:jc w:val="left"/>
      </w:pPr>
      <w:r>
        <w:rPr>
          <w:rFonts w:ascii="Noto Sans" w:hAnsi="Noto Sans" w:eastAsia="Noto Sans"/>
          <w:b w:val="0"/>
          <w:i w:val="0"/>
          <w:color w:val="655E63"/>
          <w:sz w:val="17"/>
        </w:rPr>
        <w:t>Record the questions, assumptions, or items to verify before review.</w:t>
      </w:r>
    </w:p>
    <w:tbl>
      <w:tblPr>
        <w:tblW w:type="dxa" w:w="10368"/>
        <w:tblLayout w:type="fixed"/>
        <w:tblLook w:firstColumn="1" w:firstRow="1" w:lastColumn="0" w:lastRow="0" w:noHBand="0" w:noVBand="1" w:val="04A0"/>
      </w:tblPr>
      <w:tblGrid>
        <w:gridCol w:w="10368"/>
      </w:tblGrid>
      <w:tr>
        <w:trPr>
          <w:trHeight w:hRule="atLeast" w:val="490"/>
        </w:trPr>
        <w:tc>
          <w:tcPr>
            <w:tcW w:type="dxa" w:w="10368"/>
            <w:tcMar>
              <w:top w:w="50" w:type="dxa"/>
              <w:start w:w="50" w:type="dxa"/>
              <w:bottom w:w="50" w:type="dxa"/>
              <w:end w:w="50" w:type="dxa"/>
            </w:tcMar>
            <w:tcBorders>
              <w:top w:val="nil"/>
              <w:left w:val="nil"/>
              <w:bottom w:val="single" w:sz="5" w:color="D9D9D9"/>
              <w:right w:val="nil"/>
            </w:tcBorders>
          </w:tcPr>
          <w:p>
            <w:r/>
          </w:p>
        </w:tc>
      </w:tr>
      <w:tr>
        <w:trPr>
          <w:trHeight w:hRule="atLeast" w:val="432"/>
        </w:trPr>
        <w:tc>
          <w:tcPr>
            <w:tcW w:type="dxa" w:w="10368"/>
            <w:tcMar>
              <w:top w:w="50" w:type="dxa"/>
              <w:start w:w="50" w:type="dxa"/>
              <w:bottom w:w="50" w:type="dxa"/>
              <w:end w:w="50" w:type="dxa"/>
            </w:tcMar>
            <w:tcBorders>
              <w:top w:val="nil"/>
              <w:left w:val="nil"/>
              <w:bottom w:val="single" w:sz="5" w:color="D9D9D9"/>
              <w:right w:val="nil"/>
            </w:tcBorders>
          </w:tcPr>
          <w:p>
            <w:r/>
          </w:p>
        </w:tc>
      </w:tr>
      <w:tr>
        <w:trPr>
          <w:trHeight w:hRule="atLeast" w:val="432"/>
        </w:trPr>
        <w:tc>
          <w:tcPr>
            <w:tcW w:type="dxa" w:w="10368"/>
            <w:tcMar>
              <w:top w:w="50" w:type="dxa"/>
              <w:start w:w="50" w:type="dxa"/>
              <w:bottom w:w="50" w:type="dxa"/>
              <w:end w:w="50" w:type="dxa"/>
            </w:tcMar>
            <w:tcBorders>
              <w:top w:val="nil"/>
              <w:left w:val="nil"/>
              <w:bottom w:val="single" w:sz="5" w:color="D9D9D9"/>
              <w:right w:val="nil"/>
            </w:tcBorders>
          </w:tcPr>
          <w:p>
            <w:r/>
          </w:p>
        </w:tc>
      </w:tr>
      <w:tr>
        <w:trPr>
          <w:trHeight w:hRule="atLeast" w:val="432"/>
        </w:trPr>
        <w:tc>
          <w:tcPr>
            <w:tcW w:type="dxa" w:w="10368"/>
            <w:tcMar>
              <w:top w:w="50" w:type="dxa"/>
              <w:start w:w="50" w:type="dxa"/>
              <w:bottom w:w="50" w:type="dxa"/>
              <w:end w:w="50" w:type="dxa"/>
            </w:tcMar>
            <w:tcBorders>
              <w:top w:val="nil"/>
              <w:left w:val="nil"/>
              <w:bottom w:val="single" w:sz="5" w:color="D9D9D9"/>
              <w:right w:val="nil"/>
            </w:tcBorders>
          </w:tcPr>
          <w:p>
            <w:r/>
          </w:p>
        </w:tc>
      </w:tr>
    </w:tbl>
    <w:p>
      <w:pPr>
        <w:pStyle w:val="Heading1"/>
        <w:keepNext/>
        <w:spacing w:before="180" w:after="40"/>
      </w:pPr>
      <w:r>
        <w:rPr>
          <w:rFonts w:ascii="Noto Sans" w:hAnsi="Noto Sans" w:eastAsia="Noto Sans"/>
          <w:b/>
          <w:i w:val="0"/>
          <w:color w:val="201B22"/>
          <w:sz w:val="26"/>
        </w:rPr>
        <w:t>Operational context</w:t>
      </w:r>
    </w:p>
    <w:p>
      <w:pPr>
        <w:spacing w:after="80" w:line="259" w:lineRule="auto"/>
      </w:pPr>
      <w:r>
        <w:rPr>
          <w:rFonts w:ascii="Noto Sans" w:hAnsi="Noto Sans" w:eastAsia="Noto Sans"/>
          <w:b/>
          <w:i w:val="0"/>
          <w:color w:val="201B22"/>
          <w:sz w:val="17"/>
        </w:rPr>
        <w:t xml:space="preserve">Wallet sign-in uses a real externally owned account signature through Sign-In with Ethereum (SIWE). </w:t>
      </w:r>
      <w:r>
        <w:rPr>
          <w:rFonts w:ascii="Noto Sans" w:hAnsi="Noto Sans" w:eastAsia="Noto Sans"/>
          <w:b w:val="0"/>
          <w:i w:val="0"/>
          <w:color w:val="655E63"/>
          <w:sz w:val="17"/>
        </w:rPr>
        <w:t>Financial operations in this preview are browser-local simulations. No live contracts, backend balances, transaction, or token approval are used. This factsheet is an illustrative review aid; it does not state that a deposit is live or audited.</w:t>
      </w:r>
    </w:p>
    <w:p>
      <w:pPr>
        <w:pStyle w:val="Heading1"/>
        <w:keepNext/>
        <w:spacing w:before="160" w:after="60"/>
      </w:pPr>
      <w:r>
        <w:rPr>
          <w:rFonts w:ascii="Noto Sans" w:hAnsi="Noto Sans" w:eastAsia="Noto Sans"/>
          <w:b/>
          <w:i w:val="0"/>
          <w:color w:val="201B22"/>
          <w:sz w:val="26"/>
        </w:rPr>
        <w:t>Review record</w:t>
      </w:r>
    </w:p>
    <w:tbl>
      <w:tblPr>
        <w:tblW w:type="dxa" w:w="10368"/>
        <w:tblLayout w:type="fixed"/>
        <w:tblLook w:firstColumn="1" w:firstRow="1" w:lastColumn="0" w:lastRow="0" w:noHBand="0" w:noVBand="1" w:val="04A0"/>
      </w:tblPr>
      <w:tblGrid>
        <w:gridCol w:w="1512"/>
        <w:gridCol w:w="3672"/>
        <w:gridCol w:w="1368"/>
        <w:gridCol w:w="3816"/>
      </w:tblGrid>
      <w:tr>
        <w:trPr>
          <w:trHeight w:hRule="atLeast" w:val="432"/>
        </w:trPr>
        <w:tc>
          <w:tcPr>
            <w:tcW w:type="dxa" w:w="1512"/>
            <w:tcBorders>
              <w:top w:val="single" w:sz="5" w:color="D9D9D9"/>
              <w:left w:val="single" w:sz="5" w:color="D9D9D9"/>
              <w:bottom w:val="single" w:sz="5" w:color="D9D9D9"/>
              <w:right w:val="single" w:sz="5" w:color="D9D9D9"/>
            </w:tcBorders>
            <w:shd w:val="clear" w:color="auto" w:fill="EEEAE5"/>
            <w:vAlign w:val="center"/>
            <w:tcMar>
              <w:top w:w="100" w:type="dxa"/>
              <w:start w:w="130" w:type="dxa"/>
              <w:bottom w:w="100" w:type="dxa"/>
              <w:end w:w="130" w:type="dxa"/>
            </w:tcMar>
          </w:tcPr>
          <w:p>
            <w:pPr>
              <w:spacing w:after="0" w:line="252" w:lineRule="auto"/>
              <w:jc w:val="left"/>
            </w:pPr>
            <w:r/>
            <w:r>
              <w:rPr>
                <w:rFonts w:ascii="Noto Sans" w:hAnsi="Noto Sans" w:eastAsia="Noto Sans"/>
                <w:b/>
                <w:i w:val="0"/>
                <w:color w:val="655E63"/>
                <w:sz w:val="16"/>
              </w:rPr>
              <w:t>Review date</w:t>
            </w:r>
          </w:p>
        </w:tc>
        <w:tc>
          <w:tcPr>
            <w:tcW w:type="dxa" w:w="3672"/>
            <w:tcBorders>
              <w:top w:val="single" w:sz="5" w:color="D9D9D9"/>
              <w:left w:val="single" w:sz="5" w:color="D9D9D9"/>
              <w:bottom w:val="single" w:sz="5" w:color="D9D9D9"/>
              <w:right w:val="single" w:sz="5" w:color="D9D9D9"/>
            </w:tcBorders>
            <w:shd w:val="clear" w:color="auto" w:fill="FBFAF8"/>
            <w:vAlign w:val="center"/>
            <w:tcMar>
              <w:top w:w="100" w:type="dxa"/>
              <w:start w:w="130" w:type="dxa"/>
              <w:bottom w:w="100" w:type="dxa"/>
              <w:end w:w="130" w:type="dxa"/>
            </w:tcMar>
          </w:tcPr>
          <w:p>
            <w:pPr>
              <w:spacing w:after="0" w:line="252" w:lineRule="auto"/>
              <w:jc w:val="left"/>
            </w:pPr>
            <w:r/>
            <w:r>
              <w:rPr>
                <w:rFonts w:ascii="Noto Sans" w:hAnsi="Noto Sans" w:eastAsia="Noto Sans"/>
                <w:b w:val="0"/>
                <w:i w:val="0"/>
                <w:color w:val="201B22"/>
                <w:sz w:val="16"/>
              </w:rPr>
              <w:t>________________</w:t>
            </w:r>
          </w:p>
        </w:tc>
        <w:tc>
          <w:tcPr>
            <w:tcW w:type="dxa" w:w="1368"/>
            <w:tcBorders>
              <w:top w:val="single" w:sz="5" w:color="D9D9D9"/>
              <w:left w:val="single" w:sz="5" w:color="D9D9D9"/>
              <w:bottom w:val="single" w:sz="5" w:color="D9D9D9"/>
              <w:right w:val="single" w:sz="5" w:color="D9D9D9"/>
            </w:tcBorders>
            <w:shd w:val="clear" w:color="auto" w:fill="EEEAE5"/>
            <w:vAlign w:val="center"/>
            <w:tcMar>
              <w:top w:w="100" w:type="dxa"/>
              <w:start w:w="130" w:type="dxa"/>
              <w:bottom w:w="100" w:type="dxa"/>
              <w:end w:w="130" w:type="dxa"/>
            </w:tcMar>
          </w:tcPr>
          <w:p>
            <w:pPr>
              <w:spacing w:after="0" w:line="252" w:lineRule="auto"/>
              <w:jc w:val="left"/>
            </w:pPr>
            <w:r/>
            <w:r>
              <w:rPr>
                <w:rFonts w:ascii="Noto Sans" w:hAnsi="Noto Sans" w:eastAsia="Noto Sans"/>
                <w:b/>
                <w:i w:val="0"/>
                <w:color w:val="655E63"/>
                <w:sz w:val="16"/>
              </w:rPr>
              <w:t>Reviewer</w:t>
            </w:r>
          </w:p>
        </w:tc>
        <w:tc>
          <w:tcPr>
            <w:tcW w:type="dxa" w:w="3816"/>
            <w:tcBorders>
              <w:top w:val="single" w:sz="5" w:color="D9D9D9"/>
              <w:left w:val="single" w:sz="5" w:color="D9D9D9"/>
              <w:bottom w:val="single" w:sz="5" w:color="D9D9D9"/>
              <w:right w:val="single" w:sz="5" w:color="D9D9D9"/>
            </w:tcBorders>
            <w:shd w:val="clear" w:color="auto" w:fill="FBFAF8"/>
            <w:vAlign w:val="center"/>
            <w:tcMar>
              <w:top w:w="100" w:type="dxa"/>
              <w:start w:w="130" w:type="dxa"/>
              <w:bottom w:w="100" w:type="dxa"/>
              <w:end w:w="130" w:type="dxa"/>
            </w:tcMar>
          </w:tcPr>
          <w:p>
            <w:pPr>
              <w:spacing w:after="0" w:line="252" w:lineRule="auto"/>
              <w:jc w:val="left"/>
            </w:pPr>
            <w:r/>
            <w:r>
              <w:rPr>
                <w:rFonts w:ascii="Noto Sans" w:hAnsi="Noto Sans" w:eastAsia="Noto Sans"/>
                <w:b w:val="0"/>
                <w:i w:val="0"/>
                <w:color w:val="201B22"/>
                <w:sz w:val="16"/>
              </w:rPr>
              <w:t>________________</w:t>
            </w:r>
          </w:p>
        </w:tc>
      </w:tr>
      <w:tr>
        <w:trPr>
          <w:trHeight w:hRule="atLeast" w:val="432"/>
        </w:trPr>
        <w:tc>
          <w:tcPr>
            <w:tcW w:type="dxa" w:w="1512"/>
            <w:tcBorders>
              <w:top w:val="single" w:sz="5" w:color="D9D9D9"/>
              <w:left w:val="single" w:sz="5" w:color="D9D9D9"/>
              <w:bottom w:val="single" w:sz="5" w:color="D9D9D9"/>
              <w:right w:val="single" w:sz="5" w:color="D9D9D9"/>
            </w:tcBorders>
            <w:shd w:val="clear" w:color="auto" w:fill="EEEAE5"/>
            <w:vAlign w:val="center"/>
            <w:tcMar>
              <w:top w:w="100" w:type="dxa"/>
              <w:start w:w="130" w:type="dxa"/>
              <w:bottom w:w="100" w:type="dxa"/>
              <w:end w:w="130" w:type="dxa"/>
            </w:tcMar>
          </w:tcPr>
          <w:p>
            <w:pPr>
              <w:spacing w:after="0" w:line="252" w:lineRule="auto"/>
              <w:jc w:val="left"/>
            </w:pPr>
            <w:r/>
            <w:r>
              <w:rPr>
                <w:rFonts w:ascii="Noto Sans" w:hAnsi="Noto Sans" w:eastAsia="Noto Sans"/>
                <w:b/>
                <w:i w:val="0"/>
                <w:color w:val="655E63"/>
                <w:sz w:val="16"/>
              </w:rPr>
              <w:t>Decision</w:t>
            </w:r>
          </w:p>
        </w:tc>
        <w:tc>
          <w:tcPr>
            <w:tcW w:type="dxa" w:w="3672"/>
            <w:tcBorders>
              <w:top w:val="single" w:sz="5" w:color="D9D9D9"/>
              <w:left w:val="single" w:sz="5" w:color="D9D9D9"/>
              <w:bottom w:val="single" w:sz="5" w:color="D9D9D9"/>
              <w:right w:val="single" w:sz="5" w:color="D9D9D9"/>
            </w:tcBorders>
            <w:shd w:val="clear" w:color="auto" w:fill="FBFAF8"/>
            <w:vAlign w:val="center"/>
            <w:tcMar>
              <w:top w:w="100" w:type="dxa"/>
              <w:start w:w="130" w:type="dxa"/>
              <w:bottom w:w="100" w:type="dxa"/>
              <w:end w:w="130" w:type="dxa"/>
            </w:tcMar>
          </w:tcPr>
          <w:p>
            <w:pPr>
              <w:spacing w:after="0" w:line="252" w:lineRule="auto"/>
              <w:jc w:val="left"/>
            </w:pPr>
            <w:r/>
            <w:r>
              <w:rPr>
                <w:rFonts w:ascii="Noto Sans" w:hAnsi="Noto Sans" w:eastAsia="Noto Sans"/>
                <w:b w:val="0"/>
                <w:i w:val="0"/>
                <w:color w:val="201B22"/>
                <w:sz w:val="16"/>
              </w:rPr>
              <w:t>Proceed / Hold / Ask</w:t>
            </w:r>
          </w:p>
        </w:tc>
        <w:tc>
          <w:tcPr>
            <w:tcW w:type="dxa" w:w="1368"/>
            <w:tcBorders>
              <w:top w:val="single" w:sz="5" w:color="D9D9D9"/>
              <w:left w:val="single" w:sz="5" w:color="D9D9D9"/>
              <w:bottom w:val="single" w:sz="5" w:color="D9D9D9"/>
              <w:right w:val="single" w:sz="5" w:color="D9D9D9"/>
            </w:tcBorders>
            <w:shd w:val="clear" w:color="auto" w:fill="EEEAE5"/>
            <w:vAlign w:val="center"/>
            <w:tcMar>
              <w:top w:w="100" w:type="dxa"/>
              <w:start w:w="130" w:type="dxa"/>
              <w:bottom w:w="100" w:type="dxa"/>
              <w:end w:w="130" w:type="dxa"/>
            </w:tcMar>
          </w:tcPr>
          <w:p>
            <w:pPr>
              <w:spacing w:after="0" w:line="252" w:lineRule="auto"/>
              <w:jc w:val="left"/>
            </w:pPr>
            <w:r/>
            <w:r>
              <w:rPr>
                <w:rFonts w:ascii="Noto Sans" w:hAnsi="Noto Sans" w:eastAsia="Noto Sans"/>
                <w:b/>
                <w:i w:val="0"/>
                <w:color w:val="655E63"/>
                <w:sz w:val="16"/>
              </w:rPr>
              <w:t>Reference</w:t>
            </w:r>
          </w:p>
        </w:tc>
        <w:tc>
          <w:tcPr>
            <w:tcW w:type="dxa" w:w="3816"/>
            <w:tcBorders>
              <w:top w:val="single" w:sz="5" w:color="D9D9D9"/>
              <w:left w:val="single" w:sz="5" w:color="D9D9D9"/>
              <w:bottom w:val="single" w:sz="5" w:color="D9D9D9"/>
              <w:right w:val="single" w:sz="5" w:color="D9D9D9"/>
            </w:tcBorders>
            <w:shd w:val="clear" w:color="auto" w:fill="FBFAF8"/>
            <w:vAlign w:val="center"/>
            <w:tcMar>
              <w:top w:w="100" w:type="dxa"/>
              <w:start w:w="130" w:type="dxa"/>
              <w:bottom w:w="100" w:type="dxa"/>
              <w:end w:w="130" w:type="dxa"/>
            </w:tcMar>
          </w:tcPr>
          <w:p>
            <w:pPr>
              <w:spacing w:after="0" w:line="252" w:lineRule="auto"/>
              <w:jc w:val="left"/>
            </w:pPr>
            <w:r/>
            <w:r>
              <w:rPr>
                <w:rFonts w:ascii="Noto Sans" w:hAnsi="Noto Sans" w:eastAsia="Noto Sans"/>
                <w:b w:val="0"/>
                <w:i w:val="0"/>
                <w:color w:val="201B22"/>
                <w:sz w:val="16"/>
              </w:rPr>
              <w:t>________________</w:t>
            </w:r>
          </w:p>
        </w:tc>
      </w:tr>
    </w:tbl>
    <w:sectPr w:rsidR="00FC693F" w:rsidRPr="0006063C" w:rsidSect="00034616">
      <w:headerReference w:type="default" r:id="rId9"/>
      <w:footerReference w:type="default" r:id="rId10"/>
      <w:pgSz w:w="12240" w:h="15840"/>
      <w:pgMar w:top="749" w:right="936" w:bottom="720" w:left="936"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10368"/>
      <w:tblLayout w:type="fixed"/>
      <w:tblLook w:firstColumn="1" w:firstRow="1" w:lastColumn="0" w:lastRow="0" w:noHBand="0" w:noVBand="1" w:val="04A0"/>
    </w:tblPr>
    <w:tblGrid>
      <w:gridCol w:w="5184"/>
      <w:gridCol w:w="5184"/>
    </w:tblGrid>
    <w:tr>
      <w:tc>
        <w:tcPr>
          <w:tcW w:type="dxa" w:w="5184"/>
          <w:tcBorders>
            <w:top w:val="nil"/>
            <w:left w:val="nil"/>
            <w:bottom w:val="nil"/>
            <w:right w:val="nil"/>
          </w:tcBorders>
          <w:vAlign w:val="center"/>
          <w:tcMar>
            <w:top w:w="100" w:type="dxa"/>
            <w:start w:w="130" w:type="dxa"/>
            <w:bottom w:w="100" w:type="dxa"/>
            <w:end w:w="130" w:type="dxa"/>
          </w:tcMar>
        </w:tcPr>
        <w:p>
          <w:pPr>
            <w:spacing w:after="0" w:line="252" w:lineRule="auto"/>
            <w:jc w:val="left"/>
          </w:pPr>
          <w:r/>
          <w:r>
            <w:rPr>
              <w:rFonts w:ascii="Noto Sans" w:hAnsi="Noto Sans" w:eastAsia="Noto Sans"/>
              <w:b w:val="0"/>
              <w:i w:val="0"/>
              <w:color w:val="655E63"/>
              <w:sz w:val="14"/>
            </w:rPr>
            <w:t>TRELP / ETH-30D-S</w:t>
          </w:r>
        </w:p>
      </w:tc>
      <w:tc>
        <w:tcPr>
          <w:tcW w:type="dxa" w:w="5184"/>
          <w:tcBorders>
            <w:top w:val="nil"/>
            <w:left w:val="nil"/>
            <w:bottom w:val="nil"/>
            <w:right w:val="nil"/>
          </w:tcBorders>
          <w:vAlign w:val="center"/>
          <w:tcMar>
            <w:top w:w="100" w:type="dxa"/>
            <w:start w:w="130" w:type="dxa"/>
            <w:bottom w:w="100" w:type="dxa"/>
            <w:end w:w="130" w:type="dxa"/>
          </w:tcMar>
        </w:tcPr>
        <w:p>
          <w:pPr>
            <w:spacing w:after="0" w:line="252" w:lineRule="auto"/>
            <w:jc w:val="right"/>
          </w:pPr>
          <w:r/>
          <w:r>
            <w:rPr>
              <w:rFonts w:ascii="Noto Sans" w:hAnsi="Noto Sans" w:eastAsia="Noto Sans"/>
              <w:b w:val="0"/>
              <w:i w:val="0"/>
              <w:color w:val="655E63"/>
              <w:sz w:val="14"/>
            </w:rPr>
            <w:t>Illustrative demo terms</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10368"/>
      <w:tblLayout w:type="fixed"/>
      <w:tblLook w:firstColumn="1" w:firstRow="1" w:lastColumn="0" w:lastRow="0" w:noHBand="0" w:noVBand="1" w:val="04A0"/>
    </w:tblPr>
    <w:tblGrid>
      <w:gridCol w:w="5184"/>
      <w:gridCol w:w="5184"/>
    </w:tblGrid>
    <w:tr>
      <w:tc>
        <w:tcPr>
          <w:tcW w:type="dxa" w:w="5184"/>
          <w:tcBorders>
            <w:top w:val="nil"/>
            <w:left w:val="nil"/>
            <w:bottom w:val="nil"/>
            <w:right w:val="nil"/>
          </w:tcBorders>
        </w:tcPr>
        <w:p>
          <w:pPr>
            <w:spacing w:after="0"/>
            <w:jc w:val="left"/>
          </w:pPr>
          <w:r/>
          <w:r>
            <w:drawing>
              <wp:inline xmlns:a="http://schemas.openxmlformats.org/drawingml/2006/main" xmlns:pic="http://schemas.openxmlformats.org/drawingml/2006/picture">
                <wp:extent cx="256032" cy="256032"/>
                <wp:docPr id="1" name="Picture 1"/>
                <wp:cNvGraphicFramePr>
                  <a:graphicFrameLocks noChangeAspect="1"/>
                </wp:cNvGraphicFramePr>
                <a:graphic>
                  <a:graphicData uri="http://schemas.openxmlformats.org/drawingml/2006/picture">
                    <pic:pic>
                      <pic:nvPicPr>
                        <pic:cNvPr id="0" name="trelp-mark.png"/>
                        <pic:cNvPicPr/>
                      </pic:nvPicPr>
                      <pic:blipFill>
                        <a:blip r:embed="rId1"/>
                        <a:stretch>
                          <a:fillRect/>
                        </a:stretch>
                      </pic:blipFill>
                      <pic:spPr>
                        <a:xfrm>
                          <a:off x="0" y="0"/>
                          <a:ext cx="256032" cy="256032"/>
                        </a:xfrm>
                        <a:prstGeom prst="rect"/>
                      </pic:spPr>
                    </pic:pic>
                  </a:graphicData>
                </a:graphic>
              </wp:inline>
            </w:drawing>
          </w:r>
          <w:r>
            <w:rPr>
              <w:rFonts w:ascii="Noto Sans" w:hAnsi="Noto Sans" w:eastAsia="Noto Sans"/>
              <w:b/>
              <w:i w:val="0"/>
              <w:color w:val="201B22"/>
              <w:sz w:val="21"/>
            </w:rPr>
            <w:t xml:space="preserve">  TRELP</w:t>
          </w:r>
        </w:p>
      </w:tc>
      <w:tc>
        <w:tcPr>
          <w:tcW w:type="dxa" w:w="5184"/>
          <w:tcBorders>
            <w:top w:val="nil"/>
            <w:left w:val="nil"/>
            <w:bottom w:val="nil"/>
            <w:right w:val="nil"/>
          </w:tcBorders>
        </w:tcPr>
        <w:p>
          <w:pPr>
            <w:spacing w:after="0"/>
            <w:jc w:val="right"/>
          </w:pPr>
          <w:r/>
          <w:r>
            <w:rPr>
              <w:rFonts w:ascii="Noto Sans" w:hAnsi="Noto Sans" w:eastAsia="Noto Sans"/>
              <w:b/>
              <w:i w:val="0"/>
              <w:color w:val="9E1C29"/>
              <w:sz w:val="15"/>
            </w:rPr>
            <w:t>VAULT FACTSHEET / ILLUSTRATIVE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Noto Sans" w:hAnsi="Noto Sans"/>
      <w:color w:val="201B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w:hAnsi="Noto Sans"/>
      <w:b/>
      <w:bCs/>
      <w:color w:val="201B2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w:hAnsi="Noto Sans"/>
      <w:b/>
      <w:bCs/>
      <w:color w:val="201B22"/>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Noto Sans" w:hAnsi="Noto Sans"/>
      <w:b/>
      <w:color w:val="201B22"/>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 30D Senior Vault</dc:title>
  <dc:subject>Illustrative Trelp vault factsheet and review template</dc:subject>
  <dc:creator>Trelp</dc:creator>
  <cp:keywords/>
  <dc:description>Representative demo terms for ETH-30D-S</dc:description>
  <cp:lastModifiedBy/>
  <cp:revision>1</cp:revision>
  <dcterms:created xsi:type="dcterms:W3CDTF">2013-12-23T23:15:00Z</dcterms:created>
  <dcterms:modified xsi:type="dcterms:W3CDTF">2013-12-23T23:15:00Z</dcterms:modified>
  <cp:category/>
</cp:coreProperties>
</file>