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26F" w:rsidRPr="00200AF0" w:rsidRDefault="0050526F" w:rsidP="008B4EA7">
      <w:pPr>
        <w:pStyle w:val="2"/>
        <w:tabs>
          <w:tab w:val="left" w:pos="1134"/>
        </w:tabs>
        <w:ind w:firstLine="0"/>
        <w:rPr>
          <w:szCs w:val="28"/>
        </w:rPr>
      </w:pPr>
      <w:r w:rsidRPr="00200AF0">
        <w:rPr>
          <w:szCs w:val="28"/>
          <w:lang w:val="ru-RU"/>
        </w:rPr>
        <w:t xml:space="preserve">51. </w:t>
      </w:r>
      <w:r w:rsidRPr="00200AF0">
        <w:rPr>
          <w:szCs w:val="28"/>
        </w:rPr>
        <w:t>Права ребенка и их гарантии</w:t>
      </w:r>
    </w:p>
    <w:p w:rsidR="008B4EA7" w:rsidRPr="00200AF0" w:rsidRDefault="008B4EA7" w:rsidP="008B4EA7">
      <w:pPr>
        <w:pStyle w:val="2"/>
        <w:tabs>
          <w:tab w:val="left" w:pos="1134"/>
        </w:tabs>
        <w:ind w:firstLine="0"/>
        <w:rPr>
          <w:szCs w:val="28"/>
        </w:rPr>
      </w:pPr>
      <w:r w:rsidRPr="00200AF0">
        <w:rPr>
          <w:color w:val="222222"/>
          <w:szCs w:val="28"/>
          <w:shd w:val="clear" w:color="auto" w:fill="FFFFFF"/>
        </w:rPr>
        <w:t>Ребенок имеет право: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на жилище;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на жизнь и здоровое развитие;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на особую заботу при ограниченных возможностях;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на равные права независимо от национальности, пола и религии;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на образование;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на семью;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на имя, гражданство, сохранение своей индивидуальности;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на пользование родным языком;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на собственное мнение и право свободно выражать его;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на здравоохранение и социальное обеспечение;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на полезное и качественное питание;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на отдых и досуг, участие в играх, культурной жизни, занятие искусством;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на защиту от экономической эксплуатации;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на защиту от жестокого обращения;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на защиту от всех форм сексуальной эксплуатации.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 xml:space="preserve">В 1989 году на Генеральной Ассамблее ООН была принята Конвенция о правах ребенка. В ней закреплены </w:t>
      </w:r>
      <w:proofErr w:type="spellStart"/>
      <w:r w:rsidRPr="00200AF0">
        <w:rPr>
          <w:color w:val="222222"/>
          <w:szCs w:val="28"/>
          <w:shd w:val="clear" w:color="auto" w:fill="FFFFFF"/>
        </w:rPr>
        <w:t>международно</w:t>
      </w:r>
      <w:proofErr w:type="spellEnd"/>
      <w:r w:rsidRPr="00200AF0">
        <w:rPr>
          <w:color w:val="222222"/>
          <w:szCs w:val="28"/>
          <w:shd w:val="clear" w:color="auto" w:fill="FFFFFF"/>
        </w:rPr>
        <w:t xml:space="preserve"> признанные права детей. В основе Конвенции лежат четыре общих принципа, при соблюдении которых каждый ребенок сможет развиваться гармонично и реализовывать свои способности. Республика Беларусь также присоединилась к этой Конвенции.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Общие принципы Конвенции о правах ребенка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Свобода от дискриминации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Дети разного пола и возраста имеют различные интересы и потребности, но все они наделены одинаковыми правами и должны иметь равное обращение вне зависимости от пола, национальности, происхождения, состояния здоровья.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Наилучшее обеспечение интересов ребенка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Принимая решения и планируя свои действия, взрослые всегда должны учитывать интересы ребенка. Этот принцип касается семьи, органов власти, судов, государственных и частных институтов.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Права ребенка на жизнь и развитие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Родители обязаны делать все возможное, чтобы ребенок мог нормально развиваться и реализовывать свои способности. Государство предлагает родителям всевозможную помощь и поддержку. Если, несмотря на помощь государства, родители не могут обеспечить ребенку необходимые условия, государство берет эту обязанность на себя.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>Уважение взглядов ребенка</w:t>
      </w:r>
      <w:r w:rsidRPr="00200AF0">
        <w:rPr>
          <w:color w:val="222222"/>
          <w:szCs w:val="28"/>
        </w:rPr>
        <w:br/>
      </w:r>
      <w:r w:rsidRPr="00200AF0">
        <w:rPr>
          <w:color w:val="222222"/>
          <w:szCs w:val="28"/>
          <w:shd w:val="clear" w:color="auto" w:fill="FFFFFF"/>
        </w:rPr>
        <w:t xml:space="preserve">В любых вопросах, которые касаются ребенка, необходимо прислушиваться к нему, учитывать его мнение, а не просто принимать решение за него, пусть </w:t>
      </w:r>
      <w:r w:rsidRPr="00200AF0">
        <w:rPr>
          <w:color w:val="222222"/>
          <w:szCs w:val="28"/>
          <w:shd w:val="clear" w:color="auto" w:fill="FFFFFF"/>
        </w:rPr>
        <w:lastRenderedPageBreak/>
        <w:t xml:space="preserve">даже в его интересах. Данный принцип следует соблюдать во всех аспектах жизни ребенка. </w:t>
      </w:r>
    </w:p>
    <w:p w:rsidR="0050526F" w:rsidRPr="00200AF0" w:rsidRDefault="0050526F" w:rsidP="008B4EA7">
      <w:pPr>
        <w:pStyle w:val="2"/>
        <w:tabs>
          <w:tab w:val="left" w:pos="0"/>
          <w:tab w:val="left" w:pos="1134"/>
        </w:tabs>
        <w:ind w:firstLine="0"/>
        <w:rPr>
          <w:szCs w:val="28"/>
        </w:rPr>
      </w:pPr>
      <w:r w:rsidRPr="00200AF0">
        <w:rPr>
          <w:spacing w:val="-1"/>
          <w:szCs w:val="28"/>
          <w:lang w:val="ru-RU"/>
        </w:rPr>
        <w:t>81.</w:t>
      </w:r>
      <w:r w:rsidRPr="00200AF0">
        <w:rPr>
          <w:spacing w:val="-1"/>
          <w:szCs w:val="28"/>
        </w:rPr>
        <w:t>Правовые основы экономического обеспечения при</w:t>
      </w:r>
      <w:r w:rsidRPr="00200AF0">
        <w:rPr>
          <w:spacing w:val="-2"/>
          <w:szCs w:val="28"/>
        </w:rPr>
        <w:t>родопользования и охраны окружающей среды</w:t>
      </w:r>
      <w:r w:rsidRPr="00200AF0">
        <w:rPr>
          <w:szCs w:val="28"/>
        </w:rPr>
        <w:t xml:space="preserve"> 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Регулирование охраны окружающей среды и природопользования выражается в сочетании административно-правовых средств воздействия и мер экономического характера.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Национальной стратегией социально-экономического развития Республики Беларусь к общим направлениям экологической политики отнесены: экологизация экономики; дальнейшее развитие экономического механизма природопользования; рациональное использование природных ресурсов, их экономия, постепенный отказ от экстенсивного использования и переход к экономному расходованию невозобновляемых и неистощительному использованию возобновляемых ресурсов; развитие рынка работ и услуг в сфере природопользования и охраны окружающей среды и др. Таким образом, в настоящее время осознана необходимость внедрения экономических инструментов в сферу регулирования экологических отношений.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Необходимо отметить, что в советский период преобладали административные меры воздействия на природопользователей, а впервые роль экономических методов управления природопользованием и охраной окружающей среды была определена в Постановлении ЦК КПСС и Совета Министров СССР от 7 января 1988 г. «О коренной перестройке дела охраны природы в стране». В указанном нормативном правовом акте говорилось, в частности, о необходимости «перехода от преимущественно административных к преимущественно экономическим методам управления природоохранной деятельностью».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 xml:space="preserve">В экологическом законодательстве Республики Беларусь понятие «экономический механизм охраны окружающей среды» появилось с принятием в 1992 г. Закона Республики Беларусь «Об охране окружающей среды». В указанном законодательном акте в качестве элементов экономического механизма охраны окружающей среды закреплялись: планирование и финансирование природоохранных мероприятий; льготное кредитование и налогообложение природоохранной деятельности; определение лимитов на пользование природными ресурсами, размещение отходов, допустимых выбросов (сбросов) загрязняющих веществ в окружающую среду; взимание налогов и других платежей за использование природных ресурсов, выбросы (сбросы) загрязняющих веществ в окружающую среду; взимание платы за размещение отходов и другие виды вредного воздействия на окружающую среду; возмещение в установленном порядке вреда, причиненного окружающей среде и здоровью населения. </w:t>
      </w:r>
      <w:r w:rsidRPr="00200AF0">
        <w:rPr>
          <w:color w:val="000000"/>
          <w:sz w:val="28"/>
          <w:szCs w:val="28"/>
        </w:rPr>
        <w:lastRenderedPageBreak/>
        <w:t xml:space="preserve">Дальнейшее развитие правовое закрепление экономического механизма в рассматриваемой области получило в Концепции государственной политики Республики Беларусь в области охраны окружающей среды, которая была утверждена Постановлением Верховного Совета Республики Беларусь в 1995 г. В указанном документе обеспечение охраны окружающей среды с учетом экономических методов рассматривается в качестве принципа государственной экологической политики. Активное внедрение экономических мер в рассматриваемой сфере целенаправленно подводит законодателя к дальнейшей разработке экономического механизма природопользования и охраны окружающей среды. В новой редакции Закона Республики Беларусь «Об охране окружающей среды» от 17 июля 2002 г. в число его элементов были включены такие, как: проведение экономической оценки природных объектов; проведение экономической оценки воздействия хозяйственной и иной деятельности на окружающую среду; экологическое страхование. Экономические меры рационального использования и охраны отдельных компонентов природной среды также закреплены в </w:t>
      </w:r>
      <w:proofErr w:type="spellStart"/>
      <w:r w:rsidRPr="00200AF0">
        <w:rPr>
          <w:color w:val="000000"/>
          <w:sz w:val="28"/>
          <w:szCs w:val="28"/>
        </w:rPr>
        <w:t>природоресурсном</w:t>
      </w:r>
      <w:proofErr w:type="spellEnd"/>
      <w:r w:rsidRPr="00200AF0">
        <w:rPr>
          <w:color w:val="000000"/>
          <w:sz w:val="28"/>
          <w:szCs w:val="28"/>
        </w:rPr>
        <w:t xml:space="preserve"> законодательстве (например, ст. 59-61 Закона Республики Беларусь «О растительном мире»; ст. 92-94 ЛК; ст. 81-84 ВК и т. д.).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Экономический механизм охраны окружающей среды и природопользования в широком понимании – это прежде всего система, инфраструктура (правовая, организационная, институциональная), необходимая для направления действия разнообразных экономиче</w:t>
      </w:r>
      <w:r w:rsidRPr="00200AF0">
        <w:rPr>
          <w:color w:val="000000"/>
          <w:sz w:val="28"/>
          <w:szCs w:val="28"/>
        </w:rPr>
        <w:softHyphen/>
        <w:t>ских факторов в целях достижения разумного баланса экологиче</w:t>
      </w:r>
      <w:r w:rsidRPr="00200AF0">
        <w:rPr>
          <w:color w:val="000000"/>
          <w:sz w:val="28"/>
          <w:szCs w:val="28"/>
        </w:rPr>
        <w:softHyphen/>
        <w:t>ских и экономических интересов общества</w:t>
      </w:r>
      <w:r w:rsidRPr="00200AF0">
        <w:rPr>
          <w:color w:val="000000"/>
          <w:sz w:val="28"/>
          <w:szCs w:val="28"/>
          <w:vertAlign w:val="superscript"/>
        </w:rPr>
        <w:t>62</w:t>
      </w:r>
      <w:r w:rsidRPr="00200AF0">
        <w:rPr>
          <w:color w:val="000000"/>
          <w:sz w:val="28"/>
          <w:szCs w:val="28"/>
        </w:rPr>
        <w:t>.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В правовой литературе присутствуют различные подходы как к определению понятия «экономический механизм охраны окружающей среды и природопользования», так и к его содержанию.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Так, многие авторы берут за основу структуру экономического механизма, закрепленного в законодательстве, которая представляет собой официальную концепцию экономического регулирования. Соответственно ими включаются такие элементы, как учет природных ресурсов, социально-экономическая оценка природных ресурсов, планирование природоохранных мероприятий наряду с традиционными элементами (такими, как, например, финансирование природоохранных мероприятий, плата за природопользование и др.)</w:t>
      </w:r>
      <w:r w:rsidRPr="00200AF0">
        <w:rPr>
          <w:color w:val="000000"/>
          <w:sz w:val="28"/>
          <w:szCs w:val="28"/>
          <w:vertAlign w:val="superscript"/>
        </w:rPr>
        <w:t>63</w:t>
      </w:r>
      <w:r w:rsidRPr="00200AF0">
        <w:rPr>
          <w:color w:val="000000"/>
          <w:sz w:val="28"/>
          <w:szCs w:val="28"/>
        </w:rPr>
        <w:t xml:space="preserve">. В ряде случаев определения экономического механизма охраны окружающей среды и природопользования исходят из его противопоставления правовому механизму охраны окружающей среды. Например, Ю.Е. Винокуров и С.А. Фомин понимают его следующим образом: «Суть экономического механизма охраны окружающей природной среды и природопользования заключается в том, что наряду с сугубо административно-правовыми методами и средствами воздействия на участников экологических правоотношений в механизм охраны окружающей </w:t>
      </w:r>
      <w:r w:rsidRPr="00200AF0">
        <w:rPr>
          <w:color w:val="000000"/>
          <w:sz w:val="28"/>
          <w:szCs w:val="28"/>
        </w:rPr>
        <w:lastRenderedPageBreak/>
        <w:t>природной среды включаются экономические средства и методы, призванные побуждать соответствующих субъектов надлежащим образом относиться к вопросам охраны природы, что обусловливает им определенные экономические выгоды в процессе хозяйственной деятельности»</w:t>
      </w:r>
      <w:r w:rsidRPr="00200AF0">
        <w:rPr>
          <w:color w:val="000000"/>
          <w:sz w:val="28"/>
          <w:szCs w:val="28"/>
          <w:vertAlign w:val="superscript"/>
        </w:rPr>
        <w:t>64</w:t>
      </w:r>
      <w:r w:rsidRPr="00200AF0">
        <w:rPr>
          <w:color w:val="000000"/>
          <w:sz w:val="28"/>
          <w:szCs w:val="28"/>
        </w:rPr>
        <w:t>.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О.И. Крассов экономический механизм охраны окружающей природной среды рассматривает как </w:t>
      </w:r>
      <w:r w:rsidRPr="00200AF0">
        <w:rPr>
          <w:i/>
          <w:iCs/>
          <w:color w:val="000000"/>
          <w:sz w:val="28"/>
          <w:szCs w:val="28"/>
        </w:rPr>
        <w:t>правовой институт</w:t>
      </w:r>
      <w:r w:rsidRPr="00200AF0">
        <w:rPr>
          <w:color w:val="000000"/>
          <w:sz w:val="28"/>
          <w:szCs w:val="28"/>
        </w:rPr>
        <w:t>, включающий в себя совокупность правовых норм, регулирующий условия и порядок аккумулирования денежных средств, поступающих в качестве платы за загрязнение окружающей среды и иные вредные на нее воздействия, финансирования природоохранных мер и экономического стимулирования хозяйствующих субъектов путем применения налоговых и иных льгот</w:t>
      </w:r>
      <w:r w:rsidRPr="00200AF0">
        <w:rPr>
          <w:color w:val="000000"/>
          <w:sz w:val="28"/>
          <w:szCs w:val="28"/>
          <w:vertAlign w:val="superscript"/>
        </w:rPr>
        <w:t>65</w:t>
      </w:r>
      <w:r w:rsidRPr="00200AF0">
        <w:rPr>
          <w:color w:val="000000"/>
          <w:sz w:val="28"/>
          <w:szCs w:val="28"/>
        </w:rPr>
        <w:t>. В то же время ряд авторов обоснованно, на наш взгляд, придерживается прямо противоположной точки зрения, отмечая, что «понятие экономического механизма не следует ассоциировать с неким самостоятельным институтом в рамках экологического права»</w:t>
      </w:r>
      <w:r w:rsidRPr="00200AF0">
        <w:rPr>
          <w:color w:val="000000"/>
          <w:sz w:val="28"/>
          <w:szCs w:val="28"/>
          <w:vertAlign w:val="superscript"/>
        </w:rPr>
        <w:t>66</w:t>
      </w:r>
      <w:r w:rsidRPr="00200AF0">
        <w:rPr>
          <w:color w:val="000000"/>
          <w:sz w:val="28"/>
          <w:szCs w:val="28"/>
        </w:rPr>
        <w:t xml:space="preserve">. Следует отметить, что в соответствии с законодательством Республики Беларусь в данную систему включены весьма неоднородные и внешне не взаимосвязанные элементы в силу неоднородности регулируемых отношений, кроме того, используемый термин «механизм», включающий определенное количество элементов (каждый из которых может составлять отдельный институт либо </w:t>
      </w:r>
      <w:proofErr w:type="spellStart"/>
      <w:r w:rsidRPr="00200AF0">
        <w:rPr>
          <w:color w:val="000000"/>
          <w:sz w:val="28"/>
          <w:szCs w:val="28"/>
        </w:rPr>
        <w:t>подинститут</w:t>
      </w:r>
      <w:proofErr w:type="spellEnd"/>
      <w:r w:rsidRPr="00200AF0">
        <w:rPr>
          <w:color w:val="000000"/>
          <w:sz w:val="28"/>
          <w:szCs w:val="28"/>
        </w:rPr>
        <w:t>), шире понятия «правовой институт». Таким образом, экономический механизм охраны окружающей среды и природопользования представляет собой совокупность различных экономических мер, которые предусмотрены законодательством и направлены на обеспечение охраны окружающей среды и рациональное природопользование. В связи с этим полное представление о данном понятии возможно получить, проанализировав его отдельные элементы и особенности их функционирования.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В соответствии со ст. 79 Закона «Об охране окружающей среды» в экономический механизм охраны окружающей среды и природопользования включаются следующие элементы: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• разработка государственных прогнозов и программ социально-экономического развития Республики Беларусь в части рационального использования природных ресурсов и охраны окружающей среды;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• финансирование программ и мероприятий по рациональному использованию природных ресурсов и охране окружающей среды;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• создание фондов охраны природы;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• установление платежей за природопользование;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• проведение экономической оценки природных объектов;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lastRenderedPageBreak/>
        <w:t>• проведение экономической оценки воздействия хозяйственной и иной деятельности на окружающую среду;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• установление мер экономического стимулирования в области охраны окружающей среды;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• возмещение в установленном порядке вреда, причиненного в результате вредного воздействия на окружающую среду;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• экологическое страхование.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Задачами внедрения элементов экономического механизма охраны окружающей среды в хозяйственную деятельность являются: обеспечение эколого-экономической согласованности между общественными интересами и интересами отдельных субъектов-природопользователей; стимулирование природоохранной деятельности; обеспечение оптимального использования финансовых ресурсов на природоохранные цели.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Как уже отмечалось, в состав экономического механизма в рассматриваемой области входят как традиционные элементы (например, экологическое налогообложение), так и новые, возникновение которых связано с переходом к рыночным отношениям в современных условиях (например, проведение экономической оценки природных объектов). Следует подчеркнуть, что связь между экономической оценкой природных объектов или экономической оценкой воздействия хозяйственной и иной деятельности на окружающую среду и иными элементами экономического механизма (например, платой за природопользование) теоретически может быть установлена и обоснована в качестве необходимой, но в законодательстве пока что последовательно не зафиксированы механизмы ее реализации.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Неоднозначно включение в состав экономического механизма таких элементов, как планирование природоохранных мероприятий* и возмещение в установленном порядке вреда, причиненного в результате вредного воздействия на окружающую среду. Представляется, что в последнем случае речь идет о применении мер гражданско-правовой ответственности за нарушение экологического законодательства, что предусмотрено главой 16 Закона Республики Беларусь «Об охране окружающей среды». Если предположить, что в норме урегулировано возмещение вреда, причиненного в результате вредного воздействия на окружающую среду правомерными действиями, то следует говорить о платежах за вредное воздействие на окружающую среду, которые входят в такой элемент экономического механизма, как «установление платежей за природопользование».</w:t>
      </w:r>
    </w:p>
    <w:p w:rsidR="008B4EA7" w:rsidRPr="00200AF0" w:rsidRDefault="008B4EA7" w:rsidP="008B4EA7">
      <w:pPr>
        <w:pStyle w:val="a4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 xml:space="preserve">При этом в законодательстве предусмотрен ряд мер, которые на первый взгляд являются административно-правовыми (например, экологическая сертификация, экологический аудит), но по своему содержанию близки к </w:t>
      </w:r>
      <w:r w:rsidRPr="00200AF0">
        <w:rPr>
          <w:color w:val="000000"/>
          <w:sz w:val="28"/>
          <w:szCs w:val="28"/>
        </w:rPr>
        <w:lastRenderedPageBreak/>
        <w:t>экономическим мерам охраны окружающей среды. Так, экологическая сертификация по своей природе тесно связана с разрешительной системой в области охраны окружающей среды и природопользования, однако на сегодняшний день имеет добровольный характер и является необходимым звеном при осуществлении экономической деятельности во многих сферах производства. В экологическом законодательстве экологический аудит определяется как независимая комплексная документированная проверка соблюдения требований в области охраны окружающей среды. Данная процедура может проводиться в добровольном или обязательном порядке за счет собственных средств юридических лиц или индивидуальных предпринимателей. Представляется, что по своему назначению экологический аудит, как и аудит вообще, является сугубо рыночным инструментом. Он составляет один из сегментов рынка экологических услуг как вид предпринимательской деятельности, осуществляемой на независимой, профессиональной, лицензионной основе. И если согласиться с утверждением, что «само выделение экономико-правовых элементов и даже условное отграничение их от иных юридических способов регулирования поведения основывается на их связи с процессами обращения денежных средств, на возможностях торговли, на потребностях обеспечения условий для нормального функционирования рынка»</w:t>
      </w:r>
      <w:r w:rsidRPr="00200AF0">
        <w:rPr>
          <w:color w:val="000000"/>
          <w:sz w:val="28"/>
          <w:szCs w:val="28"/>
          <w:vertAlign w:val="superscript"/>
        </w:rPr>
        <w:t>67</w:t>
      </w:r>
      <w:r w:rsidRPr="00200AF0">
        <w:rPr>
          <w:color w:val="000000"/>
          <w:sz w:val="28"/>
          <w:szCs w:val="28"/>
        </w:rPr>
        <w:t>, то возможно отнесение добровольной экологической сертификации и аудита к элементам экономического механизма охраны окружающей среды и природопользования.</w:t>
      </w:r>
    </w:p>
    <w:p w:rsidR="008B4EA7" w:rsidRPr="00200AF0" w:rsidRDefault="008B4EA7" w:rsidP="008B4EA7">
      <w:pPr>
        <w:pStyle w:val="2"/>
        <w:tabs>
          <w:tab w:val="left" w:pos="0"/>
          <w:tab w:val="left" w:pos="1134"/>
        </w:tabs>
        <w:ind w:firstLine="0"/>
        <w:rPr>
          <w:szCs w:val="28"/>
          <w:lang w:val="ru-RU"/>
        </w:rPr>
      </w:pPr>
    </w:p>
    <w:p w:rsidR="0050526F" w:rsidRPr="00200AF0" w:rsidRDefault="0050526F" w:rsidP="008B4EA7">
      <w:pPr>
        <w:pStyle w:val="2"/>
        <w:tabs>
          <w:tab w:val="left" w:pos="1134"/>
        </w:tabs>
        <w:ind w:firstLine="0"/>
        <w:rPr>
          <w:szCs w:val="28"/>
        </w:rPr>
      </w:pPr>
      <w:r w:rsidRPr="00200AF0">
        <w:rPr>
          <w:szCs w:val="28"/>
          <w:lang w:val="ru-RU"/>
        </w:rPr>
        <w:t>55.</w:t>
      </w:r>
      <w:r w:rsidRPr="00200AF0">
        <w:rPr>
          <w:szCs w:val="28"/>
        </w:rPr>
        <w:t>Трудовой договор, его сущность</w:t>
      </w:r>
    </w:p>
    <w:p w:rsidR="008B4EA7" w:rsidRPr="00200AF0" w:rsidRDefault="008B4EA7" w:rsidP="008B4EA7">
      <w:pPr>
        <w:shd w:val="clear" w:color="auto" w:fill="FFFFFF"/>
        <w:spacing w:after="300"/>
        <w:textAlignment w:val="baseline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Трудовой договор — это соглашение между работодателем и работником, по которому работодатель обеспечивает работника работой и платит за нее зарплату. Взамен работник обязуется добросовестно трудиться и соблюдать правила трудового распорядка, работать лично и не перекладывать свои обязанности на других людей.</w:t>
      </w:r>
    </w:p>
    <w:p w:rsidR="008B4EA7" w:rsidRPr="00200AF0" w:rsidRDefault="008B4EA7" w:rsidP="008B4EA7">
      <w:pPr>
        <w:shd w:val="clear" w:color="auto" w:fill="FFFFFF"/>
        <w:spacing w:after="300"/>
        <w:textAlignment w:val="baseline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t>Трудовой договор нужен, чтобы в отношениях между работником и работодателем была стабильность и защищенность. Работодатель может быть уверен, что, пока действует договор, на его предприятии будет кому работать. Причем у этого человека есть образование, квалификация и умения, которые нужны для работы. Работник может быть уверен, что он будет стабильно получать оговоренную зарплату, работать и отдыхать в соответствии с трудовым кодексом, что работодатель будет удерживать с него отчисления в  ФСЗН и отчислять страховые взносы, чтобы потом работник смог получить пенсию, пособие по безработице или налоговый вычет.</w:t>
      </w:r>
    </w:p>
    <w:p w:rsidR="008B4EA7" w:rsidRPr="00200AF0" w:rsidRDefault="008B4EA7" w:rsidP="008B4EA7">
      <w:pPr>
        <w:shd w:val="clear" w:color="auto" w:fill="FFFFFF"/>
        <w:spacing w:after="300"/>
        <w:textAlignment w:val="baseline"/>
        <w:rPr>
          <w:color w:val="000000"/>
          <w:sz w:val="28"/>
          <w:szCs w:val="28"/>
        </w:rPr>
      </w:pPr>
      <w:r w:rsidRPr="00200AF0">
        <w:rPr>
          <w:color w:val="000000"/>
          <w:sz w:val="28"/>
          <w:szCs w:val="28"/>
        </w:rPr>
        <w:lastRenderedPageBreak/>
        <w:t>О трудовом договоре обычно не вспоминают, пока работник исправно ходит на работу и получает зарплату. Трудовой договор становится актуальным, когда случается </w:t>
      </w:r>
      <w:r w:rsidRPr="00200AF0">
        <w:rPr>
          <w:color w:val="000000"/>
          <w:sz w:val="28"/>
          <w:szCs w:val="28"/>
          <w:bdr w:val="none" w:sz="0" w:space="0" w:color="auto" w:frame="1"/>
        </w:rPr>
        <w:t>что-то</w:t>
      </w:r>
      <w:r w:rsidRPr="00200AF0">
        <w:rPr>
          <w:color w:val="000000"/>
          <w:sz w:val="28"/>
          <w:szCs w:val="28"/>
        </w:rPr>
        <w:t> нехорошее, например задержка зарплаты.</w:t>
      </w:r>
    </w:p>
    <w:p w:rsidR="0056542C" w:rsidRPr="00200AF0" w:rsidRDefault="0056542C" w:rsidP="008B4EA7">
      <w:pPr>
        <w:rPr>
          <w:sz w:val="28"/>
          <w:szCs w:val="28"/>
        </w:rPr>
      </w:pPr>
    </w:p>
    <w:sectPr w:rsidR="0056542C" w:rsidRPr="00200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0947"/>
    <w:multiLevelType w:val="hybridMultilevel"/>
    <w:tmpl w:val="0EC02550"/>
    <w:lvl w:ilvl="0" w:tplc="0DA4D1E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3407F9"/>
    <w:multiLevelType w:val="singleLevel"/>
    <w:tmpl w:val="423407F9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sz w:val="32"/>
        <w:szCs w:val="32"/>
      </w:rPr>
    </w:lvl>
  </w:abstractNum>
  <w:abstractNum w:abstractNumId="2" w15:restartNumberingAfterBreak="0">
    <w:nsid w:val="65FA680A"/>
    <w:multiLevelType w:val="hybridMultilevel"/>
    <w:tmpl w:val="808A9808"/>
    <w:lvl w:ilvl="0" w:tplc="18BE7B08">
      <w:start w:val="5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864058"/>
    <w:multiLevelType w:val="hybridMultilevel"/>
    <w:tmpl w:val="B14E9460"/>
    <w:lvl w:ilvl="0" w:tplc="62000B5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2476603">
    <w:abstractNumId w:val="0"/>
  </w:num>
  <w:num w:numId="2" w16cid:durableId="1313175311">
    <w:abstractNumId w:val="3"/>
  </w:num>
  <w:num w:numId="3" w16cid:durableId="1582183043">
    <w:abstractNumId w:val="1"/>
  </w:num>
  <w:num w:numId="4" w16cid:durableId="1102188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59"/>
    <w:rsid w:val="00200AF0"/>
    <w:rsid w:val="0050526F"/>
    <w:rsid w:val="0056542C"/>
    <w:rsid w:val="006D3859"/>
    <w:rsid w:val="008B4EA7"/>
    <w:rsid w:val="00BA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0B961-7199-4ABA-87E7-7316D00A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85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4">
    <w:name w:val="heading 4"/>
    <w:basedOn w:val="a"/>
    <w:next w:val="a"/>
    <w:link w:val="40"/>
    <w:qFormat/>
    <w:rsid w:val="006D3859"/>
    <w:pPr>
      <w:keepNext/>
      <w:jc w:val="center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859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D3859"/>
    <w:rPr>
      <w:rFonts w:ascii="Times New Roman" w:eastAsia="Times New Roman" w:hAnsi="Times New Roman" w:cs="Times New Roman"/>
      <w:b/>
      <w:kern w:val="0"/>
      <w:sz w:val="24"/>
      <w:szCs w:val="20"/>
      <w:lang w:eastAsia="ru-RU"/>
      <w14:ligatures w14:val="none"/>
    </w:rPr>
  </w:style>
  <w:style w:type="paragraph" w:styleId="2">
    <w:name w:val="Body Text Indent 2"/>
    <w:basedOn w:val="a"/>
    <w:link w:val="20"/>
    <w:rsid w:val="0050526F"/>
    <w:pPr>
      <w:ind w:firstLine="709"/>
    </w:pPr>
    <w:rPr>
      <w:sz w:val="28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50526F"/>
    <w:rPr>
      <w:rFonts w:ascii="Times New Roman" w:eastAsia="Times New Roman" w:hAnsi="Times New Roman" w:cs="Times New Roman"/>
      <w:kern w:val="0"/>
      <w:sz w:val="28"/>
      <w:szCs w:val="20"/>
      <w:lang w:val="x-none" w:eastAsia="x-none"/>
      <w14:ligatures w14:val="none"/>
    </w:rPr>
  </w:style>
  <w:style w:type="paragraph" w:styleId="a4">
    <w:name w:val="Normal (Web)"/>
    <w:basedOn w:val="a"/>
    <w:uiPriority w:val="99"/>
    <w:semiHidden/>
    <w:unhideWhenUsed/>
    <w:rsid w:val="008B4EA7"/>
    <w:pPr>
      <w:spacing w:before="100" w:beforeAutospacing="1" w:after="100" w:afterAutospacing="1"/>
    </w:pPr>
    <w:rPr>
      <w:sz w:val="24"/>
      <w:szCs w:val="24"/>
    </w:rPr>
  </w:style>
  <w:style w:type="paragraph" w:customStyle="1" w:styleId="paragraph">
    <w:name w:val="paragraph"/>
    <w:basedOn w:val="a"/>
    <w:rsid w:val="008B4EA7"/>
    <w:pPr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B4E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2192</Words>
  <Characters>12497</Characters>
  <Application>Microsoft Office Word</Application>
  <DocSecurity>0</DocSecurity>
  <Lines>104</Lines>
  <Paragraphs>29</Paragraphs>
  <ScaleCrop>false</ScaleCrop>
  <Company/>
  <LinksUpToDate>false</LinksUpToDate>
  <CharactersWithSpaces>14660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Savich</dc:creator>
  <cp:keywords/>
  <dc:description/>
  <cp:lastModifiedBy>Andrey Savich</cp:lastModifiedBy>
  <cp:revision>5</cp:revision>
  <dcterms:created xsi:type="dcterms:W3CDTF">2023-06-19T11:54:00Z</dcterms:created>
  <dcterms:modified xsi:type="dcterms:W3CDTF">2023-06-22T11:00:00Z</dcterms:modified>
</cp:coreProperties>
</file>