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F2" w:rsidRPr="00044290" w:rsidRDefault="00E74A68" w:rsidP="00A07C6C">
      <w:pPr>
        <w:pStyle w:val="a3"/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4290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:rsidR="00E74A68" w:rsidRPr="00E74A68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74A68" w:rsidRPr="00E74A68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74A68">
        <w:rPr>
          <w:rFonts w:ascii="Times New Roman" w:hAnsi="Times New Roman" w:cs="Times New Roman"/>
          <w:sz w:val="28"/>
          <w:szCs w:val="28"/>
        </w:rPr>
        <w:t>ГЛАВНОЕ УПРАВЛЕНИЕ ПО ОБРАЗОВАНИЮ</w:t>
      </w:r>
    </w:p>
    <w:p w:rsidR="00E74A68" w:rsidRPr="00E74A68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74A68">
        <w:rPr>
          <w:rFonts w:ascii="Times New Roman" w:hAnsi="Times New Roman" w:cs="Times New Roman"/>
          <w:sz w:val="28"/>
          <w:szCs w:val="28"/>
        </w:rPr>
        <w:t>МОГИЛЁВСКОГО ОБЛАСТНОГО ИСПОЛНИТЕЛЬНОГО КОМИТЕТА</w:t>
      </w:r>
    </w:p>
    <w:p w:rsidR="00E74A68" w:rsidRPr="00E74A68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74A68" w:rsidRPr="00E74A68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74A6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74A68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74A68">
        <w:rPr>
          <w:rFonts w:ascii="Times New Roman" w:hAnsi="Times New Roman" w:cs="Times New Roman"/>
          <w:sz w:val="28"/>
          <w:szCs w:val="28"/>
        </w:rPr>
        <w:t xml:space="preserve">МОГИЛЕВСКИЙ ГОСУДАРСТВЕННЫЙ </w:t>
      </w:r>
      <w:r>
        <w:rPr>
          <w:rFonts w:ascii="Times New Roman" w:hAnsi="Times New Roman" w:cs="Times New Roman"/>
          <w:sz w:val="28"/>
          <w:szCs w:val="28"/>
        </w:rPr>
        <w:t xml:space="preserve"> ПОЛИТЕХНИЧЕСКИЙ КОЛЛЕДЖ»</w:t>
      </w:r>
    </w:p>
    <w:p w:rsidR="00E74A68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74A68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74A68" w:rsidRDefault="00E74A68" w:rsidP="00E74A68">
      <w:pPr>
        <w:pStyle w:val="a4"/>
        <w:rPr>
          <w:szCs w:val="28"/>
        </w:rPr>
      </w:pPr>
      <w:r>
        <w:rPr>
          <w:szCs w:val="28"/>
        </w:rPr>
        <w:t>Специальность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E13C1C">
        <w:rPr>
          <w:szCs w:val="28"/>
        </w:rPr>
        <w:tab/>
      </w:r>
      <w:r w:rsidRPr="00E13C1C">
        <w:rPr>
          <w:szCs w:val="28"/>
        </w:rPr>
        <w:tab/>
        <w:t>2-40</w:t>
      </w:r>
      <w:r>
        <w:rPr>
          <w:szCs w:val="28"/>
        </w:rPr>
        <w:t xml:space="preserve"> </w:t>
      </w:r>
      <w:r w:rsidRPr="00E13C1C">
        <w:rPr>
          <w:szCs w:val="28"/>
        </w:rPr>
        <w:t>01</w:t>
      </w:r>
      <w:r>
        <w:rPr>
          <w:szCs w:val="28"/>
        </w:rPr>
        <w:t xml:space="preserve"> </w:t>
      </w:r>
      <w:r w:rsidRPr="00E13C1C">
        <w:rPr>
          <w:szCs w:val="28"/>
        </w:rPr>
        <w:t>01</w:t>
      </w:r>
    </w:p>
    <w:p w:rsidR="00E74A68" w:rsidRDefault="00E74A68" w:rsidP="00E74A68">
      <w:pPr>
        <w:pStyle w:val="a4"/>
        <w:rPr>
          <w:szCs w:val="28"/>
        </w:rPr>
      </w:pPr>
    </w:p>
    <w:p w:rsidR="00E74A68" w:rsidRPr="00E74A68" w:rsidRDefault="00E74A68" w:rsidP="00E74A68">
      <w:pPr>
        <w:pStyle w:val="a4"/>
        <w:rPr>
          <w:szCs w:val="28"/>
          <w:lang w:val="ru-RU"/>
        </w:rPr>
      </w:pPr>
      <w:r>
        <w:rPr>
          <w:szCs w:val="28"/>
          <w:lang w:val="ru-RU"/>
        </w:rPr>
        <w:t>Учебная группа                                                                ПО-455</w:t>
      </w:r>
    </w:p>
    <w:p w:rsidR="00E74A68" w:rsidRDefault="00E74A68" w:rsidP="00E74A68">
      <w:pPr>
        <w:pStyle w:val="a4"/>
        <w:rPr>
          <w:szCs w:val="28"/>
          <w:lang w:val="ru-RU"/>
        </w:rPr>
      </w:pPr>
    </w:p>
    <w:p w:rsidR="00E74A68" w:rsidRPr="007F796C" w:rsidRDefault="00E74A68" w:rsidP="00E74A68">
      <w:pPr>
        <w:pStyle w:val="a4"/>
        <w:rPr>
          <w:szCs w:val="28"/>
          <w:lang w:val="ru-RU"/>
        </w:rPr>
      </w:pPr>
      <w:r>
        <w:rPr>
          <w:szCs w:val="28"/>
          <w:lang w:val="ru-RU"/>
        </w:rPr>
        <w:t>Учебная дисциплина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>Технология разработки</w:t>
      </w:r>
      <w:r w:rsidRPr="007F796C">
        <w:rPr>
          <w:szCs w:val="28"/>
          <w:lang w:val="ru-RU"/>
        </w:rPr>
        <w:t xml:space="preserve"> </w:t>
      </w:r>
    </w:p>
    <w:p w:rsidR="00E74A68" w:rsidRPr="007F796C" w:rsidRDefault="00E74A68" w:rsidP="00E74A68">
      <w:pPr>
        <w:pStyle w:val="a4"/>
        <w:ind w:firstLine="6379"/>
        <w:rPr>
          <w:szCs w:val="28"/>
          <w:lang w:val="ru-RU"/>
        </w:rPr>
      </w:pPr>
      <w:r>
        <w:rPr>
          <w:szCs w:val="28"/>
          <w:lang w:val="ru-RU"/>
        </w:rPr>
        <w:t>программного обеспечения</w:t>
      </w:r>
    </w:p>
    <w:p w:rsidR="00E74A68" w:rsidRPr="00E13C1C" w:rsidRDefault="00E74A68" w:rsidP="00E74A68">
      <w:pPr>
        <w:pStyle w:val="a4"/>
        <w:rPr>
          <w:szCs w:val="28"/>
        </w:rPr>
      </w:pPr>
    </w:p>
    <w:p w:rsidR="00D03C96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4A68" w:rsidRPr="00693B4C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C96">
        <w:rPr>
          <w:rFonts w:ascii="Times New Roman" w:hAnsi="Times New Roman" w:cs="Times New Roman"/>
          <w:b/>
          <w:sz w:val="28"/>
          <w:szCs w:val="28"/>
        </w:rPr>
        <w:t>О</w:t>
      </w:r>
      <w:r w:rsidR="00693B4C">
        <w:rPr>
          <w:rFonts w:ascii="Times New Roman" w:hAnsi="Times New Roman" w:cs="Times New Roman"/>
          <w:b/>
          <w:sz w:val="28"/>
          <w:szCs w:val="28"/>
        </w:rPr>
        <w:t>ТЧЕТ ПО ЛАБОРАТОРНОЙ РАБОТЕ №</w:t>
      </w:r>
      <w:r w:rsidR="003B2073">
        <w:rPr>
          <w:rFonts w:ascii="Times New Roman" w:hAnsi="Times New Roman" w:cs="Times New Roman"/>
          <w:b/>
          <w:sz w:val="28"/>
          <w:szCs w:val="28"/>
        </w:rPr>
        <w:t>4</w:t>
      </w:r>
    </w:p>
    <w:p w:rsidR="00D03C96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C96">
        <w:rPr>
          <w:rFonts w:ascii="Times New Roman" w:hAnsi="Times New Roman" w:cs="Times New Roman"/>
          <w:b/>
          <w:sz w:val="28"/>
          <w:szCs w:val="28"/>
        </w:rPr>
        <w:t>«</w:t>
      </w:r>
      <w:r w:rsidR="003B2073">
        <w:rPr>
          <w:rFonts w:ascii="Times New Roman" w:hAnsi="Times New Roman" w:cs="Times New Roman"/>
          <w:b/>
          <w:sz w:val="28"/>
          <w:szCs w:val="28"/>
        </w:rPr>
        <w:t>Построение диаграмм потоков данных(</w:t>
      </w:r>
      <w:r w:rsidR="003B2073">
        <w:rPr>
          <w:rFonts w:ascii="Times New Roman" w:hAnsi="Times New Roman" w:cs="Times New Roman"/>
          <w:b/>
          <w:sz w:val="28"/>
          <w:szCs w:val="28"/>
          <w:lang w:val="en-US"/>
        </w:rPr>
        <w:t>DFD</w:t>
      </w:r>
      <w:r w:rsidR="003B2073" w:rsidRPr="003B2073">
        <w:rPr>
          <w:rFonts w:ascii="Times New Roman" w:hAnsi="Times New Roman" w:cs="Times New Roman"/>
          <w:b/>
          <w:sz w:val="28"/>
          <w:szCs w:val="28"/>
        </w:rPr>
        <w:t>-</w:t>
      </w:r>
      <w:r w:rsidR="003B2073">
        <w:rPr>
          <w:rFonts w:ascii="Times New Roman" w:hAnsi="Times New Roman" w:cs="Times New Roman"/>
          <w:b/>
          <w:sz w:val="28"/>
          <w:szCs w:val="28"/>
        </w:rPr>
        <w:t>Моделей)</w:t>
      </w:r>
      <w:r w:rsidRPr="00D03C96">
        <w:rPr>
          <w:rFonts w:ascii="Times New Roman" w:hAnsi="Times New Roman" w:cs="Times New Roman"/>
          <w:b/>
          <w:sz w:val="28"/>
          <w:szCs w:val="28"/>
        </w:rPr>
        <w:t>»</w:t>
      </w:r>
    </w:p>
    <w:p w:rsidR="00D03C96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  <w:r w:rsidRPr="00D03C9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Савич А</w:t>
      </w:r>
      <w:r w:rsidRPr="00C82D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C82D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Default="00D03C96" w:rsidP="00D03C9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C82DA0" w:rsidRDefault="00C82DA0" w:rsidP="00D03C9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82DA0" w:rsidRDefault="00C82DA0" w:rsidP="00C82DA0">
      <w:pPr>
        <w:pStyle w:val="a3"/>
        <w:rPr>
          <w:rFonts w:ascii="Times New Roman" w:hAnsi="Times New Roman" w:cs="Times New Roman"/>
          <w:sz w:val="28"/>
          <w:szCs w:val="28"/>
        </w:rPr>
      </w:pPr>
      <w:r w:rsidRPr="00A3162B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C82DA0" w:rsidRDefault="00C82DA0" w:rsidP="00C82DA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DA0" w:rsidRPr="003B2073" w:rsidRDefault="00C82DA0" w:rsidP="00C82D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умения </w:t>
      </w:r>
      <w:r w:rsidR="003B2073">
        <w:rPr>
          <w:rFonts w:ascii="Times New Roman" w:hAnsi="Times New Roman" w:cs="Times New Roman"/>
          <w:sz w:val="28"/>
          <w:szCs w:val="28"/>
        </w:rPr>
        <w:t>определять компоненты для построения диаграммы потоков данных</w:t>
      </w:r>
      <w:r w:rsidR="003B2073" w:rsidRPr="003B2073">
        <w:rPr>
          <w:rFonts w:ascii="Times New Roman" w:hAnsi="Times New Roman" w:cs="Times New Roman"/>
          <w:sz w:val="28"/>
          <w:szCs w:val="28"/>
        </w:rPr>
        <w:t>(</w:t>
      </w:r>
      <w:r w:rsidR="003B2073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3B2073" w:rsidRPr="003B2073">
        <w:rPr>
          <w:rFonts w:ascii="Times New Roman" w:hAnsi="Times New Roman" w:cs="Times New Roman"/>
          <w:sz w:val="28"/>
          <w:szCs w:val="28"/>
        </w:rPr>
        <w:t>)</w:t>
      </w:r>
    </w:p>
    <w:p w:rsidR="00C82DA0" w:rsidRPr="00A3162B" w:rsidRDefault="00C82DA0" w:rsidP="00C82DA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DA0" w:rsidRDefault="00C82DA0" w:rsidP="00C82D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82D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3B2073" w:rsidRPr="003B2073" w:rsidRDefault="003B2073" w:rsidP="00C82D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диаграмму потоков данных для вашего варианта задания</w:t>
      </w:r>
      <w:r w:rsidRPr="003B2073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Диаграмма должна содержать контекстную диаграмму</w:t>
      </w:r>
      <w:r w:rsidRPr="003B20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диаграмму первого уровня</w:t>
      </w:r>
      <w:r w:rsidRPr="003B20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детализация процессов первого уровня</w:t>
      </w:r>
      <w:r w:rsidRPr="003B20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Обязательно предусмотрите наличие в диаграмме хранилища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82DA0" w:rsidRDefault="00C82DA0" w:rsidP="00C82D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№8 </w:t>
      </w:r>
      <w:r w:rsidR="00693B4C">
        <w:rPr>
          <w:rFonts w:ascii="Times New Roman" w:hAnsi="Times New Roman" w:cs="Times New Roman"/>
          <w:sz w:val="28"/>
          <w:szCs w:val="28"/>
        </w:rPr>
        <w:t>Интернет-магазин</w:t>
      </w:r>
    </w:p>
    <w:p w:rsidR="00C82DA0" w:rsidRPr="00C82DA0" w:rsidRDefault="00C82DA0" w:rsidP="00C82DA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DA0" w:rsidRDefault="00C82DA0" w:rsidP="00C82DA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2DA0" w:rsidRDefault="000E0F2F" w:rsidP="00C82D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73pt">
            <v:imagedata r:id="rId5" o:title="айуй"/>
          </v:shape>
        </w:pict>
      </w:r>
    </w:p>
    <w:p w:rsidR="0013251D" w:rsidRPr="0013251D" w:rsidRDefault="0013251D" w:rsidP="0013251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3251D">
        <w:rPr>
          <w:rFonts w:ascii="Times New Roman" w:hAnsi="Times New Roman" w:cs="Times New Roman"/>
          <w:sz w:val="28"/>
          <w:szCs w:val="28"/>
        </w:rPr>
        <w:t xml:space="preserve"> 1 –</w:t>
      </w:r>
      <w:r>
        <w:rPr>
          <w:rFonts w:ascii="Times New Roman" w:hAnsi="Times New Roman" w:cs="Times New Roman"/>
          <w:sz w:val="28"/>
          <w:szCs w:val="28"/>
        </w:rPr>
        <w:t xml:space="preserve">Первый уровень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3251D">
        <w:rPr>
          <w:rFonts w:ascii="Times New Roman" w:hAnsi="Times New Roman" w:cs="Times New Roman"/>
          <w:sz w:val="28"/>
          <w:szCs w:val="28"/>
        </w:rPr>
        <w:t>0</w:t>
      </w:r>
    </w:p>
    <w:p w:rsidR="00693B4C" w:rsidRDefault="00693B4C" w:rsidP="00C82DA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3B4C" w:rsidRDefault="000E0F2F" w:rsidP="00C82D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72.75pt;height:195.75pt">
            <v:imagedata r:id="rId6" o:title="йуайап2еап2"/>
          </v:shape>
        </w:pict>
      </w:r>
    </w:p>
    <w:p w:rsidR="00D25C8A" w:rsidRPr="0013251D" w:rsidRDefault="0013251D" w:rsidP="00C82D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13251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Второй уровень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:rsidR="00693B4C" w:rsidRDefault="000E0F2F" w:rsidP="00C82DA0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510pt;height:277.5pt">
            <v:imagedata r:id="rId7" o:title="уйуап2йап2"/>
          </v:shape>
        </w:pict>
      </w:r>
    </w:p>
    <w:p w:rsidR="0013251D" w:rsidRDefault="0013251D" w:rsidP="00C82D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035C5">
        <w:rPr>
          <w:rFonts w:ascii="Times New Roman" w:hAnsi="Times New Roman" w:cs="Times New Roman"/>
          <w:sz w:val="28"/>
          <w:szCs w:val="28"/>
        </w:rPr>
        <w:t xml:space="preserve"> 3 – </w:t>
      </w:r>
      <w:r w:rsidR="00A02807">
        <w:rPr>
          <w:rFonts w:ascii="Times New Roman" w:hAnsi="Times New Roman" w:cs="Times New Roman"/>
          <w:sz w:val="28"/>
          <w:szCs w:val="28"/>
        </w:rPr>
        <w:t>Контекстная диаграмма</w:t>
      </w:r>
      <w:r w:rsidRPr="00D035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170731" w:rsidRPr="00D035C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035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D0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Diagramm</w:t>
      </w:r>
      <w:proofErr w:type="spellEnd"/>
      <w:r w:rsidRPr="00D035C5">
        <w:rPr>
          <w:rFonts w:ascii="Times New Roman" w:hAnsi="Times New Roman" w:cs="Times New Roman"/>
          <w:sz w:val="28"/>
          <w:szCs w:val="28"/>
        </w:rPr>
        <w:t>)</w:t>
      </w:r>
      <w:r w:rsidR="00170731" w:rsidRPr="00D035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4550" w:rsidRPr="000E0F2F" w:rsidRDefault="000E0F2F" w:rsidP="00C82D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510pt;height:267pt">
            <v:imagedata r:id="rId8" o:title="уйпйу"/>
          </v:shape>
        </w:pict>
      </w:r>
    </w:p>
    <w:p w:rsidR="00644550" w:rsidRPr="00644550" w:rsidRDefault="00B46BEB" w:rsidP="00C82D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Первый</w:t>
      </w:r>
      <w:r w:rsidR="00644550">
        <w:rPr>
          <w:rFonts w:ascii="Times New Roman" w:hAnsi="Times New Roman" w:cs="Times New Roman"/>
          <w:sz w:val="28"/>
          <w:szCs w:val="28"/>
        </w:rPr>
        <w:t xml:space="preserve"> уровень</w:t>
      </w:r>
      <w:r w:rsidR="00644550" w:rsidRPr="00644550">
        <w:rPr>
          <w:rFonts w:ascii="Times New Roman" w:hAnsi="Times New Roman" w:cs="Times New Roman"/>
          <w:sz w:val="28"/>
          <w:szCs w:val="28"/>
        </w:rPr>
        <w:t xml:space="preserve"> </w:t>
      </w:r>
      <w:r w:rsidR="00644550">
        <w:rPr>
          <w:rFonts w:ascii="Times New Roman" w:hAnsi="Times New Roman" w:cs="Times New Roman"/>
          <w:sz w:val="28"/>
          <w:szCs w:val="28"/>
        </w:rPr>
        <w:t>диаграммы</w:t>
      </w:r>
      <w:r w:rsidR="00644550" w:rsidRPr="00D035C5">
        <w:rPr>
          <w:rFonts w:ascii="Times New Roman" w:hAnsi="Times New Roman" w:cs="Times New Roman"/>
          <w:sz w:val="28"/>
          <w:szCs w:val="28"/>
        </w:rPr>
        <w:t xml:space="preserve"> </w:t>
      </w:r>
      <w:r w:rsidR="00644550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644550" w:rsidRPr="00D035C5">
        <w:rPr>
          <w:rFonts w:ascii="Times New Roman" w:hAnsi="Times New Roman" w:cs="Times New Roman"/>
          <w:sz w:val="28"/>
          <w:szCs w:val="28"/>
        </w:rPr>
        <w:t>(</w:t>
      </w:r>
      <w:r w:rsidR="0064455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44550" w:rsidRPr="00D035C5">
        <w:rPr>
          <w:rFonts w:ascii="Times New Roman" w:hAnsi="Times New Roman" w:cs="Times New Roman"/>
          <w:sz w:val="28"/>
          <w:szCs w:val="28"/>
        </w:rPr>
        <w:t xml:space="preserve"> </w:t>
      </w:r>
      <w:r w:rsidR="00644550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644550" w:rsidRPr="00D0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4550">
        <w:rPr>
          <w:rFonts w:ascii="Times New Roman" w:hAnsi="Times New Roman" w:cs="Times New Roman"/>
          <w:sz w:val="28"/>
          <w:szCs w:val="28"/>
          <w:lang w:val="en-US"/>
        </w:rPr>
        <w:t>Diagramm</w:t>
      </w:r>
      <w:proofErr w:type="spellEnd"/>
      <w:r w:rsidR="00644550" w:rsidRPr="00D035C5">
        <w:rPr>
          <w:rFonts w:ascii="Times New Roman" w:hAnsi="Times New Roman" w:cs="Times New Roman"/>
          <w:sz w:val="28"/>
          <w:szCs w:val="28"/>
        </w:rPr>
        <w:t>)</w:t>
      </w:r>
    </w:p>
    <w:p w:rsidR="00D25C8A" w:rsidRDefault="00D25C8A" w:rsidP="00C82D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316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B418CF" w:rsidRDefault="00B418CF" w:rsidP="00B418CF">
      <w:pPr>
        <w:tabs>
          <w:tab w:val="left" w:pos="2205"/>
        </w:tabs>
        <w:rPr>
          <w:rFonts w:ascii="Times New Roman" w:hAnsi="Times New Roman" w:cs="Times New Roman"/>
          <w:sz w:val="28"/>
          <w:szCs w:val="28"/>
        </w:rPr>
      </w:pPr>
    </w:p>
    <w:p w:rsidR="00A3162B" w:rsidRPr="00622850" w:rsidRDefault="00A3162B" w:rsidP="00B418CF">
      <w:pPr>
        <w:tabs>
          <w:tab w:val="left" w:pos="22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2850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622850">
        <w:rPr>
          <w:rFonts w:ascii="Times New Roman" w:hAnsi="Times New Roman" w:cs="Times New Roman"/>
          <w:sz w:val="28"/>
          <w:szCs w:val="28"/>
        </w:rPr>
        <w:t xml:space="preserve">пишите основные отличия нотации </w:t>
      </w:r>
      <w:r w:rsidR="00622850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622850" w:rsidRPr="00622850">
        <w:rPr>
          <w:rFonts w:ascii="Times New Roman" w:hAnsi="Times New Roman" w:cs="Times New Roman"/>
          <w:sz w:val="28"/>
          <w:szCs w:val="28"/>
        </w:rPr>
        <w:t xml:space="preserve"> </w:t>
      </w:r>
      <w:r w:rsidR="00622850">
        <w:rPr>
          <w:rFonts w:ascii="Times New Roman" w:hAnsi="Times New Roman" w:cs="Times New Roman"/>
          <w:sz w:val="28"/>
          <w:szCs w:val="28"/>
        </w:rPr>
        <w:t xml:space="preserve">от </w:t>
      </w:r>
      <w:r w:rsidR="00622850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622850" w:rsidRPr="00622850">
        <w:rPr>
          <w:rFonts w:ascii="Times New Roman" w:hAnsi="Times New Roman" w:cs="Times New Roman"/>
          <w:sz w:val="28"/>
          <w:szCs w:val="28"/>
        </w:rPr>
        <w:t>0</w:t>
      </w:r>
    </w:p>
    <w:p w:rsidR="000232EE" w:rsidRPr="000232EE" w:rsidRDefault="000232EE" w:rsidP="000232E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232EE">
        <w:rPr>
          <w:rFonts w:ascii="Times New Roman" w:hAnsi="Times New Roman" w:cs="Times New Roman"/>
          <w:sz w:val="28"/>
          <w:szCs w:val="28"/>
        </w:rPr>
        <w:t>иаграммы потоков данных используются обычно для описания процессов обработки информации. Подобно IDEFO, DFD представляет модельную систему как сеть связанных между собой работ (процессов).</w:t>
      </w:r>
    </w:p>
    <w:p w:rsidR="000232EE" w:rsidRPr="000232EE" w:rsidRDefault="000232EE" w:rsidP="000232EE">
      <w:pPr>
        <w:pStyle w:val="a3"/>
        <w:rPr>
          <w:rFonts w:ascii="Times New Roman" w:hAnsi="Times New Roman" w:cs="Times New Roman"/>
          <w:sz w:val="28"/>
          <w:szCs w:val="28"/>
        </w:rPr>
      </w:pPr>
      <w:r w:rsidRPr="000232EE">
        <w:rPr>
          <w:rFonts w:ascii="Times New Roman" w:hAnsi="Times New Roman" w:cs="Times New Roman"/>
          <w:sz w:val="28"/>
          <w:szCs w:val="28"/>
        </w:rPr>
        <w:t>Их можно использовать как дополнение к модели IDEFO для более наглядного отображения текущих операций в оперативных системах обработки информации.</w:t>
      </w:r>
    </w:p>
    <w:p w:rsidR="000232EE" w:rsidRPr="000232EE" w:rsidRDefault="000232EE" w:rsidP="000232EE">
      <w:pPr>
        <w:pStyle w:val="a3"/>
        <w:rPr>
          <w:rFonts w:ascii="Times New Roman" w:hAnsi="Times New Roman" w:cs="Times New Roman"/>
          <w:sz w:val="28"/>
          <w:szCs w:val="28"/>
        </w:rPr>
      </w:pPr>
      <w:r w:rsidRPr="000232EE">
        <w:rPr>
          <w:rFonts w:ascii="Times New Roman" w:hAnsi="Times New Roman" w:cs="Times New Roman"/>
          <w:sz w:val="28"/>
          <w:szCs w:val="28"/>
        </w:rPr>
        <w:lastRenderedPageBreak/>
        <w:t>В отличие от стрелок IDEFO, которые представляют собой жесткие взаимосвязи, стрелки DFD показывают, как объекты двигаются от одной работы к другой. Это представление потоков совместно с хранилищами данных и внешними сущностями делает модели DFD более похожими на физические характеристики системы: движение объектов (потоки данных), хранение объектов (накопители), поставка и распространение объектов (внешние сущности).</w:t>
      </w:r>
    </w:p>
    <w:p w:rsidR="000232EE" w:rsidRPr="000232EE" w:rsidRDefault="000232EE" w:rsidP="000232EE">
      <w:pPr>
        <w:pStyle w:val="a3"/>
        <w:rPr>
          <w:rFonts w:ascii="Times New Roman" w:hAnsi="Times New Roman" w:cs="Times New Roman"/>
          <w:sz w:val="28"/>
          <w:szCs w:val="28"/>
        </w:rPr>
      </w:pPr>
      <w:r w:rsidRPr="000232EE">
        <w:rPr>
          <w:rFonts w:ascii="Times New Roman" w:hAnsi="Times New Roman" w:cs="Times New Roman"/>
          <w:sz w:val="28"/>
          <w:szCs w:val="28"/>
        </w:rPr>
        <w:t>В отличие от IDEFO, где система рассматривается как взаимосвязанные работы, в DFD система рассматривается как совокупность предметов. Контекстная диаграмма часто включает работы и внешние сущности. Работы обычно именуются по названию системы, например, «Система обработки информации». Включение внешних сущностей в контекстную диаграмму не отменяет требования методологии четко определить цель, область и единую точку зрения на моделируемую систему. В DFD работы представляют собой функции системы, преобразующие входы в выходы. Смысл их совпадает со смыслом работ IDEFO. Они имеют входы и выходы, но не поддерживают управления и механизмы, как IDEF0.</w:t>
      </w:r>
    </w:p>
    <w:p w:rsidR="000232EE" w:rsidRPr="000232EE" w:rsidRDefault="000232EE" w:rsidP="000232EE">
      <w:pPr>
        <w:pStyle w:val="a3"/>
        <w:rPr>
          <w:rFonts w:ascii="Times New Roman" w:hAnsi="Times New Roman" w:cs="Times New Roman"/>
          <w:sz w:val="28"/>
          <w:szCs w:val="28"/>
        </w:rPr>
      </w:pPr>
      <w:r w:rsidRPr="000232EE">
        <w:rPr>
          <w:rFonts w:ascii="Times New Roman" w:hAnsi="Times New Roman" w:cs="Times New Roman"/>
          <w:sz w:val="28"/>
          <w:szCs w:val="28"/>
        </w:rPr>
        <w:t>Внешние сущности изображают входы в систему и/или выходы из системы. Одна внешняя сущность может быть использована многократно на одной или нескольких диаграммах. Обычно такой прием используют, чтобы не рисовать слишком длинных и запутанных стрелок.</w:t>
      </w:r>
    </w:p>
    <w:p w:rsidR="000232EE" w:rsidRPr="000232EE" w:rsidRDefault="000232EE" w:rsidP="000232EE">
      <w:pPr>
        <w:pStyle w:val="a3"/>
        <w:rPr>
          <w:rFonts w:ascii="Times New Roman" w:hAnsi="Times New Roman" w:cs="Times New Roman"/>
          <w:sz w:val="28"/>
          <w:szCs w:val="28"/>
        </w:rPr>
      </w:pPr>
      <w:r w:rsidRPr="000232EE">
        <w:rPr>
          <w:rFonts w:ascii="Times New Roman" w:hAnsi="Times New Roman" w:cs="Times New Roman"/>
          <w:sz w:val="28"/>
          <w:szCs w:val="28"/>
        </w:rPr>
        <w:t xml:space="preserve">Стрелки (потоки данных) описывают движение объектов из одной части системы в другую. Поскольку в DFD каждая сторона работы </w:t>
      </w:r>
      <w:proofErr w:type="spellStart"/>
      <w:r w:rsidRPr="000232EE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0232EE">
        <w:rPr>
          <w:rFonts w:ascii="Times New Roman" w:hAnsi="Times New Roman" w:cs="Times New Roman"/>
          <w:sz w:val="28"/>
          <w:szCs w:val="28"/>
        </w:rPr>
        <w:t xml:space="preserve"> имеет четкого назначения, как в IDEF0, стрелки могут подходить и выходить из любой грани прямоугольника работы (речь идет о нотации </w:t>
      </w:r>
      <w:proofErr w:type="spellStart"/>
      <w:r w:rsidRPr="000232EE">
        <w:rPr>
          <w:rFonts w:ascii="Times New Roman" w:hAnsi="Times New Roman" w:cs="Times New Roman"/>
          <w:sz w:val="28"/>
          <w:szCs w:val="28"/>
        </w:rPr>
        <w:t>Гейна</w:t>
      </w:r>
      <w:proofErr w:type="spellEnd"/>
      <w:r w:rsidRPr="000232E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232EE">
        <w:rPr>
          <w:rFonts w:ascii="Times New Roman" w:hAnsi="Times New Roman" w:cs="Times New Roman"/>
          <w:sz w:val="28"/>
          <w:szCs w:val="28"/>
        </w:rPr>
        <w:t>Сарсона</w:t>
      </w:r>
      <w:proofErr w:type="spellEnd"/>
      <w:r w:rsidRPr="000232EE">
        <w:rPr>
          <w:rFonts w:ascii="Times New Roman" w:hAnsi="Times New Roman" w:cs="Times New Roman"/>
          <w:sz w:val="28"/>
          <w:szCs w:val="28"/>
        </w:rPr>
        <w:t xml:space="preserve">, в нотации </w:t>
      </w:r>
      <w:proofErr w:type="spellStart"/>
      <w:r w:rsidRPr="000232EE">
        <w:rPr>
          <w:rFonts w:ascii="Times New Roman" w:hAnsi="Times New Roman" w:cs="Times New Roman"/>
          <w:sz w:val="28"/>
          <w:szCs w:val="28"/>
        </w:rPr>
        <w:t>Йордона</w:t>
      </w:r>
      <w:proofErr w:type="spellEnd"/>
      <w:r w:rsidRPr="000232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32EE">
        <w:rPr>
          <w:rFonts w:ascii="Times New Roman" w:hAnsi="Times New Roman" w:cs="Times New Roman"/>
          <w:sz w:val="28"/>
          <w:szCs w:val="28"/>
        </w:rPr>
        <w:t>ото</w:t>
      </w:r>
      <w:proofErr w:type="gramEnd"/>
      <w:r w:rsidRPr="000232EE">
        <w:rPr>
          <w:rFonts w:ascii="Times New Roman" w:hAnsi="Times New Roman" w:cs="Times New Roman"/>
          <w:sz w:val="28"/>
          <w:szCs w:val="28"/>
        </w:rPr>
        <w:t xml:space="preserve"> выражено в том, что процесс обозначается окружностью). В DFD также применяются двунаправленные стрелки для описания диалогов типа «команда - ответ» между работами и между работой и внешней сущностью.</w:t>
      </w:r>
    </w:p>
    <w:p w:rsidR="000232EE" w:rsidRPr="000232EE" w:rsidRDefault="000232EE" w:rsidP="000232EE">
      <w:pPr>
        <w:pStyle w:val="a3"/>
        <w:rPr>
          <w:rFonts w:ascii="Times New Roman" w:hAnsi="Times New Roman" w:cs="Times New Roman"/>
          <w:sz w:val="28"/>
          <w:szCs w:val="28"/>
        </w:rPr>
      </w:pPr>
      <w:r w:rsidRPr="000232EE">
        <w:rPr>
          <w:rFonts w:ascii="Times New Roman" w:hAnsi="Times New Roman" w:cs="Times New Roman"/>
          <w:sz w:val="28"/>
          <w:szCs w:val="28"/>
        </w:rPr>
        <w:t xml:space="preserve">В отличие от стрелок, описывающих объекты в движении, хранилища данных изображают объекты в покое. В материальных системах хранилища данных изображаются там, где объекты ожидают обработки, например, в очереди. В системах обработки информации хранилища данных являются механизмом, который позволяет сохранить данные для последующих </w:t>
      </w:r>
      <w:proofErr w:type="spellStart"/>
      <w:r w:rsidRPr="000232EE">
        <w:rPr>
          <w:rFonts w:ascii="Times New Roman" w:hAnsi="Times New Roman" w:cs="Times New Roman"/>
          <w:sz w:val="28"/>
          <w:szCs w:val="28"/>
        </w:rPr>
        <w:t>процессов</w:t>
      </w:r>
      <w:proofErr w:type="gramStart"/>
      <w:r w:rsidRPr="000232EE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Pr="000232EE">
        <w:rPr>
          <w:rFonts w:ascii="Times New Roman" w:hAnsi="Times New Roman" w:cs="Times New Roman"/>
          <w:sz w:val="28"/>
          <w:szCs w:val="28"/>
        </w:rPr>
        <w:t>иаграммы</w:t>
      </w:r>
      <w:proofErr w:type="spellEnd"/>
      <w:r w:rsidRPr="000232EE">
        <w:rPr>
          <w:rFonts w:ascii="Times New Roman" w:hAnsi="Times New Roman" w:cs="Times New Roman"/>
          <w:sz w:val="28"/>
          <w:szCs w:val="28"/>
        </w:rPr>
        <w:t> DFD могут быть построены с использованием традиционного структурного анализа, подобно тому, как строятся диаграммы IDEF0. Наличие в диаграммах DFD элементов для описания источников, приемников и хранилищ данных позволяет более эффективно и наглядно описать процессы обработки информации.</w:t>
      </w:r>
    </w:p>
    <w:p w:rsidR="00BE799C" w:rsidRPr="00693B4C" w:rsidRDefault="00BE799C" w:rsidP="00B418CF">
      <w:pPr>
        <w:tabs>
          <w:tab w:val="left" w:pos="2205"/>
        </w:tabs>
        <w:rPr>
          <w:rFonts w:ascii="Times New Roman" w:hAnsi="Times New Roman" w:cs="Times New Roman"/>
          <w:sz w:val="28"/>
          <w:szCs w:val="28"/>
        </w:rPr>
      </w:pPr>
    </w:p>
    <w:p w:rsidR="00A3162B" w:rsidRPr="002116C6" w:rsidRDefault="00A3162B" w:rsidP="00B418CF">
      <w:pPr>
        <w:tabs>
          <w:tab w:val="left" w:pos="2205"/>
        </w:tabs>
        <w:rPr>
          <w:rFonts w:ascii="Times New Roman" w:hAnsi="Times New Roman" w:cs="Times New Roman"/>
          <w:sz w:val="28"/>
          <w:szCs w:val="28"/>
        </w:rPr>
      </w:pPr>
      <w:r w:rsidRPr="001128EB">
        <w:rPr>
          <w:rFonts w:ascii="Times New Roman" w:hAnsi="Times New Roman" w:cs="Times New Roman"/>
          <w:sz w:val="28"/>
          <w:szCs w:val="28"/>
        </w:rPr>
        <w:t>3.2</w:t>
      </w:r>
      <w:proofErr w:type="gramStart"/>
      <w:r w:rsidRPr="001128EB">
        <w:rPr>
          <w:rFonts w:ascii="Times New Roman" w:hAnsi="Times New Roman" w:cs="Times New Roman"/>
          <w:sz w:val="28"/>
          <w:szCs w:val="28"/>
        </w:rPr>
        <w:t xml:space="preserve"> </w:t>
      </w:r>
      <w:r w:rsidR="002116C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116C6">
        <w:rPr>
          <w:rFonts w:ascii="Times New Roman" w:hAnsi="Times New Roman" w:cs="Times New Roman"/>
          <w:sz w:val="28"/>
          <w:szCs w:val="28"/>
        </w:rPr>
        <w:t xml:space="preserve"> какой нотации имеет значение направленность стрелок</w:t>
      </w:r>
      <w:r w:rsidR="002116C6" w:rsidRPr="002116C6">
        <w:rPr>
          <w:rFonts w:ascii="Times New Roman" w:hAnsi="Times New Roman" w:cs="Times New Roman"/>
          <w:sz w:val="28"/>
          <w:szCs w:val="28"/>
        </w:rPr>
        <w:t xml:space="preserve">, </w:t>
      </w:r>
      <w:r w:rsidR="002116C6">
        <w:rPr>
          <w:rFonts w:ascii="Times New Roman" w:hAnsi="Times New Roman" w:cs="Times New Roman"/>
          <w:sz w:val="28"/>
          <w:szCs w:val="28"/>
        </w:rPr>
        <w:t>опишите типы стрелок</w:t>
      </w:r>
    </w:p>
    <w:p w:rsidR="000232EE" w:rsidRPr="000232EE" w:rsidRDefault="000232EE" w:rsidP="000232EE">
      <w:pPr>
        <w:pStyle w:val="a3"/>
        <w:rPr>
          <w:rFonts w:ascii="Times New Roman" w:hAnsi="Times New Roman" w:cs="Times New Roman"/>
          <w:lang w:eastAsia="ru-RU"/>
        </w:rPr>
      </w:pPr>
      <w:r w:rsidRPr="000232EE">
        <w:rPr>
          <w:rFonts w:ascii="Times New Roman" w:hAnsi="Times New Roman" w:cs="Times New Roman"/>
          <w:lang w:eastAsia="ru-RU"/>
        </w:rPr>
        <w:t>Описание назначения графических символов, используемых в нотации IDEF0, приведено в Таблице 1.</w:t>
      </w:r>
    </w:p>
    <w:tbl>
      <w:tblPr>
        <w:tblW w:w="1582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4"/>
        <w:gridCol w:w="2674"/>
        <w:gridCol w:w="11528"/>
      </w:tblGrid>
      <w:tr w:rsidR="000232EE" w:rsidRPr="000232EE" w:rsidTr="000232EE">
        <w:tc>
          <w:tcPr>
            <w:tcW w:w="16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2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ru-RU"/>
              </w:rPr>
              <w:t>Графический символ</w:t>
            </w:r>
          </w:p>
        </w:tc>
        <w:tc>
          <w:tcPr>
            <w:tcW w:w="11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b/>
                <w:bCs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b/>
                <w:bCs/>
                <w:sz w:val="16"/>
                <w:szCs w:val="18"/>
                <w:lang w:eastAsia="ru-RU"/>
              </w:rPr>
              <w:t>Описание</w:t>
            </w:r>
          </w:p>
        </w:tc>
      </w:tr>
      <w:tr w:rsidR="000232EE" w:rsidRPr="000232EE" w:rsidTr="000232EE">
        <w:tc>
          <w:tcPr>
            <w:tcW w:w="16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Процесс</w:t>
            </w:r>
          </w:p>
        </w:tc>
        <w:tc>
          <w:tcPr>
            <w:tcW w:w="2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F857AF0" wp14:editId="2ECA27AC">
                  <wp:extent cx="1181735" cy="802005"/>
                  <wp:effectExtent l="0" t="0" r="0" b="0"/>
                  <wp:docPr id="9" name="Рисунок 9" descr="Проце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оцес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73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Процесс обозначается прямоугольным блоком. Внутри каждого блока помещается его имя и номер. Имя должно быть активным глаголом, глагольным оборотом или отглагольным существительным. </w:t>
            </w:r>
          </w:p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Номер блока размещается в правом нижнем углу. </w:t>
            </w:r>
          </w:p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</w:p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Номера блоков используются для идентификации на диаграмме и в соответствующем тексте.</w:t>
            </w:r>
          </w:p>
        </w:tc>
      </w:tr>
      <w:tr w:rsidR="000232EE" w:rsidRPr="000232EE" w:rsidTr="000232EE">
        <w:tc>
          <w:tcPr>
            <w:tcW w:w="16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lastRenderedPageBreak/>
              <w:t>Стрелка</w:t>
            </w:r>
          </w:p>
        </w:tc>
        <w:tc>
          <w:tcPr>
            <w:tcW w:w="2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862DC17" wp14:editId="43A22A08">
                  <wp:extent cx="1440815" cy="387985"/>
                  <wp:effectExtent l="0" t="0" r="6985" b="0"/>
                  <wp:docPr id="8" name="Рисунок 8" descr="Стрел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трел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Стрелки обозначают входящие и исходящие из процесса объекты (данные).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br/>
              <w:t xml:space="preserve">Каждая сторона функционального блока имеет стандартное значение </w:t>
            </w:r>
            <w:proofErr w:type="gramStart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с</w:t>
            </w:r>
            <w:proofErr w:type="gramEnd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 </w:t>
            </w:r>
          </w:p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точки зрения связи блок-стрелка. В свою очередь, </w:t>
            </w:r>
          </w:p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сторона блока, к которой присоединена стрелка, </w:t>
            </w:r>
          </w:p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однозначно определяет ее роль. Стрелки, входящие в левую сторону блока - входы. Стрелки, входящие в блок сверху - управления. Стрелки, покидающие проце</w:t>
            </w:r>
            <w:proofErr w:type="gramStart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сс спр</w:t>
            </w:r>
            <w:proofErr w:type="gramEnd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ава - выходы, </w:t>
            </w:r>
          </w:p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т.е. данные или материальные объекты, произведенные процессом. </w:t>
            </w:r>
          </w:p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Стрелки, подключенные к нижней стороне блока, представляют механизмы.</w:t>
            </w:r>
          </w:p>
        </w:tc>
      </w:tr>
      <w:tr w:rsidR="000232EE" w:rsidRPr="000232EE" w:rsidTr="000232EE">
        <w:tc>
          <w:tcPr>
            <w:tcW w:w="16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Туннелированная стрелка</w:t>
            </w:r>
          </w:p>
        </w:tc>
        <w:tc>
          <w:tcPr>
            <w:tcW w:w="2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04B1742" wp14:editId="1BC81F7D">
                  <wp:extent cx="1518249" cy="1101840"/>
                  <wp:effectExtent l="0" t="0" r="6350" b="3175"/>
                  <wp:docPr id="7" name="Рисунок 7" descr="Стрелка, туннелированная на конце, присоединенном к блоку процесс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трелка, туннелированная на конце, присоединенном к блоку процесс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576" cy="1102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32EE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76CB016" wp14:editId="4FAC263D">
                  <wp:extent cx="1570008" cy="576145"/>
                  <wp:effectExtent l="0" t="0" r="0" b="0"/>
                  <wp:docPr id="6" name="Рисунок 6" descr="Стрелка, туннелированная на свободном конц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трелка, туннелированная на свободном конц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537" cy="576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Туннелированные стрелки означают, что данные, передаваемые </w:t>
            </w:r>
            <w:proofErr w:type="gramStart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с</w:t>
            </w:r>
            <w:proofErr w:type="gramEnd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 </w:t>
            </w:r>
          </w:p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помощью этих стрелок, не рассматриваются на родительской диаграмме и/</w:t>
            </w:r>
          </w:p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и на дочерней диаграмме.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br/>
              <w:t>Стрелка, помещенная в туннель там, где она присоединяется к блоку, означает, что данные, выраженные этой стрелкой, не обязательны на следующем уровне декомпозиции.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br/>
              <w:t>Стрелка, помещаемая в туннель на свободном конце, означает,</w:t>
            </w:r>
          </w:p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 что выраженные ею данные отсутствуют на родительской диаграмме.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br/>
              <w:t xml:space="preserve">Туннелированные стрелки могут быть </w:t>
            </w:r>
          </w:p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использованы на </w:t>
            </w:r>
          </w:p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proofErr w:type="gramStart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диаграммах</w:t>
            </w:r>
            <w:proofErr w:type="gramEnd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 процессов в нотациях IDEF0, "Процесс", "Процедура".</w:t>
            </w:r>
          </w:p>
        </w:tc>
      </w:tr>
      <w:tr w:rsidR="000232EE" w:rsidRPr="000232EE" w:rsidTr="000232EE">
        <w:tc>
          <w:tcPr>
            <w:tcW w:w="16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Внешняя ссылка</w:t>
            </w:r>
          </w:p>
        </w:tc>
        <w:tc>
          <w:tcPr>
            <w:tcW w:w="2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AF5D3B5" wp14:editId="23C79BE0">
                  <wp:extent cx="526415" cy="353695"/>
                  <wp:effectExtent l="0" t="0" r="6985" b="8255"/>
                  <wp:docPr id="5" name="Рисунок 5" descr="Внешняя ссыл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Внешняя ссыл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Элемент обозначает место, сущность или субъект, которые находятся за границами моделируемой системы. Внешние ссылки используются для обозначения источника или приемника стрелки вне модели. На диаграммах внешняя ссылка изображается в виде квадрата, рядом с которым показано наименование Внешней ссылки.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br/>
              <w:t>Внешние ссылки могут быть использованы на диаграммах процессов в любых нотациях.</w:t>
            </w:r>
          </w:p>
        </w:tc>
      </w:tr>
      <w:tr w:rsidR="000232EE" w:rsidRPr="000232EE" w:rsidTr="000232EE">
        <w:tc>
          <w:tcPr>
            <w:tcW w:w="16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0232EE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Междиаграммная</w:t>
            </w:r>
            <w:proofErr w:type="spellEnd"/>
            <w:r w:rsidRPr="000232EE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ссылка</w:t>
            </w:r>
          </w:p>
        </w:tc>
        <w:tc>
          <w:tcPr>
            <w:tcW w:w="2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0543AA7E" wp14:editId="0FF05741">
                  <wp:extent cx="1190625" cy="526415"/>
                  <wp:effectExtent l="0" t="0" r="9525" b="6985"/>
                  <wp:docPr id="4" name="Рисунок 4" descr="Междиаграммная ссыл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Междиаграммная ссыл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Элемент, обозначающий другую диаграмму. </w:t>
            </w:r>
            <w:proofErr w:type="spellStart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Междиаграммная</w:t>
            </w:r>
            <w:proofErr w:type="spellEnd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 ссылка служит </w:t>
            </w:r>
          </w:p>
          <w:p w:rsid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для обозначения перехода стрелки на диаграмму другого процесса </w:t>
            </w:r>
          </w:p>
          <w:p w:rsid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без отображения стрелки на вышележащей диаграмме</w:t>
            </w:r>
          </w:p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 (при использован</w:t>
            </w:r>
            <w:proofErr w:type="gramStart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ии ие</w:t>
            </w:r>
            <w:proofErr w:type="gramEnd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рархических моделей).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br/>
              <w:t xml:space="preserve">В качестве </w:t>
            </w:r>
            <w:proofErr w:type="spellStart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междиаграммной</w:t>
            </w:r>
            <w:proofErr w:type="spellEnd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 ссылки не может выступать диаграмма процесса в нотациях EPC и BPMN. </w:t>
            </w:r>
            <w:proofErr w:type="spellStart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Междиаграммные</w:t>
            </w:r>
            <w:proofErr w:type="spellEnd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 ссылки могут быть использованы на диаграммах процессов в нотациях IDEF0, "Процесс", "Процедура".</w:t>
            </w:r>
          </w:p>
        </w:tc>
      </w:tr>
      <w:tr w:rsidR="000232EE" w:rsidRPr="000232EE" w:rsidTr="000232EE">
        <w:tc>
          <w:tcPr>
            <w:tcW w:w="16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Процесс-ссылка</w:t>
            </w:r>
          </w:p>
        </w:tc>
        <w:tc>
          <w:tcPr>
            <w:tcW w:w="2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C6FBB42" wp14:editId="556F8D7F">
                  <wp:extent cx="1087120" cy="724535"/>
                  <wp:effectExtent l="0" t="0" r="0" b="0"/>
                  <wp:docPr id="3" name="Рисунок 3" descr="Процесс-ссыл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оцесс-ссыл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Элемент обозначает ссылку на типовую модель процесса.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br/>
              <w:t xml:space="preserve">Наиболее часто повторяющиеся процессы в рамках модели бизнес-процессов могут </w:t>
            </w:r>
          </w:p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быть </w:t>
            </w:r>
            <w:proofErr w:type="gramStart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выделены</w:t>
            </w:r>
            <w:proofErr w:type="gramEnd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 xml:space="preserve"> в качестве типовых в отдельную папку в </w:t>
            </w:r>
            <w:r w:rsidRPr="000232EE">
              <w:rPr>
                <w:rFonts w:ascii="Times New Roman" w:hAnsi="Times New Roman" w:cs="Times New Roman"/>
                <w:b/>
                <w:bCs/>
                <w:sz w:val="16"/>
                <w:szCs w:val="18"/>
                <w:lang w:eastAsia="ru-RU"/>
              </w:rPr>
              <w:t>Навигаторе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. Диаграмма типового процесса формируется один раз в одном месте </w:t>
            </w:r>
            <w:r w:rsidRPr="000232EE">
              <w:rPr>
                <w:rFonts w:ascii="Times New Roman" w:hAnsi="Times New Roman" w:cs="Times New Roman"/>
                <w:b/>
                <w:bCs/>
                <w:sz w:val="16"/>
                <w:szCs w:val="18"/>
                <w:lang w:eastAsia="ru-RU"/>
              </w:rPr>
              <w:t>Навигатора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. Далее на любой диаграмме может быть использован процесс-ссылка на типовой процесс.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br/>
              <w:t>Параметры типового процесса заполняются непосредственно в </w:t>
            </w:r>
            <w:r w:rsidRPr="000232EE">
              <w:rPr>
                <w:rFonts w:ascii="Times New Roman" w:hAnsi="Times New Roman" w:cs="Times New Roman"/>
                <w:b/>
                <w:bCs/>
                <w:sz w:val="16"/>
                <w:szCs w:val="18"/>
                <w:lang w:eastAsia="ru-RU"/>
              </w:rPr>
              <w:t>Окне свойств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 типового процесса.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br/>
              <w:t>Постоянный список субъектов, принимающих участие в выполнении типового процесса, формируется также в </w:t>
            </w:r>
            <w:r w:rsidRPr="000232EE">
              <w:rPr>
                <w:rFonts w:ascii="Times New Roman" w:hAnsi="Times New Roman" w:cs="Times New Roman"/>
                <w:b/>
                <w:bCs/>
                <w:sz w:val="16"/>
                <w:szCs w:val="18"/>
                <w:lang w:eastAsia="ru-RU"/>
              </w:rPr>
              <w:t>Окне свойств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 типового процесса. Список субъектов, принимающих участие при выполнении типового процесса в рамках вышележащего процесса, формируется в </w:t>
            </w:r>
            <w:r w:rsidRPr="000232EE">
              <w:rPr>
                <w:rFonts w:ascii="Times New Roman" w:hAnsi="Times New Roman" w:cs="Times New Roman"/>
                <w:b/>
                <w:bCs/>
                <w:sz w:val="16"/>
                <w:szCs w:val="18"/>
                <w:lang w:eastAsia="ru-RU"/>
              </w:rPr>
              <w:t>Окне свой</w:t>
            </w:r>
            <w:proofErr w:type="gramStart"/>
            <w:r w:rsidRPr="000232EE">
              <w:rPr>
                <w:rFonts w:ascii="Times New Roman" w:hAnsi="Times New Roman" w:cs="Times New Roman"/>
                <w:b/>
                <w:bCs/>
                <w:sz w:val="16"/>
                <w:szCs w:val="18"/>
                <w:lang w:eastAsia="ru-RU"/>
              </w:rPr>
              <w:t>ств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 пр</w:t>
            </w:r>
            <w:proofErr w:type="gramEnd"/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оцесса-ссылки на типовой процесс.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br/>
              <w:t>Процессы-ссылки могут быть использованы на диаграммах процессов в любых нотациях.</w:t>
            </w:r>
          </w:p>
        </w:tc>
      </w:tr>
      <w:tr w:rsidR="000232EE" w:rsidRPr="000232EE" w:rsidTr="000232EE">
        <w:tc>
          <w:tcPr>
            <w:tcW w:w="16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Сноска</w:t>
            </w:r>
          </w:p>
        </w:tc>
        <w:tc>
          <w:tcPr>
            <w:tcW w:w="2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8BD2F9A" wp14:editId="1CD7F818">
                  <wp:extent cx="1112520" cy="586740"/>
                  <wp:effectExtent l="0" t="0" r="0" b="3810"/>
                  <wp:docPr id="2" name="Рисунок 2" descr="Снос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нос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Выносной элемент, предназначенный для нанесения комментариев.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br/>
              <w:t>Элемент может быть использован на диаграммах процессов в любых нотациях.</w:t>
            </w:r>
          </w:p>
        </w:tc>
      </w:tr>
      <w:tr w:rsidR="000232EE" w:rsidRPr="000232EE" w:rsidTr="000232EE">
        <w:tc>
          <w:tcPr>
            <w:tcW w:w="16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Текст</w:t>
            </w:r>
          </w:p>
        </w:tc>
        <w:tc>
          <w:tcPr>
            <w:tcW w:w="2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52FF9F0" wp14:editId="4C9459F5">
                  <wp:extent cx="1147445" cy="577850"/>
                  <wp:effectExtent l="0" t="0" r="0" b="0"/>
                  <wp:docPr id="1" name="Рисунок 1" descr="Текс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Текс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32EE" w:rsidRPr="000232EE" w:rsidRDefault="000232EE" w:rsidP="000232EE">
            <w:pPr>
              <w:pStyle w:val="a3"/>
              <w:rPr>
                <w:rFonts w:ascii="Times New Roman" w:hAnsi="Times New Roman" w:cs="Times New Roman"/>
                <w:sz w:val="16"/>
                <w:szCs w:val="18"/>
                <w:lang w:eastAsia="ru-RU"/>
              </w:rPr>
            </w:pP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t>Комментарий без сноски.</w:t>
            </w:r>
            <w:r w:rsidRPr="000232EE">
              <w:rPr>
                <w:rFonts w:ascii="Times New Roman" w:hAnsi="Times New Roman" w:cs="Times New Roman"/>
                <w:sz w:val="16"/>
                <w:szCs w:val="18"/>
                <w:lang w:eastAsia="ru-RU"/>
              </w:rPr>
              <w:br/>
              <w:t>Элемент может быть использован на диаграммах процессов в любых нотациях.</w:t>
            </w:r>
          </w:p>
        </w:tc>
      </w:tr>
    </w:tbl>
    <w:p w:rsidR="000232EE" w:rsidRPr="000232EE" w:rsidRDefault="000232EE" w:rsidP="000232EE">
      <w:pPr>
        <w:pStyle w:val="a3"/>
        <w:rPr>
          <w:rFonts w:ascii="Times New Roman" w:hAnsi="Times New Roman" w:cs="Times New Roman"/>
          <w:sz w:val="17"/>
          <w:szCs w:val="17"/>
          <w:lang w:eastAsia="ru-RU"/>
        </w:rPr>
      </w:pPr>
      <w:r w:rsidRPr="000232EE">
        <w:rPr>
          <w:rFonts w:ascii="Times New Roman" w:hAnsi="Times New Roman" w:cs="Times New Roman"/>
          <w:sz w:val="17"/>
          <w:szCs w:val="17"/>
          <w:lang w:eastAsia="ru-RU"/>
        </w:rPr>
        <w:t>Таблица 1. Графические символы, используемые в нотации IDEF0</w:t>
      </w:r>
    </w:p>
    <w:p w:rsidR="00D25C8A" w:rsidRPr="000232EE" w:rsidRDefault="00D25C8A" w:rsidP="00C82DA0">
      <w:pPr>
        <w:pStyle w:val="a3"/>
      </w:pPr>
    </w:p>
    <w:sectPr w:rsidR="00D25C8A" w:rsidRPr="000232EE" w:rsidSect="00E74A6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A68"/>
    <w:rsid w:val="000232EE"/>
    <w:rsid w:val="00044290"/>
    <w:rsid w:val="000D7266"/>
    <w:rsid w:val="000E0F2F"/>
    <w:rsid w:val="0013251D"/>
    <w:rsid w:val="00147857"/>
    <w:rsid w:val="00170731"/>
    <w:rsid w:val="001B15EA"/>
    <w:rsid w:val="002116C6"/>
    <w:rsid w:val="002C72E6"/>
    <w:rsid w:val="003746B4"/>
    <w:rsid w:val="003B2073"/>
    <w:rsid w:val="003D1717"/>
    <w:rsid w:val="004334A4"/>
    <w:rsid w:val="00576A87"/>
    <w:rsid w:val="005E79C1"/>
    <w:rsid w:val="005F7EF2"/>
    <w:rsid w:val="00613407"/>
    <w:rsid w:val="00622850"/>
    <w:rsid w:val="00644550"/>
    <w:rsid w:val="00693B4C"/>
    <w:rsid w:val="00A02807"/>
    <w:rsid w:val="00A07C6C"/>
    <w:rsid w:val="00A3162B"/>
    <w:rsid w:val="00A44421"/>
    <w:rsid w:val="00AD36B8"/>
    <w:rsid w:val="00B418CF"/>
    <w:rsid w:val="00B46BEB"/>
    <w:rsid w:val="00BE799C"/>
    <w:rsid w:val="00BF0014"/>
    <w:rsid w:val="00BF7D7A"/>
    <w:rsid w:val="00C82DA0"/>
    <w:rsid w:val="00CE736A"/>
    <w:rsid w:val="00D035C5"/>
    <w:rsid w:val="00D03C96"/>
    <w:rsid w:val="00D25C8A"/>
    <w:rsid w:val="00E74A68"/>
    <w:rsid w:val="00F54CA3"/>
    <w:rsid w:val="00FD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1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A68"/>
    <w:pPr>
      <w:spacing w:after="0" w:line="240" w:lineRule="auto"/>
    </w:pPr>
  </w:style>
  <w:style w:type="paragraph" w:styleId="a4">
    <w:name w:val="Body Text"/>
    <w:basedOn w:val="a"/>
    <w:link w:val="a5"/>
    <w:rsid w:val="00E74A68"/>
    <w:pPr>
      <w:spacing w:after="0" w:line="240" w:lineRule="auto"/>
      <w:ind w:right="-58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5">
    <w:name w:val="Основной текст Знак"/>
    <w:basedOn w:val="a0"/>
    <w:link w:val="a4"/>
    <w:rsid w:val="00E74A6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A31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9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3B4C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576A87"/>
    <w:rPr>
      <w:b/>
      <w:bCs/>
    </w:rPr>
  </w:style>
  <w:style w:type="paragraph" w:styleId="a9">
    <w:name w:val="Normal (Web)"/>
    <w:basedOn w:val="a"/>
    <w:uiPriority w:val="99"/>
    <w:semiHidden/>
    <w:unhideWhenUsed/>
    <w:rsid w:val="0002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32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1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A68"/>
    <w:pPr>
      <w:spacing w:after="0" w:line="240" w:lineRule="auto"/>
    </w:pPr>
  </w:style>
  <w:style w:type="paragraph" w:styleId="a4">
    <w:name w:val="Body Text"/>
    <w:basedOn w:val="a"/>
    <w:link w:val="a5"/>
    <w:rsid w:val="00E74A68"/>
    <w:pPr>
      <w:spacing w:after="0" w:line="240" w:lineRule="auto"/>
      <w:ind w:right="-58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5">
    <w:name w:val="Основной текст Знак"/>
    <w:basedOn w:val="a0"/>
    <w:link w:val="a4"/>
    <w:rsid w:val="00E74A6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A31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9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3B4C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576A87"/>
    <w:rPr>
      <w:b/>
      <w:bCs/>
    </w:rPr>
  </w:style>
  <w:style w:type="paragraph" w:styleId="a9">
    <w:name w:val="Normal (Web)"/>
    <w:basedOn w:val="a"/>
    <w:uiPriority w:val="99"/>
    <w:semiHidden/>
    <w:unhideWhenUsed/>
    <w:rsid w:val="0002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32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387">
          <w:marLeft w:val="0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81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8251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302_5</cp:lastModifiedBy>
  <cp:revision>1</cp:revision>
  <dcterms:created xsi:type="dcterms:W3CDTF">2021-12-01T08:04:00Z</dcterms:created>
  <dcterms:modified xsi:type="dcterms:W3CDTF">2021-12-02T10:14:00Z</dcterms:modified>
</cp:coreProperties>
</file>