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1" Type="http://schemas.openxmlformats.org/officeDocument/2006/relationships/officeDocument" Target="word/document.xml"/>
  <Relationship Id="R2" Type="http://schemas.openxmlformats.org/package/2006/relationships/metadata/core-properties" Target="docProps/core.xml"/>
  <Relationship Id="R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FIN439 Writeup</w:t>
      </w:r>
    </w:p>
    <w:p>
      <w:r>
        <w:t xml:space="preserve">Company: Palantir Technologies Inc. (PLTR)</w:t>
      </w:r>
    </w:p>
    <w:p>
      <w:pPr>
        <w:pStyle w:val="Heading1"/>
      </w:pPr>
      <w:r>
        <w:t xml:space="preserve">DISCOVER</w:t>
      </w:r>
    </w:p>
    <w:p>
      <w:r>
        <w:t xml:space="preserve">At the start, the main uncertainty was whether Palantir should be treated as a watch-defer name or something closer to an initiate case. The filing made the picture clearer by giving a clean annual baseline: strong revenue growth, positive operating income, positive operating cash flow, no borrowings outstanding, and a share count that could be checked directly against diluted EPS evidence.</w:t>
      </w:r>
    </w:p>
    <w:p>
      <w:pPr>
        <w:pStyle w:val="Heading1"/>
      </w:pPr>
      <w:r>
        <w:t xml:space="preserve">DEFINE</w:t>
      </w:r>
    </w:p>
    <w:p>
      <w:r>
        <w:t xml:space="preserve">The problem is now a valuation question about whether Palantir???s current annual filing supports a durable growth-and-cash-generation story. One boundary that matters is that the baseline should come from the latest 10-K evidence only, using the filing as the primary source rather than outside commentary or a later quarterly update.</w:t>
      </w:r>
    </w:p>
    <w:p>
      <w:pPr>
        <w:pStyle w:val="Heading1"/>
      </w:pPr>
      <w:r>
        <w:t xml:space="preserve">GOOD QUESTION</w:t>
      </w:r>
    </w:p>
    <w:p>
      <w:r>
        <w:t xml:space="preserve">A useful next question is: what operating evidence would show that Palantir???s revenue growth is broad enough to sustain the current valuation thesis? That matters because the stock can look strong on headline growth, but the valuation case becomes much more fragile if growth depends on too narrow a customer or segment mix.</w:t>
      </w:r>
    </w:p>
    <w:p>
      <w:pPr>
        <w:pStyle w:val="Heading1"/>
      </w:pPr>
      <w:r>
        <w:t xml:space="preserve">MY CONTRIBUTION</w:t>
      </w:r>
    </w:p>
    <w:p>
      <w:r>
        <w:t xml:space="preserve">I gathered the primary filing evidence from SEC EDGAR, pulled the accession number, reporting period, filing date, diluted-share evidence, cash, debt, and operating driver, and then organized the edition draft and the synthetic bridge check. I also prepared the lab checkout scaffold so the filing facts and the class record line up cleanly.</w:t>
      </w:r>
    </w:p>
    <w:p>
      <w:pPr>
        <w:pStyle w:val="Heading1"/>
      </w:pPr>
      <w:r>
        <w:t xml:space="preserve">TEST / CHECK / RESULT</w:t>
      </w:r>
    </w:p>
    <w:p>
      <w:r>
        <w:t xml:space="preserve">Enterprise value is the value of the operating business before capital structure. Equity value is the value attributable to stockholders after accounting for cash and debt.</w:t>
      </w:r>
    </w:p>
    <w:p>
      <w:pPr>
        <w:pStyle w:val="Heading1"/>
      </w:pPr>
      <w:r>
        <w:t xml:space="preserve">OPTIONAL ARTIFACT LINK</w:t>
      </w:r>
    </w:p>
    <w:p>
      <w:r>
        <w:t xml:space="preserve">N/A</w:t>
      </w:r>
    </w:p>
    <w:p>
      <w:pPr>
        <w:pStyle w:val="Heading1"/>
      </w:pPr>
      <w:r>
        <w:t xml:space="preserve">ATTESTATION</w:t>
      </w:r>
    </w:p>
    <w:p>
      <w:r>
        <w:t xml:space="preserve">I completed this work in today???s class with the teammate(s) listed above, and this checkout is truthful.</w:t>
      </w:r>
    </w:p>
    <w:p>
      <w:r>
        <w:t xml:space="preserve"/>
      </w:r>
    </w:p>
    <w:sectPr>
      <w:pgSz w:w="12240" w:h="15840"/>
      <w:pgMar w:top="900" w:right="900" w:bottom="900" w:left="900" w:header="720" w:footer="720" w:gutter="0"/>
      <w:cols w:space="720"/>
      <w:docGrid w:linePitch="36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next w:val="Normal"/>
    <w:qFormat/>
    <w:rPr>
      <w:b/>
      <w:sz w:val="28"/>
    </w:rPr>
  </w:style>
</w:styles>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FIN439 Writeup</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FIN439 Writeup</dc:title>
  <dc:creator>Codex</dc:creator>
  <cp:lastModifiedBy>Codex</cp:lastModifiedBy>
  <dcterms:created xsi:type="dcterms:W3CDTF">2026-09-01T21:35:56Z</dcterms:created>
  <dcterms:modified xsi:type="dcterms:W3CDTF">2026-09-01T21:35:56Z</dcterms:modified>
</cp:coreProperties>
</file>