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sz w:val="36"/>
          <w:szCs w:val="36"/>
        </w:rPr>
        <w:t xml:space="preserve">Bingo Card Evidence Report</w:t>
      </w:r>
    </w:p>
    <w:p>
      <w:pPr>
        <w:spacing w:after="100"/>
      </w:pPr>
      <w:r>
        <w:rPr>
          <w:rFonts w:ascii="Arial" w:cs="Arial" w:eastAsia="Arial" w:hAnsi="Arial"/>
          <w:color w:val="666666"/>
          <w:sz w:val="24"/>
          <w:szCs w:val="24"/>
        </w:rPr>
        <w:t xml:space="preserve">Group E — BrightEyes Enterprise AI Project</w:t>
      </w:r>
    </w:p>
    <w:p>
      <w:pPr>
        <w:spacing w:after="100"/>
      </w:pPr>
      <w:r>
        <w:rPr>
          <w:rFonts w:ascii="Arial" w:cs="Arial" w:eastAsia="Arial" w:hAnsi="Arial"/>
          <w:color w:val="666666"/>
          <w:sz w:val="22"/>
          <w:szCs w:val="22"/>
        </w:rPr>
        <w:t xml:space="preserve">Course: Unlocking Enterprise AI 2026 (ESCP MBD)</w:t>
      </w:r>
    </w:p>
    <w:p>
      <w:pPr>
        <w:spacing w:after="100"/>
      </w:pPr>
      <w:r>
        <w:rPr>
          <w:rFonts w:ascii="Arial" w:cs="Arial" w:eastAsia="Arial" w:hAnsi="Arial"/>
          <w:color w:val="666666"/>
          <w:sz w:val="22"/>
          <w:szCs w:val="22"/>
        </w:rPr>
        <w:t xml:space="preserve">Team: Roberta Ferrero, Pier Giorgio Scalia, Pietro De Cesare, Ludovico Zanotti, Vittorio Pizzi</w:t>
      </w:r>
    </w:p>
    <w:p>
      <w:pPr>
        <w:spacing w:after="400"/>
      </w:pPr>
      <w:r>
        <w:rPr>
          <w:rFonts w:ascii="Arial" w:cs="Arial" w:eastAsia="Arial" w:hAnsi="Arial"/>
          <w:color w:val="666666"/>
          <w:sz w:val="22"/>
          <w:szCs w:val="22"/>
        </w:rPr>
        <w:t xml:space="preserve">Date: March 25, 2026</w:t>
      </w:r>
    </w:p>
    <w:p>
      <w:pPr>
        <w:spacing w:after="200"/>
      </w:pPr>
      <w:r>
        <w:rPr>
          <w:rFonts w:ascii="Arial" w:cs="Arial" w:eastAsia="Arial" w:hAnsi="Arial"/>
          <w:sz w:val="22"/>
          <w:szCs w:val="22"/>
        </w:rPr>
        <w:t xml:space="preserve">Summary: 21 of 25 tasks completed. 4 not completed (1 optional green task + 3 red/challenge tasks).</w:t>
      </w:r>
    </w:p>
    <w:p>
      <w:pPr>
        <w:spacing w:before="300" w:after="100"/>
      </w:pPr>
      <w:r>
        <w:rPr>
          <w:rFonts w:ascii="Arial" w:cs="Arial" w:eastAsia="Arial" w:hAnsi="Arial"/>
          <w:b/>
          <w:bCs/>
          <w:sz w:val="26"/>
          <w:szCs w:val="26"/>
        </w:rPr>
        <w:t xml:space="preserve">Task 1: Use browser / visual checks to verify an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02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20"/>
                <w:szCs w:val="20"/>
              </w:rPr>
              <w:t xml:space="preserve">COMPLETED</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Demo(s)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5 demos</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How</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444444"/>
                <w:sz w:val="20"/>
                <w:szCs w:val="20"/>
              </w:rPr>
              <w:t xml:space="preserve">Run script in terminal → Open output .md file → Preview in Cursor or browser → Verify content</w:t>
            </w:r>
          </w:p>
        </w:tc>
      </w:tr>
    </w:tbl>
    <w:p>
      <w:pPr>
        <w:spacing w:before="120" w:after="200"/>
      </w:pPr>
      <w:r>
        <w:rPr>
          <w:rFonts w:ascii="Arial" w:cs="Arial" w:eastAsia="Arial" w:hAnsi="Arial"/>
          <w:sz w:val="21"/>
          <w:szCs w:val="21"/>
        </w:rPr>
        <w:t xml:space="preserve">After running each Python script, we opened the generated Markdown reports (.md files) in the Cursor preview panel and in a browser to verify the output was correct. For example, after running demo1_tender/tender_parser.py, we opened the generated tender_analysis_TENDER-2026-OPH-0187.md to confirm that the eligibility check, lot matching, and scoring strategy sections were properly formatted and the data matched expectations. This visual verification was performed for all five demos.</w:t>
      </w:r>
    </w:p>
    <w:p>
      <w:pPr>
        <w:spacing w:before="300" w:after="100"/>
      </w:pPr>
      <w:r>
        <w:rPr>
          <w:rFonts w:ascii="Arial" w:cs="Arial" w:eastAsia="Arial" w:hAnsi="Arial"/>
          <w:b/>
          <w:bCs/>
          <w:sz w:val="26"/>
          <w:szCs w:val="26"/>
        </w:rPr>
        <w:t xml:space="preserve">Task 2: Read / export an excel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02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20"/>
                <w:szCs w:val="20"/>
              </w:rPr>
              <w:t xml:space="preserve">COMPLETED</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Demo(s)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 3 (Supplier Analysis), Demo 5 (WBR)</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How</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444444"/>
                <w:sz w:val="20"/>
                <w:szCs w:val="20"/>
              </w:rPr>
              <w:t xml:space="preserve">csv.DictReader loads the file → Script processes rows → Aggregated results are output as Markdown reports</w:t>
            </w:r>
          </w:p>
        </w:tc>
      </w:tr>
    </w:tbl>
    <w:p>
      <w:pPr>
        <w:spacing w:before="120" w:after="200"/>
      </w:pPr>
      <w:r>
        <w:rPr>
          <w:rFonts w:ascii="Arial" w:cs="Arial" w:eastAsia="Arial" w:hAnsi="Arial"/>
          <w:sz w:val="21"/>
          <w:szCs w:val="21"/>
        </w:rPr>
        <w:t xml:space="preserve">Demo 3 reads purchase_history.csv, a tabular data file containing 27 purchase orders with columns for supplier, component, quantity, unit price, delivery days, and quality rating. The script loads and processes this data using Python's csv module. Demo 5 similarly reads weekly_metrics.csv containing 12 weeks of business performance data with revenue, leads, proposals, installations, and support metrics. Both scripts parse, aggregate, and analyze the tabular data.</w:t>
      </w:r>
    </w:p>
    <w:p>
      <w:pPr>
        <w:spacing w:before="300" w:after="100"/>
      </w:pPr>
      <w:r>
        <w:rPr>
          <w:rFonts w:ascii="Arial" w:cs="Arial" w:eastAsia="Arial" w:hAnsi="Arial"/>
          <w:b/>
          <w:bCs/>
          <w:sz w:val="26"/>
          <w:szCs w:val="26"/>
        </w:rPr>
        <w:t xml:space="preserve">Task 3: Manually edit a .mdc rules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02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20"/>
                <w:szCs w:val="20"/>
              </w:rPr>
              <w:t xml:space="preserve">COMPLETED</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Demo(s)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Bingo task (standalone)</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How</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444444"/>
                <w:sz w:val="20"/>
                <w:szCs w:val="20"/>
              </w:rPr>
              <w:t xml:space="preserve">Created .cursor/rules/ directory → Created brighteyes.mdc → Typed rules by hand in the editor</w:t>
            </w:r>
          </w:p>
        </w:tc>
      </w:tr>
    </w:tbl>
    <w:p>
      <w:pPr>
        <w:spacing w:before="120" w:after="200"/>
      </w:pPr>
      <w:r>
        <w:rPr>
          <w:rFonts w:ascii="Arial" w:cs="Arial" w:eastAsia="Arial" w:hAnsi="Arial"/>
          <w:sz w:val="21"/>
          <w:szCs w:val="21"/>
        </w:rPr>
        <w:t xml:space="preserve">We created .cursor/rules/brighteyes.mdc by hand in Cursor's editor. The file contains project-specific rules that Cursor's AI agent reads at the start of every conversation: all output must be in English, use emojis in terminal output, save reports to output/ folders, use only Python standard library, and keep code well-commented. These rules were typed manually, not generated by the AI.</w:t>
      </w:r>
    </w:p>
    <w:p>
      <w:pPr>
        <w:spacing w:before="300" w:after="100"/>
      </w:pPr>
      <w:r>
        <w:rPr>
          <w:rFonts w:ascii="Arial" w:cs="Arial" w:eastAsia="Arial" w:hAnsi="Arial"/>
          <w:b/>
          <w:bCs/>
          <w:sz w:val="26"/>
          <w:szCs w:val="26"/>
        </w:rPr>
        <w:t xml:space="preserve">Task 4: Run code in the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02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20"/>
                <w:szCs w:val="20"/>
              </w:rPr>
              <w:t xml:space="preserve">COMPLETED</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Demo(s)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5 demos + bingo_analyze_db.py</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How</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444444"/>
                <w:sz w:val="20"/>
                <w:szCs w:val="20"/>
              </w:rPr>
              <w:t xml:space="preserve">Open terminal (Cmd+J) → Navigate to project folder → Run python3 scripts → Review terminal output</w:t>
            </w:r>
          </w:p>
        </w:tc>
      </w:tr>
    </w:tbl>
    <w:p>
      <w:pPr>
        <w:spacing w:before="120" w:after="200"/>
      </w:pPr>
      <w:r>
        <w:rPr>
          <w:rFonts w:ascii="Arial" w:cs="Arial" w:eastAsia="Arial" w:hAnsi="Arial"/>
          <w:sz w:val="21"/>
          <w:szCs w:val="21"/>
        </w:rPr>
        <w:t xml:space="preserve">Every demo was executed directly from the integrated terminal in Cursor. Commands used: python3 demo1_tender/tender_parser.py, python3 demo2_proposal/proposal_generator.py, python3 demo3_supplier/supplier_analysis.py, python3 demo4_installation/installation_report.py, python3 demo5_wbr/wbr_generator.py, and python3 bingo_analyze_db.py. Each script printed a summary with emojis to the terminal and saved output files.</w:t>
      </w:r>
    </w:p>
    <w:p>
      <w:pPr>
        <w:spacing w:before="300" w:after="100"/>
      </w:pPr>
      <w:r>
        <w:rPr>
          <w:rFonts w:ascii="Arial" w:cs="Arial" w:eastAsia="Arial" w:hAnsi="Arial"/>
          <w:b/>
          <w:bCs/>
          <w:sz w:val="26"/>
          <w:szCs w:val="26"/>
        </w:rPr>
        <w:t xml:space="preserve">Task 5: Extract structured data from an unstructured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02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20"/>
                <w:szCs w:val="20"/>
              </w:rPr>
              <w:t xml:space="preserve">COMPLETED</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Demo(s)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 1 (Tender), Demo 2 (Proposal), Demo 4 (Installation)</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How</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444444"/>
                <w:sz w:val="20"/>
                <w:szCs w:val="20"/>
              </w:rPr>
              <w:t xml:space="preserve">Read raw text file → Apply regex and keyword matching → Output structured Markdown tables and JSON</w:t>
            </w:r>
          </w:p>
        </w:tc>
      </w:tr>
    </w:tbl>
    <w:p>
      <w:pPr>
        <w:spacing w:before="120" w:after="200"/>
      </w:pPr>
      <w:r>
        <w:rPr>
          <w:rFonts w:ascii="Arial" w:cs="Arial" w:eastAsia="Arial" w:hAnsi="Arial"/>
          <w:sz w:val="21"/>
          <w:szCs w:val="21"/>
        </w:rPr>
        <w:t xml:space="preserve">Demo 1 extracts lots, eligibility criteria, scoring weights, deadlines, and budget from a free-text tender document (tender_hospital_milan.md) using regex pattern matching and string parsing. Demo 2 extracts client name, clinic, products of interest, budget, timeline, and sentiment from messy sales call notes. Demo 4 extracts device serial numbers, product names, issue descriptions, severity levels, and follow-up opportunities from a technician's raw field notes. In all three cases, unstructured human-written text is converted into structured, machine-readable data.</w:t>
      </w:r>
    </w:p>
    <w:p>
      <w:pPr>
        <w:spacing w:before="300" w:after="100"/>
      </w:pPr>
      <w:r>
        <w:rPr>
          <w:rFonts w:ascii="Arial" w:cs="Arial" w:eastAsia="Arial" w:hAnsi="Arial"/>
          <w:b/>
          <w:bCs/>
          <w:sz w:val="26"/>
          <w:szCs w:val="26"/>
        </w:rPr>
        <w:t xml:space="preserve">Task 6: Read and export .docx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02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20"/>
                <w:szCs w:val="20"/>
              </w:rPr>
              <w:t xml:space="preserve">COMPLETED</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Demo(s)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 1 (Tender Parser)</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How</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444444"/>
                <w:sz w:val="20"/>
                <w:szCs w:val="20"/>
              </w:rPr>
              <w:t xml:space="preserve">Script generates Markdown report → Converts to .docx using python-docx → Saves to output/ folder</w:t>
            </w:r>
          </w:p>
        </w:tc>
      </w:tr>
    </w:tbl>
    <w:p>
      <w:pPr>
        <w:spacing w:before="120" w:after="200"/>
      </w:pPr>
      <w:r>
        <w:rPr>
          <w:rFonts w:ascii="Arial" w:cs="Arial" w:eastAsia="Arial" w:hAnsi="Arial"/>
          <w:sz w:val="21"/>
          <w:szCs w:val="21"/>
        </w:rPr>
        <w:t xml:space="preserve">Demo 1's 3C prompt specifies exporting the tender analysis report as a .docx file in addition to Markdown. The script attempts to use python-docx to create a Word document from the analysis. When python-docx is not installed, it gracefully skips the export and notes this in the terminal output. With the library installed (pip install python-docx), a full .docx report is generated alongside the .md file.</w:t>
      </w:r>
    </w:p>
    <w:p>
      <w:pPr>
        <w:spacing w:before="300" w:after="100"/>
      </w:pPr>
      <w:r>
        <w:rPr>
          <w:rFonts w:ascii="Arial" w:cs="Arial" w:eastAsia="Arial" w:hAnsi="Arial"/>
          <w:b/>
          <w:bCs/>
          <w:sz w:val="26"/>
          <w:szCs w:val="26"/>
        </w:rPr>
        <w:t xml:space="preserve">Task 7: Use @folder to provide a folder as context in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02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20"/>
                <w:szCs w:val="20"/>
              </w:rPr>
              <w:t xml:space="preserve">COMPLETED</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Demo(s)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setup and overview</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How</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444444"/>
                <w:sz w:val="20"/>
                <w:szCs w:val="20"/>
              </w:rPr>
              <w:t xml:space="preserve">In Agent chat: @folder brighteyes_v2 → Ask agent to summarize the project structure</w:t>
            </w:r>
          </w:p>
        </w:tc>
      </w:tr>
    </w:tbl>
    <w:p>
      <w:pPr>
        <w:spacing w:before="120" w:after="200"/>
      </w:pPr>
      <w:r>
        <w:rPr>
          <w:rFonts w:ascii="Arial" w:cs="Arial" w:eastAsia="Arial" w:hAnsi="Arial"/>
          <w:sz w:val="21"/>
          <w:szCs w:val="21"/>
        </w:rPr>
        <w:t xml:space="preserve">Used @folder to give Cursor's agent the full context of the brighteyes project when asking for project-wide questions. For example, when asking the agent to summarize what the project does or to generate the README, @folder was used to point to the root brighteyes_v2/ directory so the agent could see all demo folders, data files, and configuration.</w:t>
      </w:r>
    </w:p>
    <w:p>
      <w:pPr>
        <w:spacing w:before="300" w:after="100"/>
      </w:pPr>
      <w:r>
        <w:rPr>
          <w:rFonts w:ascii="Arial" w:cs="Arial" w:eastAsia="Arial" w:hAnsi="Arial"/>
          <w:b/>
          <w:bCs/>
          <w:sz w:val="26"/>
          <w:szCs w:val="26"/>
        </w:rPr>
        <w:t xml:space="preserve">Task 8: Use comment-oriented programming to generate a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02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20"/>
                <w:szCs w:val="20"/>
              </w:rPr>
              <w:t xml:space="preserve">COMPLETED</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Demo(s)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5 demos</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How</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444444"/>
                <w:sz w:val="20"/>
                <w:szCs w:val="20"/>
              </w:rPr>
              <w:t xml:space="preserve">3C prompt describes function goals → Cursor generates functions with docstrings → Functions are well-commented</w:t>
            </w:r>
          </w:p>
        </w:tc>
      </w:tr>
    </w:tbl>
    <w:p>
      <w:pPr>
        <w:spacing w:before="120" w:after="200"/>
      </w:pPr>
      <w:r>
        <w:rPr>
          <w:rFonts w:ascii="Arial" w:cs="Arial" w:eastAsia="Arial" w:hAnsi="Arial"/>
          <w:sz w:val="21"/>
          <w:szCs w:val="21"/>
        </w:rPr>
        <w:t xml:space="preserve">All scripts generated by Cursor's agent contain well-structured Python functions with descriptive docstrings. The 3C prompts specify 'keep the code well-commented so non-developers can understand what each section does.' Cursor generated functions like parse_tender(), check_eligibility(), match_products(), and generate_report() from our high-level descriptions. The comments serve as both documentation and as the prompts that guided code generation.</w:t>
      </w:r>
    </w:p>
    <w:p>
      <w:pPr>
        <w:spacing w:before="300" w:after="100"/>
      </w:pPr>
      <w:r>
        <w:rPr>
          <w:rFonts w:ascii="Arial" w:cs="Arial" w:eastAsia="Arial" w:hAnsi="Arial"/>
          <w:b/>
          <w:bCs/>
          <w:sz w:val="26"/>
          <w:szCs w:val="26"/>
        </w:rPr>
        <w:t xml:space="preserve">Task 9: Generate a README or usage note from existing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02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20"/>
                <w:szCs w:val="20"/>
              </w:rPr>
              <w:t xml:space="preserve">COMPLETED</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Demo(s)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Project-level</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How</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444444"/>
                <w:sz w:val="20"/>
                <w:szCs w:val="20"/>
              </w:rPr>
              <w:t xml:space="preserve">Created README.md with project overview, demo descriptions, run commands, and file structure</w:t>
            </w:r>
          </w:p>
        </w:tc>
      </w:tr>
    </w:tbl>
    <w:p>
      <w:pPr>
        <w:spacing w:before="120" w:after="200"/>
      </w:pPr>
      <w:r>
        <w:rPr>
          <w:rFonts w:ascii="Arial" w:cs="Arial" w:eastAsia="Arial" w:hAnsi="Arial"/>
          <w:sz w:val="21"/>
          <w:szCs w:val="21"/>
        </w:rPr>
        <w:t xml:space="preserve">README.md was generated to describe the full BrightEyes project: the company narrative, all 5 demos with their input/output descriptions, how to run each script, the bingo card coverage matrix, the 10-minute presentation structure with timing, and the complete file tree. This serves as both documentation and a quick-start guide for teammates.</w:t>
      </w:r>
    </w:p>
    <w:p>
      <w:pPr>
        <w:spacing w:before="300" w:after="100"/>
      </w:pPr>
      <w:r>
        <w:rPr>
          <w:rFonts w:ascii="Arial" w:cs="Arial" w:eastAsia="Arial" w:hAnsi="Arial"/>
          <w:b/>
          <w:bCs/>
          <w:sz w:val="26"/>
          <w:szCs w:val="26"/>
        </w:rPr>
        <w:t xml:space="preserve">Task 10: Inspect a CSV / JSON file and summarize key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02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20"/>
                <w:szCs w:val="20"/>
              </w:rPr>
              <w:t xml:space="preserve">COMPLETED</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Demo(s)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 3 (CSV), Demo 4 (JSON), Demo 5 (CSV)</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How</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444444"/>
                <w:sz w:val="20"/>
                <w:szCs w:val="20"/>
              </w:rPr>
              <w:t xml:space="preserve">Load CSV/JSON → Aggregate metrics → Identify outliers and trends → Print pattern summary to terminal</w:t>
            </w:r>
          </w:p>
        </w:tc>
      </w:tr>
    </w:tbl>
    <w:p>
      <w:pPr>
        <w:spacing w:before="120" w:after="200"/>
      </w:pPr>
      <w:r>
        <w:rPr>
          <w:rFonts w:ascii="Arial" w:cs="Arial" w:eastAsia="Arial" w:hAnsi="Arial"/>
          <w:sz w:val="21"/>
          <w:szCs w:val="21"/>
        </w:rPr>
        <w:t xml:space="preserve">Demo 3 inspects purchase_history.csv and summarizes key patterns: OptiLens GmbH is the largest supplier by spend with perfect quality, while Shenzhen Optocore has declining quality (3.1/5) with 6 incidents. Demo 5 inspects weekly_metrics.csv and identifies that W12 has 8 alerts including a 50% revenue drop and rising support tickets. Demo 4 generates and inspects a JSON export, summarizing device installations and categorized issues.</w:t>
      </w:r>
    </w:p>
    <w:p>
      <w:pPr>
        <w:spacing w:before="300" w:after="100"/>
      </w:pPr>
      <w:r>
        <w:rPr>
          <w:rFonts w:ascii="Arial" w:cs="Arial" w:eastAsia="Arial" w:hAnsi="Arial"/>
          <w:b/>
          <w:bCs/>
          <w:sz w:val="26"/>
          <w:szCs w:val="26"/>
        </w:rPr>
        <w:t xml:space="preserve">Task 11: Turn rough notes into a clean Markdown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02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20"/>
                <w:szCs w:val="20"/>
              </w:rPr>
              <w:t xml:space="preserve">COMPLETED</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Demo(s)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 4 (Installation Report)</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How</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444444"/>
                <w:sz w:val="20"/>
                <w:szCs w:val="20"/>
              </w:rPr>
              <w:t xml:space="preserve">Read messy .txt → Parse with regex → Generate clean .md with tables, headers, and structured sections</w:t>
            </w:r>
          </w:p>
        </w:tc>
      </w:tr>
    </w:tbl>
    <w:p>
      <w:pPr>
        <w:spacing w:before="120" w:after="200"/>
      </w:pPr>
      <w:r>
        <w:rPr>
          <w:rFonts w:ascii="Arial" w:cs="Arial" w:eastAsia="Arial" w:hAnsi="Arial"/>
          <w:sz w:val="21"/>
          <w:szCs w:val="21"/>
        </w:rPr>
        <w:t xml:space="preserve">Demo 4 takes field_notes_verdi.txt, a raw, unstructured text file written by a technician in casual language with abbreviations, tangential comments ('traffic on tangenziale was terrible'), and mixed formatting. The script extracts the structured data and produces installation_report_verdi.md: a clean Markdown document with a summary table, a devices table (product names, serial numbers, status), an issues table (description, category, severity), and routed action items for each team.</w:t>
      </w:r>
    </w:p>
    <w:p>
      <w:pPr>
        <w:spacing w:before="300" w:after="100"/>
      </w:pPr>
      <w:r>
        <w:rPr>
          <w:rFonts w:ascii="Arial" w:cs="Arial" w:eastAsia="Arial" w:hAnsi="Arial"/>
          <w:b/>
          <w:bCs/>
          <w:sz w:val="26"/>
          <w:szCs w:val="26"/>
        </w:rPr>
        <w:t xml:space="preserve">Task 12: Use a CER card to debug a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02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20"/>
                <w:szCs w:val="20"/>
              </w:rPr>
              <w:t xml:space="preserve">COMPLETED</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Demo(s)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During demo builds</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How</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444444"/>
                <w:sz w:val="20"/>
                <w:szCs w:val="20"/>
              </w:rPr>
              <w:t xml:space="preserve">Script fails → Copy error from terminal → Paste in Agent chat with 'Fix it' → Agent corrects the code</w:t>
            </w:r>
          </w:p>
        </w:tc>
      </w:tr>
    </w:tbl>
    <w:p>
      <w:pPr>
        <w:spacing w:before="120" w:after="200"/>
      </w:pPr>
      <w:r>
        <w:rPr>
          <w:rFonts w:ascii="Arial" w:cs="Arial" w:eastAsia="Arial" w:hAnsi="Arial"/>
          <w:sz w:val="21"/>
          <w:szCs w:val="21"/>
        </w:rPr>
        <w:t xml:space="preserve">When scripts produced errors during development (e.g., python-docx not installed, regex not matching expected patterns, file paths incorrect), we used the CER diagnostic card. Context: what command was executed and in what environment. Error: the full error message copied from the terminal. Request: 'Fix this error' or 'Fix it and explain what went wrong.' The error text was selected in the terminal, added to the Agent chat, and the agent fixed the issue. This happened naturally during the build process for multiple demos.</w:t>
      </w:r>
    </w:p>
    <w:p>
      <w:pPr>
        <w:spacing w:before="300" w:after="100"/>
      </w:pPr>
      <w:r>
        <w:rPr>
          <w:rFonts w:ascii="Arial" w:cs="Arial" w:eastAsia="Arial" w:hAnsi="Arial"/>
          <w:b/>
          <w:bCs/>
          <w:sz w:val="26"/>
          <w:szCs w:val="26"/>
        </w:rPr>
        <w:t xml:space="preserve">Task 13: Update a .mdc rules file from a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02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20"/>
                <w:szCs w:val="20"/>
              </w:rPr>
              <w:t xml:space="preserve">COMPLETED</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Demo(s)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Bingo task</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How</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444444"/>
                <w:sz w:val="20"/>
                <w:szCs w:val="20"/>
              </w:rPr>
              <w:t xml:space="preserve">In Agent chat: 'Add a rule to .cursor/rules/brighteyes.mdc: [new rule]' → Agent edits the file</w:t>
            </w:r>
          </w:p>
        </w:tc>
      </w:tr>
    </w:tbl>
    <w:p>
      <w:pPr>
        <w:spacing w:before="120" w:after="200"/>
      </w:pPr>
      <w:r>
        <w:rPr>
          <w:rFonts w:ascii="Arial" w:cs="Arial" w:eastAsia="Arial" w:hAnsi="Arial"/>
          <w:sz w:val="21"/>
          <w:szCs w:val="21"/>
        </w:rPr>
        <w:t xml:space="preserve">After building the demos, we asked Cursor's Agent to update the rules file by prompting: 'Add a new rule to .cursor/rules/brighteyes.mdc: always print execution time at the end of each script.' The agent read the existing file, added the new rule, and saved it. This demonstrates using AI to maintain project conventions as you learn from the build process.</w:t>
      </w:r>
    </w:p>
    <w:p>
      <w:pPr>
        <w:spacing w:before="300" w:after="100"/>
      </w:pPr>
      <w:r>
        <w:rPr>
          <w:rFonts w:ascii="Arial" w:cs="Arial" w:eastAsia="Arial" w:hAnsi="Arial"/>
          <w:b/>
          <w:bCs/>
          <w:sz w:val="26"/>
          <w:szCs w:val="26"/>
        </w:rPr>
        <w:t xml:space="preserve">Task 14: Use a 3C card to build a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02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20"/>
                <w:szCs w:val="20"/>
              </w:rPr>
              <w:t xml:space="preserve">COMPLETED</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Demo(s)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5 demos</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How</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444444"/>
                <w:sz w:val="20"/>
                <w:szCs w:val="20"/>
              </w:rPr>
              <w:t xml:space="preserve">Open 3C_PROMPTS_ALL.md → Copy the relevant demo's 3C card → Paste into Agent chat with @file data references</w:t>
            </w:r>
          </w:p>
        </w:tc>
      </w:tr>
    </w:tbl>
    <w:p>
      <w:pPr>
        <w:spacing w:before="120" w:after="200"/>
      </w:pPr>
      <w:r>
        <w:rPr>
          <w:rFonts w:ascii="Arial" w:cs="Arial" w:eastAsia="Arial" w:hAnsi="Arial"/>
          <w:sz w:val="21"/>
          <w:szCs w:val="21"/>
        </w:rPr>
        <w:t xml:space="preserve">Every demo was built using a 3C card from 3C_PROMPTS_ALL.md. Each card follows the structure taught in Lab 3: Context (what is the goal and who is the user), Components (what specific steps to build), Criteria (what constraints and rules must be followed). For example, Demo 1's 3C card specifies: Context = BrightEyes responds to hospital tenders, Components = read tender, extract data, check eligibility, match products, generate report, Criteria = all output in English, use emojis, flag risks, include scoring weights. The 3C card was pasted directly into Cursor's Agent chat with @file references to data files.</w:t>
      </w:r>
    </w:p>
    <w:p>
      <w:pPr>
        <w:spacing w:before="300" w:after="100"/>
      </w:pPr>
      <w:r>
        <w:rPr>
          <w:rFonts w:ascii="Arial" w:cs="Arial" w:eastAsia="Arial" w:hAnsi="Arial"/>
          <w:b/>
          <w:bCs/>
          <w:sz w:val="26"/>
          <w:szCs w:val="26"/>
        </w:rPr>
        <w:t xml:space="preserve">Task 15: Read a Google Slide file and export to Google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02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bCs/>
                <w:color w:val="9C0006"/>
                <w:sz w:val="20"/>
                <w:szCs w:val="20"/>
              </w:rPr>
              <w:t xml:space="preserve">NOT COMPLETED</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Demo(s)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How</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444444"/>
                <w:sz w:val="20"/>
                <w:szCs w:val="20"/>
              </w:rPr>
              <w:t xml:space="preserve">N/A</w:t>
            </w:r>
          </w:p>
        </w:tc>
      </w:tr>
    </w:tbl>
    <w:p>
      <w:pPr>
        <w:spacing w:before="120" w:after="200"/>
      </w:pPr>
      <w:r>
        <w:rPr>
          <w:rFonts w:ascii="Arial" w:cs="Arial" w:eastAsia="Arial" w:hAnsi="Arial"/>
          <w:sz w:val="21"/>
          <w:szCs w:val="21"/>
        </w:rPr>
        <w:t xml:space="preserve">This task was not completed as it requires a Google Slides file and Google Drive integration, which were not part of the BrightEyes project scope.</w:t>
      </w:r>
    </w:p>
    <w:p>
      <w:pPr>
        <w:spacing w:before="300" w:after="100"/>
      </w:pPr>
      <w:r>
        <w:rPr>
          <w:rFonts w:ascii="Arial" w:cs="Arial" w:eastAsia="Arial" w:hAnsi="Arial"/>
          <w:b/>
          <w:bCs/>
          <w:sz w:val="26"/>
          <w:szCs w:val="26"/>
        </w:rPr>
        <w:t xml:space="preserve">Task 16: Use Open Web UI in any of your demos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02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bCs/>
                <w:color w:val="9C0006"/>
                <w:sz w:val="20"/>
                <w:szCs w:val="20"/>
              </w:rPr>
              <w:t xml:space="preserve">NOT COMPLETED (RED TASK)</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Demo(s)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How</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444444"/>
                <w:sz w:val="20"/>
                <w:szCs w:val="20"/>
              </w:rPr>
              <w:t xml:space="preserve">N/A</w:t>
            </w:r>
          </w:p>
        </w:tc>
      </w:tr>
    </w:tbl>
    <w:p>
      <w:pPr>
        <w:spacing w:before="120" w:after="200"/>
      </w:pPr>
      <w:r>
        <w:rPr>
          <w:rFonts w:ascii="Arial" w:cs="Arial" w:eastAsia="Arial" w:hAnsi="Arial"/>
          <w:sz w:val="21"/>
          <w:szCs w:val="21"/>
        </w:rPr>
        <w:t xml:space="preserve">This is a red/challenge task. Open Web UI was not set up for this project.</w:t>
      </w:r>
    </w:p>
    <w:p>
      <w:pPr>
        <w:spacing w:before="300" w:after="100"/>
      </w:pPr>
      <w:r>
        <w:rPr>
          <w:rFonts w:ascii="Arial" w:cs="Arial" w:eastAsia="Arial" w:hAnsi="Arial"/>
          <w:b/>
          <w:bCs/>
          <w:sz w:val="26"/>
          <w:szCs w:val="26"/>
        </w:rPr>
        <w:t xml:space="preserve">Task 17: Ask Cursor to explain an unfamiliar code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02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20"/>
                <w:szCs w:val="20"/>
              </w:rPr>
              <w:t xml:space="preserve">COMPLETED</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Demo(s)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During builds</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How</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444444"/>
                <w:sz w:val="20"/>
                <w:szCs w:val="20"/>
              </w:rPr>
              <w:t xml:space="preserve">Open generated .py file → In Agent chat: 'Explain how [section] works' → Agent explains the logic</w:t>
            </w:r>
          </w:p>
        </w:tc>
      </w:tr>
    </w:tbl>
    <w:p>
      <w:pPr>
        <w:spacing w:before="120" w:after="200"/>
      </w:pPr>
      <w:r>
        <w:rPr>
          <w:rFonts w:ascii="Arial" w:cs="Arial" w:eastAsia="Arial" w:hAnsi="Arial"/>
          <w:sz w:val="21"/>
          <w:szCs w:val="21"/>
        </w:rPr>
        <w:t xml:space="preserve">After Cursor's agent generated the tender_parser.py script, we asked the agent to explain specific sections: 'Explain how the eligibility check works' and 'Explain the regex patterns used to parse the tender lots.' The agent walked through the code logic, explaining how each regex pattern matches tender sections and how the eligibility criteria are compared against the company profile. This helped us understand and validate the generated code.</w:t>
      </w:r>
    </w:p>
    <w:p>
      <w:pPr>
        <w:spacing w:before="300" w:after="100"/>
      </w:pPr>
      <w:r>
        <w:rPr>
          <w:rFonts w:ascii="Arial" w:cs="Arial" w:eastAsia="Arial" w:hAnsi="Arial"/>
          <w:b/>
          <w:bCs/>
          <w:sz w:val="26"/>
          <w:szCs w:val="26"/>
        </w:rPr>
        <w:t xml:space="preserve">Task 18: Use objective-oriented programming to complete a multi-step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02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20"/>
                <w:szCs w:val="20"/>
              </w:rPr>
              <w:t xml:space="preserve">COMPLETED</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Demo(s)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 3 (Supplier Analysis), Demo 5 (WBR)</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How</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444444"/>
                <w:sz w:val="20"/>
                <w:szCs w:val="20"/>
              </w:rPr>
              <w:t xml:space="preserve">Give high-level objective in 3C prompt → Agent plans steps → Agent writes multi-function script → Run and verify</w:t>
            </w:r>
          </w:p>
        </w:tc>
      </w:tr>
    </w:tbl>
    <w:p>
      <w:pPr>
        <w:spacing w:before="120" w:after="200"/>
      </w:pPr>
      <w:r>
        <w:rPr>
          <w:rFonts w:ascii="Arial" w:cs="Arial" w:eastAsia="Arial" w:hAnsi="Arial"/>
          <w:sz w:val="21"/>
          <w:szCs w:val="21"/>
        </w:rPr>
        <w:t xml:space="preserve">For Demo 3 and Demo 5, we used objective-oriented programming as taught in Lesson 4: describe the desired outcome and let the agent plan and execute. The 3C prompt gives a high-level objective ('analyze supplier performance and generate a negotiation brief') without specifying every line of code. The agent planned the steps: load data, aggregate per supplier, compute trends, assign risk levels, generate talking points, and output the report. It made architectural decisions (which data structures to use, how to sort, what threshold for risk levels) autonomously.</w:t>
      </w:r>
    </w:p>
    <w:p>
      <w:pPr>
        <w:spacing w:before="300" w:after="100"/>
      </w:pPr>
      <w:r>
        <w:rPr>
          <w:rFonts w:ascii="Arial" w:cs="Arial" w:eastAsia="Arial" w:hAnsi="Arial"/>
          <w:b/>
          <w:bCs/>
          <w:sz w:val="26"/>
          <w:szCs w:val="26"/>
        </w:rPr>
        <w:t xml:space="preserve">Task 19: Use @file to give a file as context in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02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20"/>
                <w:szCs w:val="20"/>
              </w:rPr>
              <w:t xml:space="preserve">COMPLETED</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Demo(s)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5 demos</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How</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444444"/>
                <w:sz w:val="20"/>
                <w:szCs w:val="20"/>
              </w:rPr>
              <w:t xml:space="preserve">In Agent chat: @file [path] for each relevant file → Agent reads all files → Builds the script with full context</w:t>
            </w:r>
          </w:p>
        </w:tc>
      </w:tr>
    </w:tbl>
    <w:p>
      <w:pPr>
        <w:spacing w:before="120" w:after="200"/>
      </w:pPr>
      <w:r>
        <w:rPr>
          <w:rFonts w:ascii="Arial" w:cs="Arial" w:eastAsia="Arial" w:hAnsi="Arial"/>
          <w:sz w:val="21"/>
          <w:szCs w:val="21"/>
        </w:rPr>
        <w:t xml:space="preserve">Every demo build used @file to pass context to Cursor's Agent. The pattern was: @file 3C_PROMPTS_ALL.md (the instructions), @file company_context.md (BrightEyes profile), and @file [data file] (the specific input for that demo). For example, Demo 1 used: @file 3C_PROMPTS_ALL.md @file company_context.md @file demo1_tender/data/tender_hospital_milan.md. This gave the agent all the information it needed to build each script correctly.</w:t>
      </w:r>
    </w:p>
    <w:p>
      <w:pPr>
        <w:spacing w:before="300" w:after="100"/>
      </w:pPr>
      <w:r>
        <w:rPr>
          <w:rFonts w:ascii="Arial" w:cs="Arial" w:eastAsia="Arial" w:hAnsi="Arial"/>
          <w:b/>
          <w:bCs/>
          <w:sz w:val="26"/>
          <w:szCs w:val="26"/>
        </w:rPr>
        <w:t xml:space="preserve">Task 20: Use Ollama in any of your demos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02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bCs/>
                <w:color w:val="9C0006"/>
                <w:sz w:val="20"/>
                <w:szCs w:val="20"/>
              </w:rPr>
              <w:t xml:space="preserve">NOT COMPLETED (RED TASK)</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Demo(s)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How</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444444"/>
                <w:sz w:val="20"/>
                <w:szCs w:val="20"/>
              </w:rPr>
              <w:t xml:space="preserve">N/A</w:t>
            </w:r>
          </w:p>
        </w:tc>
      </w:tr>
    </w:tbl>
    <w:p>
      <w:pPr>
        <w:spacing w:before="120" w:after="200"/>
      </w:pPr>
      <w:r>
        <w:rPr>
          <w:rFonts w:ascii="Arial" w:cs="Arial" w:eastAsia="Arial" w:hAnsi="Arial"/>
          <w:sz w:val="21"/>
          <w:szCs w:val="21"/>
        </w:rPr>
        <w:t xml:space="preserve">This is a red/challenge task. Ollama local model serving was not set up for this project.</w:t>
      </w:r>
    </w:p>
    <w:p>
      <w:pPr>
        <w:spacing w:before="300" w:after="100"/>
      </w:pPr>
      <w:r>
        <w:rPr>
          <w:rFonts w:ascii="Arial" w:cs="Arial" w:eastAsia="Arial" w:hAnsi="Arial"/>
          <w:b/>
          <w:bCs/>
          <w:sz w:val="26"/>
          <w:szCs w:val="26"/>
        </w:rPr>
        <w:t xml:space="preserve">Task 21: Use Cursor Plan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02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20"/>
                <w:szCs w:val="20"/>
              </w:rPr>
              <w:t xml:space="preserve">COMPLETED</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Demo(s)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During builds</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How</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444444"/>
                <w:sz w:val="20"/>
                <w:szCs w:val="20"/>
              </w:rPr>
              <w:t xml:space="preserve">Toggle Plan mode in Agent settings → Agent shows planned changes → Review before accepting</w:t>
            </w:r>
          </w:p>
        </w:tc>
      </w:tr>
    </w:tbl>
    <w:p>
      <w:pPr>
        <w:spacing w:before="120" w:after="200"/>
      </w:pPr>
      <w:r>
        <w:rPr>
          <w:rFonts w:ascii="Arial" w:cs="Arial" w:eastAsia="Arial" w:hAnsi="Arial"/>
          <w:sz w:val="21"/>
          <w:szCs w:val="21"/>
        </w:rPr>
        <w:t xml:space="preserve">Used Cursor's Plan mode to preview what changes the agent would make before accepting them. When building complex demos, Plan mode showed which files would be created or modified, allowing us to review the plan before the agent executed it. This is especially useful for multi-file changes to avoid unintended modifications.</w:t>
      </w:r>
    </w:p>
    <w:p>
      <w:pPr>
        <w:spacing w:before="300" w:after="100"/>
      </w:pPr>
      <w:r>
        <w:rPr>
          <w:rFonts w:ascii="Arial" w:cs="Arial" w:eastAsia="Arial" w:hAnsi="Arial"/>
          <w:b/>
          <w:bCs/>
          <w:sz w:val="26"/>
          <w:szCs w:val="26"/>
        </w:rPr>
        <w:t xml:space="preserve">Task 22: Connect the Cursor to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02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bCs/>
                <w:color w:val="9C0006"/>
                <w:sz w:val="20"/>
                <w:szCs w:val="20"/>
              </w:rPr>
              <w:t xml:space="preserve">NOT COMPLETED (RED TASK)</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Demo(s)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How</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444444"/>
                <w:sz w:val="20"/>
                <w:szCs w:val="20"/>
              </w:rPr>
              <w:t xml:space="preserve">N/A</w:t>
            </w:r>
          </w:p>
        </w:tc>
      </w:tr>
    </w:tbl>
    <w:p>
      <w:pPr>
        <w:spacing w:before="120" w:after="200"/>
      </w:pPr>
      <w:r>
        <w:rPr>
          <w:rFonts w:ascii="Arial" w:cs="Arial" w:eastAsia="Arial" w:hAnsi="Arial"/>
          <w:sz w:val="21"/>
          <w:szCs w:val="21"/>
        </w:rPr>
        <w:t xml:space="preserve">This is a red/challenge task. GitHub repository connection was not set up for this project.</w:t>
      </w:r>
    </w:p>
    <w:p>
      <w:pPr>
        <w:spacing w:before="300" w:after="100"/>
      </w:pPr>
      <w:r>
        <w:rPr>
          <w:rFonts w:ascii="Arial" w:cs="Arial" w:eastAsia="Arial" w:hAnsi="Arial"/>
          <w:b/>
          <w:bCs/>
          <w:sz w:val="26"/>
          <w:szCs w:val="26"/>
        </w:rPr>
        <w:t xml:space="preserve">Task 23: Analyze a .db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02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20"/>
                <w:szCs w:val="20"/>
              </w:rPr>
              <w:t xml:space="preserve">COMPLETED</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Demo(s)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Bingo task (bingo_analyze_db.py)</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How</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444444"/>
                <w:sz w:val="20"/>
                <w:szCs w:val="20"/>
              </w:rPr>
              <w:t xml:space="preserve">Create SQLite DB from CSV → Run SQL queries (GROUP BY, HAVING, aggregate functions) → Print analysis</w:t>
            </w:r>
          </w:p>
        </w:tc>
      </w:tr>
    </w:tbl>
    <w:p>
      <w:pPr>
        <w:spacing w:before="120" w:after="200"/>
      </w:pPr>
      <w:r>
        <w:rPr>
          <w:rFonts w:ascii="Arial" w:cs="Arial" w:eastAsia="Arial" w:hAnsi="Arial"/>
          <w:sz w:val="21"/>
          <w:szCs w:val="21"/>
        </w:rPr>
        <w:t xml:space="preserve">Created bingo_analyze_db.py, which loads purchase_history.csv into a SQLite database (suppliers.db), then runs four SQL queries: (1) total spend per supplier with average quality and delivery time, (2) risky suppliers with quality below 4.0, (3) price trends showing first-to-last price changes per component, and (4) overall procurement statistics. The script creates the .db file, queries it, and prints formatted results with emojis to the terminal.</w:t>
      </w:r>
    </w:p>
    <w:p>
      <w:pPr>
        <w:spacing w:before="300" w:after="100"/>
      </w:pPr>
      <w:r>
        <w:rPr>
          <w:rFonts w:ascii="Arial" w:cs="Arial" w:eastAsia="Arial" w:hAnsi="Arial"/>
          <w:b/>
          <w:bCs/>
          <w:sz w:val="26"/>
          <w:szCs w:val="26"/>
        </w:rPr>
        <w:t xml:space="preserve">Task 24: Ask Cursor to summarize a folder / codebase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02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20"/>
                <w:szCs w:val="20"/>
              </w:rPr>
              <w:t xml:space="preserve">COMPLETED</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Demo(s)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Project-level</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How</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444444"/>
                <w:sz w:val="20"/>
                <w:szCs w:val="20"/>
              </w:rPr>
              <w:t xml:space="preserve">In Agent chat: @folder brighteyes_v2 'Summarize this project' → Agent provides structured overview</w:t>
            </w:r>
          </w:p>
        </w:tc>
      </w:tr>
    </w:tbl>
    <w:p>
      <w:pPr>
        <w:spacing w:before="120" w:after="200"/>
      </w:pPr>
      <w:r>
        <w:rPr>
          <w:rFonts w:ascii="Arial" w:cs="Arial" w:eastAsia="Arial" w:hAnsi="Arial"/>
          <w:sz w:val="21"/>
          <w:szCs w:val="21"/>
        </w:rPr>
        <w:t xml:space="preserve">Asked Cursor's agent to summarize the brighteyes_v2 project structure: 'Summarize what this project does, what each demo folder contains, and how the demos relate to each other.' The agent scanned the folder structure, read the README and key files, and provided a structured summary of the 5 demos, their inputs/outputs, and the BrightEyes company context.</w:t>
      </w:r>
    </w:p>
    <w:p>
      <w:pPr>
        <w:spacing w:before="300" w:after="100"/>
      </w:pPr>
      <w:r>
        <w:rPr>
          <w:rFonts w:ascii="Arial" w:cs="Arial" w:eastAsia="Arial" w:hAnsi="Arial"/>
          <w:b/>
          <w:bCs/>
          <w:sz w:val="26"/>
          <w:szCs w:val="26"/>
        </w:rPr>
        <w:t xml:space="preserve">Task 25: Perform a data analytics or data science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02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006100"/>
                <w:sz w:val="20"/>
                <w:szCs w:val="20"/>
              </w:rPr>
              <w:t xml:space="preserve">COMPLETED</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Demo(s)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 3 (Supplier Analysis), Demo 5 (WBR)</w:t>
            </w:r>
          </w:p>
        </w:tc>
      </w:tr>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How</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444444"/>
                <w:sz w:val="20"/>
                <w:szCs w:val="20"/>
              </w:rPr>
              <w:t xml:space="preserve">Load data → Aggregate → Calculate trends → Detect anomalies → Score risk → Generate recommendations</w:t>
            </w:r>
          </w:p>
        </w:tc>
      </w:tr>
    </w:tbl>
    <w:p>
      <w:pPr>
        <w:spacing w:before="120" w:after="200"/>
      </w:pPr>
      <w:r>
        <w:rPr>
          <w:rFonts w:ascii="Arial" w:cs="Arial" w:eastAsia="Arial" w:hAnsi="Arial"/>
          <w:sz w:val="21"/>
          <w:szCs w:val="21"/>
        </w:rPr>
        <w:t xml:space="preserve">Demo 3 performs a complete procurement analytics workflow: data loading, per-supplier aggregation, trend analysis (price changes over time), quality scoring (average ratings and incident counting), risk classification (thresholds: HIGH &lt; 3.5, MEDIUM &lt; 4.0), and strategic recommendations with quantified savings potential (5% target = ~24K EUR). Demo 5 performs business performance analytics: week-over-week change calculation, anomaly detection (flagging metrics that move more than 20%), YTD aggregation, win rate calculation, marketing ROI computation, and auto-generated narrative with data-driven action items assigned to specific owners.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pPr>
    <w:rPr>
      <w:rFonts w:ascii="Arial" w:cs="Arial" w:eastAsia="Arial" w:hAnsi="Arial"/>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2026-03-24T10:12:17.625Z</dcterms:created>
  <dcterms:modified xsi:type="dcterms:W3CDTF">2026-03-24T10:12:17.626Z</dcterms:modified>
</cp:coreProperties>
</file>

<file path=docProps/custom.xml><?xml version="1.0" encoding="utf-8"?>
<Properties xmlns="http://schemas.openxmlformats.org/officeDocument/2006/custom-properties" xmlns:vt="http://schemas.openxmlformats.org/officeDocument/2006/docPropsVTypes"/>
</file>