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1F0B" w14:textId="6A7723CF" w:rsidR="00383990" w:rsidRPr="00100873" w:rsidRDefault="00100873" w:rsidP="00967788">
      <w:pPr>
        <w:pStyle w:val="Title"/>
        <w:jc w:val="center"/>
        <w:rPr>
          <w:rFonts w:ascii="Times New Roman" w:hAnsi="Times New Roman" w:cs="Times New Roman"/>
        </w:rPr>
      </w:pPr>
      <w:r w:rsidRPr="00100873">
        <w:rPr>
          <w:rFonts w:ascii="Times New Roman" w:hAnsi="Times New Roman" w:cs="Times New Roman"/>
        </w:rPr>
        <w:t>Resilience Engineering Framework Integration in Off-Grid Renewable Energy Systems</w:t>
      </w:r>
    </w:p>
    <w:p w14:paraId="1E5E05DD"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1813C3E2"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AUTHORS</w:t>
      </w:r>
    </w:p>
    <w:p w14:paraId="494E6B5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#NameSurname</w:t>
      </w:r>
    </w:p>
    <w:p w14:paraId="607922A7"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#Dept</w:t>
      </w:r>
    </w:p>
    <w:p w14:paraId="22333B0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#Uni</w:t>
      </w:r>
    </w:p>
    <w:p w14:paraId="226C7DFF"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#City,Country</w:t>
      </w:r>
    </w:p>
    <w:p w14:paraId="372A5C2E" w14:textId="77777777" w:rsidR="00100873" w:rsidRDefault="00100873" w:rsidP="003C57DD">
      <w:pPr>
        <w:spacing w:after="0" w:line="240" w:lineRule="auto"/>
        <w:jc w:val="both"/>
        <w:rPr>
          <w:rFonts w:ascii="Times New Roman" w:eastAsia="Times New Roman" w:hAnsi="Times New Roman" w:cs="Times New Roman"/>
          <w:color w:val="000000"/>
          <w:kern w:val="0"/>
          <w14:ligatures w14:val="none"/>
        </w:rPr>
      </w:pPr>
      <w:r w:rsidRPr="00100873">
        <w:rPr>
          <w:rFonts w:ascii="Times New Roman" w:eastAsia="Times New Roman" w:hAnsi="Times New Roman" w:cs="Times New Roman"/>
          <w:color w:val="000000"/>
          <w:kern w:val="0"/>
          <w14:ligatures w14:val="none"/>
        </w:rPr>
        <w:t>#Contact</w:t>
      </w:r>
    </w:p>
    <w:p w14:paraId="401768B4" w14:textId="77777777" w:rsidR="00967788" w:rsidRDefault="00967788" w:rsidP="003C57DD">
      <w:pPr>
        <w:spacing w:after="0" w:line="240" w:lineRule="auto"/>
        <w:jc w:val="both"/>
        <w:rPr>
          <w:rFonts w:ascii="Times New Roman" w:eastAsia="Times New Roman" w:hAnsi="Times New Roman" w:cs="Times New Roman"/>
          <w:color w:val="000000"/>
          <w:kern w:val="0"/>
          <w14:ligatures w14:val="none"/>
        </w:rPr>
      </w:pPr>
    </w:p>
    <w:p w14:paraId="37AB6D8F" w14:textId="42BFF84A" w:rsidR="00967788" w:rsidRDefault="00967788" w:rsidP="003C57DD">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Pier Luca Anania</w:t>
      </w:r>
    </w:p>
    <w:p w14:paraId="26DB444E" w14:textId="380B5F5D" w:rsidR="00967788" w:rsidRDefault="00967788" w:rsidP="003C57DD">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Sapienza University of Rome, (or TS?)</w:t>
      </w:r>
    </w:p>
    <w:p w14:paraId="2AE4F789" w14:textId="3BD00D5D" w:rsidR="00967788" w:rsidRDefault="00967788" w:rsidP="003C57DD">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Rome, Italy</w:t>
      </w:r>
    </w:p>
    <w:p w14:paraId="32BE1F35" w14:textId="77777777" w:rsidR="00967788" w:rsidRDefault="00967788" w:rsidP="003C57DD">
      <w:pPr>
        <w:spacing w:after="0" w:line="240" w:lineRule="auto"/>
        <w:jc w:val="both"/>
        <w:rPr>
          <w:rFonts w:ascii="Times New Roman" w:eastAsia="Times New Roman" w:hAnsi="Times New Roman" w:cs="Times New Roman"/>
          <w:color w:val="000000"/>
          <w:kern w:val="0"/>
          <w14:ligatures w14:val="none"/>
        </w:rPr>
      </w:pPr>
    </w:p>
    <w:p w14:paraId="61D4B407" w14:textId="77777777" w:rsidR="00967788" w:rsidRPr="00100873" w:rsidRDefault="00967788" w:rsidP="003C57DD">
      <w:pPr>
        <w:spacing w:after="0" w:line="240" w:lineRule="auto"/>
        <w:jc w:val="both"/>
        <w:rPr>
          <w:rFonts w:ascii="Times New Roman" w:eastAsia="Times New Roman" w:hAnsi="Times New Roman" w:cs="Times New Roman"/>
          <w:color w:val="000000"/>
          <w:kern w:val="0"/>
          <w14:ligatures w14:val="none"/>
        </w:rPr>
      </w:pPr>
    </w:p>
    <w:p w14:paraId="75F744CB" w14:textId="77777777" w:rsidR="00100873" w:rsidRPr="00100873" w:rsidRDefault="00100873" w:rsidP="003C57DD">
      <w:pPr>
        <w:spacing w:after="0" w:line="240" w:lineRule="auto"/>
        <w:jc w:val="both"/>
        <w:rPr>
          <w:rFonts w:ascii="Times New Roman" w:eastAsia="Times New Roman" w:hAnsi="Times New Roman" w:cs="Times New Roman"/>
          <w:color w:val="000000"/>
          <w:kern w:val="0"/>
          <w14:ligatures w14:val="none"/>
        </w:rPr>
      </w:pPr>
    </w:p>
    <w:p w14:paraId="6F1F218E"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ABSTRACT </w:t>
      </w:r>
    </w:p>
    <w:p w14:paraId="1857446B"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66E86BD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To Be Written</w:t>
      </w:r>
    </w:p>
    <w:p w14:paraId="7D7E5FC3" w14:textId="77777777" w:rsidR="00100873" w:rsidRPr="00100873" w:rsidRDefault="00100873" w:rsidP="003C57DD">
      <w:pPr>
        <w:numPr>
          <w:ilvl w:val="0"/>
          <w:numId w:val="1"/>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Introduction</w:t>
      </w:r>
    </w:p>
    <w:p w14:paraId="742CA64F" w14:textId="77FF193F"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More than 1.4 billion people worldwide do not have access to electricity. Roughly 85% of these people live in rural areas and a large proportion live in Africa</w:t>
      </w:r>
      <w:hyperlink w:anchor="_[1]_International_Energy" w:history="1">
        <w:r w:rsidRPr="00100873">
          <w:rPr>
            <w:rFonts w:ascii="Times New Roman" w:eastAsia="Times New Roman" w:hAnsi="Times New Roman" w:cs="Times New Roman"/>
            <w:color w:val="1155CC"/>
            <w:kern w:val="0"/>
            <w:u w:val="single"/>
            <w14:ligatures w14:val="none"/>
          </w:rPr>
          <w:t xml:space="preserve"> [1]</w:t>
        </w:r>
      </w:hyperlink>
      <w:r w:rsidRPr="00100873">
        <w:rPr>
          <w:rFonts w:ascii="Times New Roman" w:eastAsia="Times New Roman" w:hAnsi="Times New Roman" w:cs="Times New Roman"/>
          <w:color w:val="000000"/>
          <w:kern w:val="0"/>
          <w14:ligatures w14:val="none"/>
        </w:rPr>
        <w:t>. To date many utilities and governments have been unable to meet the energy needs of rural areas, as the focus has often been on meeting the demand of major industries or highly-populated urban areas such as Nigeria's area in Western Africa or the area around Lake Victoria on the Ugandan side.</w:t>
      </w:r>
      <w:hyperlink w:anchor="_[2]_Knowledge_Note" w:history="1">
        <w:r w:rsidRPr="00100873">
          <w:rPr>
            <w:rFonts w:ascii="Times New Roman" w:eastAsia="Times New Roman" w:hAnsi="Times New Roman" w:cs="Times New Roman"/>
            <w:color w:val="1155CC"/>
            <w:kern w:val="0"/>
            <w:u w:val="single"/>
            <w14:ligatures w14:val="none"/>
          </w:rPr>
          <w:t xml:space="preserve"> [2]</w:t>
        </w:r>
      </w:hyperlink>
    </w:p>
    <w:p w14:paraId="6FF5293F" w14:textId="4B951DE1"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In the contemporary landscape of energy systems,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 xml:space="preserve">s have emerged as pivotal infrastructures, particularly in remote or off-grid areas, offering a decentralized and sustainable solution to electricity provision. However, ensuring the reliable operation of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p>
    <w:p w14:paraId="2B3C3C2A"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40DCEED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76C3E1A1" w14:textId="02B03044"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Being able to rely on continuous service is crucial in contexts of full electrification (think of the need to service critical infrastructure) as well as in contexts of rural electrification. In a community where the energy supply is tied to a single source and its life and economy depend on it, it is more necessary than ever to define, from the earliest stages, a system capable of overcoming technical, operational and community shortcomings. </w:t>
      </w:r>
      <w:hyperlink w:anchor="_[3]_Saeid_Charani" w:history="1">
        <w:r w:rsidRPr="00100873">
          <w:rPr>
            <w:rFonts w:ascii="Times New Roman" w:eastAsia="Times New Roman" w:hAnsi="Times New Roman" w:cs="Times New Roman"/>
            <w:color w:val="1155CC"/>
            <w:kern w:val="0"/>
            <w:u w:val="single"/>
            <w14:ligatures w14:val="none"/>
          </w:rPr>
          <w:t> [3]</w:t>
        </w:r>
      </w:hyperlink>
    </w:p>
    <w:p w14:paraId="53B3E5C8" w14:textId="7940CCB5"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lastRenderedPageBreak/>
        <w:t xml:space="preserve">The primary objective of this work is to develop a comprehensive understanding of how resilience engineering concepts can inform and improve fault detection strategies by leveraging insights from resilience engineering literature and methodologies. This study aims to enhance the robustness and adaptability of anomaly detection algorithms, thereby bolstering the overall resilience of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 xml:space="preserve"> operations.</w:t>
      </w:r>
    </w:p>
    <w:p w14:paraId="37831315"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Through the analysis of an Open-Source dataset concerning a PV production plant, an Exploratory Data Analysis and the implementation of an Fualt Detection algorithm will be carried out in order to highlight critical points in the system.</w:t>
      </w:r>
    </w:p>
    <w:p w14:paraId="3A7FD5E9" w14:textId="28DE5A2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The aim is to structure a multidisciplinary and multiobjective approach in which the resilience engineering framework is applied to a photovoltaic energy production system. By fostering a deeper understanding of the interplay between resilience engineering and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 xml:space="preserve"> operations, this research endeavors to inform future strategies for enhancing the reliability and sustainability of decentralized energy systems.</w:t>
      </w:r>
    </w:p>
    <w:p w14:paraId="553E17D8"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kern w:val="0"/>
          <w:sz w:val="24"/>
          <w:szCs w:val="24"/>
          <w14:ligatures w14:val="none"/>
        </w:rPr>
        <w:br/>
      </w:r>
      <w:r w:rsidRPr="00100873">
        <w:rPr>
          <w:rFonts w:ascii="Times New Roman" w:eastAsia="Times New Roman" w:hAnsi="Times New Roman" w:cs="Times New Roman"/>
          <w:kern w:val="0"/>
          <w:sz w:val="24"/>
          <w:szCs w:val="24"/>
          <w14:ligatures w14:val="none"/>
        </w:rPr>
        <w:br/>
      </w:r>
      <w:r w:rsidRPr="00100873">
        <w:rPr>
          <w:rFonts w:ascii="Times New Roman" w:eastAsia="Times New Roman" w:hAnsi="Times New Roman" w:cs="Times New Roman"/>
          <w:kern w:val="0"/>
          <w:sz w:val="24"/>
          <w:szCs w:val="24"/>
          <w14:ligatures w14:val="none"/>
        </w:rPr>
        <w:br/>
      </w:r>
      <w:r w:rsidRPr="00100873">
        <w:rPr>
          <w:rFonts w:ascii="Times New Roman" w:eastAsia="Times New Roman" w:hAnsi="Times New Roman" w:cs="Times New Roman"/>
          <w:kern w:val="0"/>
          <w:sz w:val="24"/>
          <w:szCs w:val="24"/>
          <w14:ligatures w14:val="none"/>
        </w:rPr>
        <w:br/>
      </w:r>
    </w:p>
    <w:p w14:paraId="4A25AF41" w14:textId="1AD1E358" w:rsidR="00100873" w:rsidRPr="00100873" w:rsidRDefault="00100873" w:rsidP="003C57DD">
      <w:pPr>
        <w:numPr>
          <w:ilvl w:val="0"/>
          <w:numId w:val="2"/>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 xml:space="preserve">Relevance of Resilience Engineering in </w:t>
      </w:r>
      <w:r>
        <w:rPr>
          <w:rFonts w:ascii="Times New Roman" w:eastAsia="Times New Roman" w:hAnsi="Times New Roman" w:cs="Times New Roman"/>
          <w:b/>
          <w:bCs/>
          <w:color w:val="000000"/>
          <w:kern w:val="36"/>
          <w:sz w:val="24"/>
          <w:szCs w:val="24"/>
          <w14:ligatures w14:val="none"/>
        </w:rPr>
        <w:t>Microgrid</w:t>
      </w:r>
      <w:r w:rsidRPr="00100873">
        <w:rPr>
          <w:rFonts w:ascii="Times New Roman" w:eastAsia="Times New Roman" w:hAnsi="Times New Roman" w:cs="Times New Roman"/>
          <w:b/>
          <w:bCs/>
          <w:color w:val="000000"/>
          <w:kern w:val="36"/>
          <w:sz w:val="24"/>
          <w:szCs w:val="24"/>
          <w14:ligatures w14:val="none"/>
        </w:rPr>
        <w:t>s</w:t>
      </w:r>
    </w:p>
    <w:p w14:paraId="22C13F22"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kern w:val="0"/>
          <w:sz w:val="24"/>
          <w:szCs w:val="24"/>
          <w14:ligatures w14:val="none"/>
        </w:rPr>
        <w:br/>
      </w:r>
    </w:p>
    <w:p w14:paraId="6A9FD21E" w14:textId="77777777" w:rsidR="00100873" w:rsidRPr="00100873" w:rsidRDefault="00100873" w:rsidP="003C57DD">
      <w:pPr>
        <w:numPr>
          <w:ilvl w:val="0"/>
          <w:numId w:val="3"/>
        </w:numPr>
        <w:spacing w:before="360" w:after="120" w:line="240" w:lineRule="auto"/>
        <w:jc w:val="both"/>
        <w:textAlignment w:val="baseline"/>
        <w:outlineLvl w:val="1"/>
        <w:rPr>
          <w:rFonts w:ascii="Times New Roman" w:eastAsia="Times New Roman" w:hAnsi="Times New Roman" w:cs="Times New Roman"/>
          <w:b/>
          <w:bCs/>
          <w:color w:val="000000"/>
          <w:kern w:val="0"/>
          <w:sz w:val="36"/>
          <w:szCs w:val="36"/>
          <w:lang w:val="it-IT"/>
          <w14:ligatures w14:val="none"/>
        </w:rPr>
      </w:pPr>
      <w:r w:rsidRPr="00100873">
        <w:rPr>
          <w:rFonts w:ascii="Times New Roman" w:eastAsia="Times New Roman" w:hAnsi="Times New Roman" w:cs="Times New Roman"/>
          <w:color w:val="000000"/>
          <w:kern w:val="0"/>
          <w:sz w:val="32"/>
          <w:szCs w:val="32"/>
          <w:lang w:val="it-IT"/>
          <w14:ligatures w14:val="none"/>
        </w:rPr>
        <w:t>#inserisci titolo sullo scopo della Res.Eng.</w:t>
      </w:r>
    </w:p>
    <w:p w14:paraId="20C96734" w14:textId="2BF594F3"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w:t>
      </w:r>
    </w:p>
    <w:p w14:paraId="70D3D411" w14:textId="0856E9F4"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The increasing demand for electricity and the need for sustainable energy sources have led to the development of various decentralized energy systems, including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However, these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are often subject to disturbances and failures, which can have significant impacts on the communities they serve. Resilience engineering, which focuses on the ability of a system to adapt and recover from disturbances, is therefore highly relevant in the context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This thesis will discuss the relevance of resilience engineering in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highlighting its importance in ensuring the sustainability and reliability of these energy systems.</w:t>
      </w:r>
    </w:p>
    <w:p w14:paraId="6D9288CF" w14:textId="451281B1"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Resilience engineering is a proactive approach to engineering that focuses on the ability of a system to anticipate, respond to, and recover from disturbances and failures </w:t>
      </w:r>
      <w:hyperlink w:anchor="_[4]_Hollnagel_et" w:history="1">
        <w:r w:rsidRPr="00100873">
          <w:rPr>
            <w:rFonts w:ascii="Times New Roman" w:eastAsia="Times New Roman" w:hAnsi="Times New Roman" w:cs="Times New Roman"/>
            <w:color w:val="1155CC"/>
            <w:kern w:val="0"/>
            <w:sz w:val="24"/>
            <w:szCs w:val="24"/>
            <w:u w:val="single"/>
            <w14:ligatures w14:val="none"/>
          </w:rPr>
          <w:t>[4]</w:t>
        </w:r>
      </w:hyperlink>
      <w:r w:rsidRPr="00100873">
        <w:rPr>
          <w:rFonts w:ascii="Times New Roman" w:eastAsia="Times New Roman" w:hAnsi="Times New Roman" w:cs="Times New Roman"/>
          <w:color w:val="000000"/>
          <w:kern w:val="0"/>
          <w:sz w:val="24"/>
          <w:szCs w:val="24"/>
          <w14:ligatures w14:val="none"/>
        </w:rPr>
        <w:t>. It recognizes that disturbances are inevitable and that the goal is not to prevent them but to manage them in a way that minimizes their impact.</w:t>
      </w:r>
    </w:p>
    <w:p w14:paraId="42759493" w14:textId="29E08F0D"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on the other hand, are small-scale, decentralized electricity distribution systems that serve a limited geographical area. They are often used in remote or rural areas where there is no access to the centralized grid.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can be powered by various energy sources, including fossil fuels, renewable energy, or a combination of both. </w:t>
      </w:r>
      <w:hyperlink w:anchor="_[5]_Fioriti,_Davide" w:history="1">
        <w:r w:rsidRPr="00100873">
          <w:rPr>
            <w:rFonts w:ascii="Times New Roman" w:eastAsia="Times New Roman" w:hAnsi="Times New Roman" w:cs="Times New Roman"/>
            <w:color w:val="1155CC"/>
            <w:kern w:val="0"/>
            <w:sz w:val="24"/>
            <w:szCs w:val="24"/>
            <w:u w:val="single"/>
            <w14:ligatures w14:val="none"/>
          </w:rPr>
          <w:t>[5]</w:t>
        </w:r>
      </w:hyperlink>
    </w:p>
    <w:p w14:paraId="2F80EEDC" w14:textId="76B70751" w:rsidR="00100873" w:rsidRPr="00100873" w:rsidRDefault="00100873" w:rsidP="003C57DD">
      <w:pPr>
        <w:spacing w:after="0" w:line="240" w:lineRule="auto"/>
        <w:jc w:val="center"/>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noProof/>
          <w:kern w:val="0"/>
          <w:sz w:val="24"/>
          <w:szCs w:val="24"/>
          <w14:ligatures w14:val="none"/>
        </w:rPr>
        <w:lastRenderedPageBreak/>
        <w:drawing>
          <wp:inline distT="0" distB="0" distL="0" distR="0" wp14:anchorId="66A0AE67" wp14:editId="15E6427D">
            <wp:extent cx="2336152" cy="1150467"/>
            <wp:effectExtent l="0" t="0" r="7620" b="0"/>
            <wp:docPr id="15678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71844" name=""/>
                    <pic:cNvPicPr/>
                  </pic:nvPicPr>
                  <pic:blipFill>
                    <a:blip r:embed="rId5"/>
                    <a:stretch>
                      <a:fillRect/>
                    </a:stretch>
                  </pic:blipFill>
                  <pic:spPr>
                    <a:xfrm>
                      <a:off x="0" y="0"/>
                      <a:ext cx="2345661" cy="1155150"/>
                    </a:xfrm>
                    <a:prstGeom prst="rect">
                      <a:avLst/>
                    </a:prstGeom>
                  </pic:spPr>
                </pic:pic>
              </a:graphicData>
            </a:graphic>
          </wp:inline>
        </w:drawing>
      </w:r>
    </w:p>
    <w:p w14:paraId="76C71A1F" w14:textId="7AF71243" w:rsidR="00100873" w:rsidRPr="00100873" w:rsidRDefault="00100873" w:rsidP="003C57DD">
      <w:pPr>
        <w:spacing w:after="0" w:line="240" w:lineRule="auto"/>
        <w:jc w:val="center"/>
        <w:rPr>
          <w:rFonts w:ascii="Times New Roman" w:eastAsia="Times New Roman" w:hAnsi="Times New Roman" w:cs="Times New Roman"/>
          <w:kern w:val="0"/>
          <w:sz w:val="16"/>
          <w:szCs w:val="16"/>
          <w14:ligatures w14:val="none"/>
        </w:rPr>
      </w:pPr>
      <w:r w:rsidRPr="003C57DD">
        <w:rPr>
          <w:rFonts w:ascii="Times New Roman" w:eastAsia="Times New Roman" w:hAnsi="Times New Roman" w:cs="Times New Roman"/>
          <w:b/>
          <w:bCs/>
          <w:kern w:val="0"/>
          <w:sz w:val="16"/>
          <w:szCs w:val="16"/>
          <w14:ligatures w14:val="none"/>
        </w:rPr>
        <w:t>Fig.1:</w:t>
      </w:r>
      <w:r w:rsidRPr="003C57DD">
        <w:rPr>
          <w:rFonts w:ascii="Times New Roman" w:eastAsia="Times New Roman" w:hAnsi="Times New Roman" w:cs="Times New Roman"/>
          <w:kern w:val="0"/>
          <w:sz w:val="16"/>
          <w:szCs w:val="16"/>
          <w14:ligatures w14:val="none"/>
        </w:rPr>
        <w:t xml:space="preserve"> The topology of the microgrid </w:t>
      </w:r>
      <w:hyperlink w:anchor="_[5]_Fioriti,_Davide" w:history="1">
        <w:r w:rsidRPr="003C57DD">
          <w:rPr>
            <w:rStyle w:val="Hyperlink"/>
            <w:rFonts w:ascii="Times New Roman" w:eastAsia="Times New Roman" w:hAnsi="Times New Roman" w:cs="Times New Roman"/>
            <w:kern w:val="0"/>
            <w:sz w:val="16"/>
            <w:szCs w:val="16"/>
            <w14:ligatures w14:val="none"/>
          </w:rPr>
          <w:t>[5]</w:t>
        </w:r>
      </w:hyperlink>
    </w:p>
    <w:p w14:paraId="33D19834" w14:textId="7935BC74" w:rsidR="00100873" w:rsidRPr="00100873" w:rsidRDefault="00100873" w:rsidP="003C57DD">
      <w:pPr>
        <w:spacing w:before="240" w:after="24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The relevance of resilience engineering in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 be seen in several ways:</w:t>
      </w:r>
    </w:p>
    <w:p w14:paraId="0AC8E3B4" w14:textId="17917272" w:rsidR="00100873" w:rsidRPr="00100873" w:rsidRDefault="00100873" w:rsidP="003C57DD">
      <w:pPr>
        <w:numPr>
          <w:ilvl w:val="0"/>
          <w:numId w:val="4"/>
        </w:numPr>
        <w:spacing w:before="240" w:after="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Improved System Reliability</w:t>
      </w:r>
      <w:r w:rsidRPr="00100873">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are often the sole source of electricity for the communities they serve. Any disruption in the supply of electricity can have significant impacts on the community's social and economic well-being. Resilience engineering can help improve the reliability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by ensuring that they can withstand and recover from disturbances quickly.</w:t>
      </w:r>
    </w:p>
    <w:p w14:paraId="57D41794" w14:textId="556B5431" w:rsidR="00100873" w:rsidRPr="00100873"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Cost-Effective</w:t>
      </w:r>
      <w:r w:rsidRPr="00100873">
        <w:rPr>
          <w:rFonts w:ascii="Times New Roman" w:eastAsia="Times New Roman" w:hAnsi="Times New Roman" w:cs="Times New Roman"/>
          <w:color w:val="000000"/>
          <w:kern w:val="0"/>
          <w:sz w:val="24"/>
          <w:szCs w:val="24"/>
          <w14:ligatures w14:val="none"/>
        </w:rPr>
        <w:t xml:space="preserve">: Resilience engineering focuses on managing disturbances rather than preventing them. This approach can be more cost-effective than trying to prevent all disturbances, which can be expensive and often not feasible. By managing disturbances effectively,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 reduce the need for costly repairs and replacements.</w:t>
      </w:r>
    </w:p>
    <w:p w14:paraId="7E996287" w14:textId="7DA62CAF" w:rsidR="00100873" w:rsidRPr="00100873"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Increased Sustainability</w:t>
      </w:r>
      <w:r w:rsidRPr="00100873">
        <w:rPr>
          <w:rFonts w:ascii="Times New Roman" w:eastAsia="Times New Roman" w:hAnsi="Times New Roman" w:cs="Times New Roman"/>
          <w:color w:val="000000"/>
          <w:kern w:val="0"/>
          <w:sz w:val="24"/>
          <w:szCs w:val="24"/>
          <w14:ligatures w14:val="none"/>
        </w:rPr>
        <w:t xml:space="preserve">: Resilience engineering can help increase the sustainability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by ensuring that they can adapt to changing conditions. For example,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that are designed with resilience engineering principles can better adapt to changes in energy demand, climate change, and technological advancements.</w:t>
      </w:r>
    </w:p>
    <w:p w14:paraId="5D65C61C" w14:textId="6F27F6AA" w:rsidR="00100873" w:rsidRPr="00100873" w:rsidRDefault="00100873" w:rsidP="003C57DD">
      <w:pPr>
        <w:numPr>
          <w:ilvl w:val="0"/>
          <w:numId w:val="4"/>
        </w:numPr>
        <w:spacing w:after="24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Improved Safety</w:t>
      </w:r>
      <w:r w:rsidRPr="00100873">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that are designed with resilience engineering principles can be safer for both the operators and the communities they serve. By anticipating and managing disturbances,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 reduce the risk of accidents and injuries.</w:t>
      </w:r>
    </w:p>
    <w:p w14:paraId="246DFDC2" w14:textId="20F594DB"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Resilience engineering is highly relevant in the context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It can help improve the reliability, cost-effectiveness, sustainability, and safety of these energy systems. By focusing on the ability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to anticipate, respond to, and recover from disturbances, resilience engineering can ensure that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can continue to provide essential electricity services to the communities they serve, even in the face of challenges and uncertainties. As the demand for decentralized energy systems continues to grow, the importance of resilience engineering in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cannot be overstated.</w:t>
      </w:r>
    </w:p>
    <w:p w14:paraId="2AACD04C"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kern w:val="0"/>
          <w:sz w:val="24"/>
          <w:szCs w:val="24"/>
          <w14:ligatures w14:val="none"/>
        </w:rPr>
        <w:br/>
      </w:r>
    </w:p>
    <w:p w14:paraId="42BFBEC3" w14:textId="77777777" w:rsidR="00100873" w:rsidRPr="00100873" w:rsidRDefault="00100873" w:rsidP="003C57DD">
      <w:pPr>
        <w:numPr>
          <w:ilvl w:val="0"/>
          <w:numId w:val="5"/>
        </w:numPr>
        <w:spacing w:before="360" w:after="120" w:line="240" w:lineRule="auto"/>
        <w:jc w:val="both"/>
        <w:textAlignment w:val="baseline"/>
        <w:outlineLvl w:val="1"/>
        <w:rPr>
          <w:rFonts w:ascii="Times New Roman" w:eastAsia="Times New Roman" w:hAnsi="Times New Roman" w:cs="Times New Roman"/>
          <w:b/>
          <w:bCs/>
          <w:color w:val="000000"/>
          <w:kern w:val="0"/>
          <w:sz w:val="36"/>
          <w:szCs w:val="36"/>
          <w14:ligatures w14:val="none"/>
        </w:rPr>
      </w:pPr>
      <w:r w:rsidRPr="00100873">
        <w:rPr>
          <w:rFonts w:ascii="Times New Roman" w:eastAsia="Times New Roman" w:hAnsi="Times New Roman" w:cs="Times New Roman"/>
          <w:color w:val="000000"/>
          <w:kern w:val="0"/>
          <w:sz w:val="32"/>
          <w:szCs w:val="32"/>
          <w14:ligatures w14:val="none"/>
        </w:rPr>
        <w:t>Performance Risk Analysis</w:t>
      </w:r>
    </w:p>
    <w:p w14:paraId="51061FCC"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72FEB098"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PAR3</w:t>
      </w:r>
    </w:p>
    <w:p w14:paraId="2FC9AF1B"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CONCLUSION</w:t>
      </w:r>
    </w:p>
    <w:p w14:paraId="674F6A42"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REFERENCES</w:t>
      </w:r>
    </w:p>
    <w:p w14:paraId="6CAC62CE"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0" w:name="_[1]_International_Energy"/>
      <w:bookmarkEnd w:id="0"/>
      <w:r w:rsidRPr="00100873">
        <w:rPr>
          <w:rFonts w:ascii="Times New Roman" w:eastAsia="Times New Roman" w:hAnsi="Times New Roman" w:cs="Times New Roman"/>
        </w:rPr>
        <w:lastRenderedPageBreak/>
        <w:t>[1] International Energy Agency (IEA), (2010) Energy Access: How to make modern energy access universal. </w:t>
      </w:r>
    </w:p>
    <w:p w14:paraId="2C576A34"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1" w:name="_[2]_Knowledge_Note"/>
      <w:bookmarkEnd w:id="1"/>
      <w:r w:rsidRPr="00100873">
        <w:rPr>
          <w:rFonts w:ascii="Times New Roman" w:eastAsia="Times New Roman" w:hAnsi="Times New Roman" w:cs="Times New Roman"/>
        </w:rPr>
        <w:t>[2] Knowledge Note of CIF Climate Investment Fund, (2014), Increasing Rural Energy Access through Mini-Grids</w:t>
      </w:r>
    </w:p>
    <w:p w14:paraId="30921FFD"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2" w:name="_[3]_Saeid_Charani"/>
      <w:bookmarkEnd w:id="2"/>
      <w:r w:rsidRPr="00100873">
        <w:rPr>
          <w:rFonts w:ascii="Times New Roman" w:eastAsia="Times New Roman" w:hAnsi="Times New Roman" w:cs="Times New Roman"/>
        </w:rPr>
        <w:t>[3] Saeid Charani Shandiz, Greg Foliente, Behzad Rismanchi, Amanda Wachtel, Robert F. Jeffers (2020), Resilience framework and metrics for energy master planning of communities, Energy, Volume 203</w:t>
      </w:r>
    </w:p>
    <w:p w14:paraId="70E1F13E"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3" w:name="_[4]_Hollnagel_et"/>
      <w:bookmarkEnd w:id="3"/>
      <w:r w:rsidRPr="00100873">
        <w:rPr>
          <w:rFonts w:ascii="Times New Roman" w:eastAsia="Times New Roman" w:hAnsi="Times New Roman" w:cs="Times New Roman"/>
        </w:rPr>
        <w:t xml:space="preserve">[4] Hollnagel et al., (2006), </w:t>
      </w:r>
      <w:r w:rsidRPr="00100873">
        <w:rPr>
          <w:rFonts w:ascii="Times New Roman" w:eastAsia="Times New Roman" w:hAnsi="Times New Roman" w:cs="Times New Roman"/>
          <w:i/>
          <w:iCs/>
        </w:rPr>
        <w:t>Resilience Engineering Concepts and Precepts</w:t>
      </w:r>
      <w:r w:rsidRPr="00100873">
        <w:rPr>
          <w:rFonts w:ascii="Times New Roman" w:eastAsia="Times New Roman" w:hAnsi="Times New Roman" w:cs="Times New Roman"/>
        </w:rPr>
        <w:t>, Ashgate Edition</w:t>
      </w:r>
    </w:p>
    <w:p w14:paraId="26F0CA8A"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4" w:name="_[5]_Fioriti,_Davide"/>
      <w:bookmarkEnd w:id="4"/>
      <w:r w:rsidRPr="00100873">
        <w:rPr>
          <w:rFonts w:ascii="Times New Roman" w:eastAsia="Times New Roman" w:hAnsi="Times New Roman" w:cs="Times New Roman"/>
          <w:lang w:val="it-IT"/>
        </w:rPr>
        <w:t xml:space="preserve">[5] Fioriti, Davide &amp; Poli, D. &amp; Martinez, Pablo &amp; Micangeli, Andrea. </w:t>
      </w:r>
      <w:r w:rsidRPr="00100873">
        <w:rPr>
          <w:rFonts w:ascii="Times New Roman" w:eastAsia="Times New Roman" w:hAnsi="Times New Roman" w:cs="Times New Roman"/>
        </w:rPr>
        <w:t>(2022). Clustering approaches to select Multiple Design Options in multi-objective optimization: an application to rural microgrids. 1-6. 10.1109/SEST53650.2022.9898440. </w:t>
      </w:r>
    </w:p>
    <w:p w14:paraId="579FC444" w14:textId="2CB0F83C" w:rsidR="00100873" w:rsidRPr="00100873" w:rsidRDefault="00100873" w:rsidP="003C57DD">
      <w:pPr>
        <w:jc w:val="both"/>
        <w:rPr>
          <w:rFonts w:ascii="Times New Roman" w:hAnsi="Times New Roman" w:cs="Times New Roman"/>
        </w:rPr>
      </w:pPr>
    </w:p>
    <w:sectPr w:rsidR="00100873" w:rsidRPr="00100873">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23D7"/>
    <w:multiLevelType w:val="multilevel"/>
    <w:tmpl w:val="6764F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E6BCF"/>
    <w:multiLevelType w:val="multilevel"/>
    <w:tmpl w:val="765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701F0"/>
    <w:multiLevelType w:val="multilevel"/>
    <w:tmpl w:val="F03C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81E81"/>
    <w:multiLevelType w:val="hybridMultilevel"/>
    <w:tmpl w:val="E4C60762"/>
    <w:lvl w:ilvl="0" w:tplc="97482E36">
      <w:start w:val="2"/>
      <w:numFmt w:val="upperRoman"/>
      <w:lvlText w:val="%1."/>
      <w:lvlJc w:val="right"/>
      <w:pPr>
        <w:tabs>
          <w:tab w:val="num" w:pos="720"/>
        </w:tabs>
        <w:ind w:left="720" w:hanging="360"/>
      </w:pPr>
    </w:lvl>
    <w:lvl w:ilvl="1" w:tplc="3FB42738" w:tentative="1">
      <w:start w:val="1"/>
      <w:numFmt w:val="decimal"/>
      <w:lvlText w:val="%2."/>
      <w:lvlJc w:val="left"/>
      <w:pPr>
        <w:tabs>
          <w:tab w:val="num" w:pos="1440"/>
        </w:tabs>
        <w:ind w:left="1440" w:hanging="360"/>
      </w:pPr>
    </w:lvl>
    <w:lvl w:ilvl="2" w:tplc="FB7C7D10" w:tentative="1">
      <w:start w:val="1"/>
      <w:numFmt w:val="decimal"/>
      <w:lvlText w:val="%3."/>
      <w:lvlJc w:val="left"/>
      <w:pPr>
        <w:tabs>
          <w:tab w:val="num" w:pos="2160"/>
        </w:tabs>
        <w:ind w:left="2160" w:hanging="360"/>
      </w:pPr>
    </w:lvl>
    <w:lvl w:ilvl="3" w:tplc="74C889DE" w:tentative="1">
      <w:start w:val="1"/>
      <w:numFmt w:val="decimal"/>
      <w:lvlText w:val="%4."/>
      <w:lvlJc w:val="left"/>
      <w:pPr>
        <w:tabs>
          <w:tab w:val="num" w:pos="2880"/>
        </w:tabs>
        <w:ind w:left="2880" w:hanging="360"/>
      </w:pPr>
    </w:lvl>
    <w:lvl w:ilvl="4" w:tplc="80AA5E64" w:tentative="1">
      <w:start w:val="1"/>
      <w:numFmt w:val="decimal"/>
      <w:lvlText w:val="%5."/>
      <w:lvlJc w:val="left"/>
      <w:pPr>
        <w:tabs>
          <w:tab w:val="num" w:pos="3600"/>
        </w:tabs>
        <w:ind w:left="3600" w:hanging="360"/>
      </w:pPr>
    </w:lvl>
    <w:lvl w:ilvl="5" w:tplc="A6C0A5BE" w:tentative="1">
      <w:start w:val="1"/>
      <w:numFmt w:val="decimal"/>
      <w:lvlText w:val="%6."/>
      <w:lvlJc w:val="left"/>
      <w:pPr>
        <w:tabs>
          <w:tab w:val="num" w:pos="4320"/>
        </w:tabs>
        <w:ind w:left="4320" w:hanging="360"/>
      </w:pPr>
    </w:lvl>
    <w:lvl w:ilvl="6" w:tplc="E8708FFC" w:tentative="1">
      <w:start w:val="1"/>
      <w:numFmt w:val="decimal"/>
      <w:lvlText w:val="%7."/>
      <w:lvlJc w:val="left"/>
      <w:pPr>
        <w:tabs>
          <w:tab w:val="num" w:pos="5040"/>
        </w:tabs>
        <w:ind w:left="5040" w:hanging="360"/>
      </w:pPr>
    </w:lvl>
    <w:lvl w:ilvl="7" w:tplc="5852D524" w:tentative="1">
      <w:start w:val="1"/>
      <w:numFmt w:val="decimal"/>
      <w:lvlText w:val="%8."/>
      <w:lvlJc w:val="left"/>
      <w:pPr>
        <w:tabs>
          <w:tab w:val="num" w:pos="5760"/>
        </w:tabs>
        <w:ind w:left="5760" w:hanging="360"/>
      </w:pPr>
    </w:lvl>
    <w:lvl w:ilvl="8" w:tplc="3D368D56" w:tentative="1">
      <w:start w:val="1"/>
      <w:numFmt w:val="decimal"/>
      <w:lvlText w:val="%9."/>
      <w:lvlJc w:val="left"/>
      <w:pPr>
        <w:tabs>
          <w:tab w:val="num" w:pos="6480"/>
        </w:tabs>
        <w:ind w:left="6480" w:hanging="360"/>
      </w:pPr>
    </w:lvl>
  </w:abstractNum>
  <w:abstractNum w:abstractNumId="4" w15:restartNumberingAfterBreak="0">
    <w:nsid w:val="72753C2D"/>
    <w:multiLevelType w:val="multilevel"/>
    <w:tmpl w:val="90CC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007396">
    <w:abstractNumId w:val="2"/>
  </w:num>
  <w:num w:numId="2" w16cid:durableId="739910343">
    <w:abstractNumId w:val="0"/>
    <w:lvlOverride w:ilvl="0">
      <w:lvl w:ilvl="0">
        <w:numFmt w:val="decimal"/>
        <w:lvlText w:val="%1."/>
        <w:lvlJc w:val="left"/>
      </w:lvl>
    </w:lvlOverride>
  </w:num>
  <w:num w:numId="3" w16cid:durableId="1334453691">
    <w:abstractNumId w:val="4"/>
    <w:lvlOverride w:ilvl="0">
      <w:lvl w:ilvl="0">
        <w:numFmt w:val="upperRoman"/>
        <w:lvlText w:val="%1."/>
        <w:lvlJc w:val="right"/>
      </w:lvl>
    </w:lvlOverride>
  </w:num>
  <w:num w:numId="4" w16cid:durableId="1035540731">
    <w:abstractNumId w:val="1"/>
  </w:num>
  <w:num w:numId="5" w16cid:durableId="1121266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0"/>
    <w:rsid w:val="00100873"/>
    <w:rsid w:val="00383990"/>
    <w:rsid w:val="003C57DD"/>
    <w:rsid w:val="00967788"/>
    <w:rsid w:val="00985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A2F0"/>
  <w15:chartTrackingRefBased/>
  <w15:docId w15:val="{BFC82ADC-F57E-4976-83CE-F1BFA7B9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8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008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100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0087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08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00873"/>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10087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100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00873"/>
    <w:rPr>
      <w:color w:val="0000FF"/>
      <w:u w:val="single"/>
    </w:rPr>
  </w:style>
  <w:style w:type="table" w:styleId="TableGrid">
    <w:name w:val="Table Grid"/>
    <w:basedOn w:val="TableNormal"/>
    <w:uiPriority w:val="39"/>
    <w:rsid w:val="00100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087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0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Luca Anania</dc:creator>
  <cp:keywords/>
  <dc:description/>
  <cp:lastModifiedBy>Pier Luca Anania</cp:lastModifiedBy>
  <cp:revision>4</cp:revision>
  <dcterms:created xsi:type="dcterms:W3CDTF">2024-04-13T05:39:00Z</dcterms:created>
  <dcterms:modified xsi:type="dcterms:W3CDTF">2024-04-13T07:29:00Z</dcterms:modified>
</cp:coreProperties>
</file>