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Pier Luca Anania                                                   Prof. Andrea Micangeli</w:t>
      </w:r>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711.6pt" o:ole="">
            <v:imagedata r:id="rId8" o:title=""/>
          </v:shape>
          <o:OLEObject Type="Embed" ProgID="Word.Document.8" ShapeID="_x0000_i1025" DrawAspect="Content" ObjectID="_1774273756" r:id="rId9">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The total average per capita consumption in SSA (excluding RSA) is around 155 kWh (based on EIA data). These figures are minute compared to Sth.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then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(MW/mln)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MW/mln in 2008 only considering people with electricity access; if the entire population is included, the total is about 40 MW/mln.</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Rate of increase (or decrease) in installed electricity capacity (with three year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Africa is included in the major energy outlooks from the International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high level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A closer look at some of the regional forecasts in the interests of comparison is useful. A SAPP electricity demand forecast to 2025 shows a projected annual growth of about 2% (SAPP, 2010); the annual growth rates are projected to be higher outside RSA. Nexant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type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The objective of the context is to establish an infrastructure development programme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Programme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primarly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Interestingly,this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organisations,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etc..</w:t>
      </w:r>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 xml:space="preserve">The results of this evaluation are astonishing in term of the required growth rates and installed capacity. As an example, just to reach the Moderate Access case where the population has between 200-400 MW/mln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MW/mln (Full Access) and to reach 800 MW/mln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(MW/mln)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MW/mln,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In addition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MW/mln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grids are distributed energy resources (DERs). DERs can include diesel and gas engines, microturbines, fuel cells, PV, wind, biomass, and energy storage. These local generation resources enhance reliability by providing power to the mi</w:t>
      </w:r>
      <w:r w:rsidR="000A112E">
        <w:rPr>
          <w:rFonts w:ascii="Palatino Linotype" w:hAnsi="Palatino Linotype"/>
          <w:sz w:val="24"/>
          <w:szCs w:val="24"/>
        </w:rPr>
        <w:t>ni</w:t>
      </w:r>
      <w:r w:rsidRPr="002142DE">
        <w:rPr>
          <w:rFonts w:ascii="Palatino Linotype" w:hAnsi="Palatino Linotype"/>
          <w:sz w:val="24"/>
          <w:szCs w:val="24"/>
        </w:rPr>
        <w:t>grid’s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with fast response times can be used to keep non-interruptible loads from experiencing short outages during a mi</w:t>
      </w:r>
      <w:r w:rsidR="00577BAA">
        <w:rPr>
          <w:rFonts w:ascii="Palatino Linotype" w:hAnsi="Palatino Linotype"/>
          <w:sz w:val="24"/>
          <w:szCs w:val="24"/>
        </w:rPr>
        <w:t>ni</w:t>
      </w:r>
      <w:r w:rsidRPr="00A55A04">
        <w:rPr>
          <w:rFonts w:ascii="Palatino Linotype" w:hAnsi="Palatino Linotype"/>
          <w:sz w:val="24"/>
          <w:szCs w:val="24"/>
        </w:rPr>
        <w:t xml:space="preserve">grid's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8A0B763" w:rsidR="00577BAA" w:rsidRDefault="0042241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Reliability of generation – weights the maintenance of backup generators. Low maintenance lowers reliability and the risks will be high.</w:t>
      </w:r>
    </w:p>
    <w:p w14:paraId="0AD88745" w14:textId="6C7E4B2F"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13F75CCD"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74E40F77"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232B2FE0" w:rsidR="00F3311A" w:rsidRDefault="00F3311A"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861F08A" w:rsidR="00F3311A" w:rsidRDefault="00F3311A"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(Y.Zhang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categorised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hazards are categorised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categorised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summarised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In addition to direct impacts, extreme events also have cascading consequences for all stakeholders, such as access to clean water and provision of acceptable indoor air quality. Although estimating these multi-dimensional impacts is not easy, public and private organisations have started to categorise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eliability and resilience have different characteristics in a power system context. These concepts need to be harmonised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organisation,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Functional redudancy</w:t>
            </w:r>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Checklists and questionnaries</w:t>
            </w:r>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Energy flow</w:t>
            </w:r>
            <w:r>
              <w:rPr>
                <w:rFonts w:ascii="Palatino Linotype" w:hAnsi="Palatino Linotype"/>
                <w:sz w:val="14"/>
                <w:szCs w:val="14"/>
              </w:rPr>
              <w:t xml:space="preserve"> </w:t>
            </w:r>
            <w:r w:rsidRPr="0010673D">
              <w:rPr>
                <w:rFonts w:ascii="Palatino Linotype" w:hAnsi="Palatino Linotype"/>
                <w:sz w:val="14"/>
                <w:szCs w:val="14"/>
              </w:rPr>
              <w:t>based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A logical step-by-step breakdown for EDA can be summarised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Univariate Analysis: This sort of evaluation makes a speciality of analyzing character variables inside the records set. It involves summarizing and visualizing a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r w:rsidRPr="00B52121">
        <w:rPr>
          <w:rFonts w:ascii="Palatino Linotype" w:hAnsi="Palatino Linotype"/>
          <w:sz w:val="24"/>
          <w:szCs w:val="24"/>
        </w:rPr>
        <w:t>variables</w:t>
      </w:r>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(AutoRegressive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12CEB9ED">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Anodot,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Amazon SageMaker,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ELKI, an open source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PyOD, an open source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section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Date and time for each observation. Observations recorded at 15 minute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522FFE3"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DC_POWER: Amount of DC power generated by the inverter (source_key) in this 15 minute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2DAAAC36"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(source_key) in this 15 minute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lastRenderedPageBreak/>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67E360C5"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15 minute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6"/>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7"/>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B1E6D70" w14:textId="55964B14" w:rsidR="00696AD9" w:rsidRPr="00696AD9" w:rsidRDefault="00696AD9" w:rsidP="00696AD9">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r w:rsidR="00696A67" w:rsidRPr="00696AD9">
        <w:rPr>
          <w:rFonts w:ascii="Palatino Linotype" w:hAnsi="Palatino Linotype"/>
          <w:sz w:val="24"/>
          <w:szCs w:val="24"/>
        </w:rPr>
        <w:t>is</w:t>
      </w:r>
      <w:r w:rsidRPr="00696AD9">
        <w:rPr>
          <w:rFonts w:ascii="Palatino Linotype" w:hAnsi="Palatino Linotype"/>
          <w:sz w:val="24"/>
          <w:szCs w:val="24"/>
        </w:rPr>
        <w:t xml:space="preserve"> connected with several PV array. Every 15 min, each inverter records his data. So, if we want to know how many the plant has produced a power in </w:t>
      </w:r>
      <w:r w:rsidR="00406390" w:rsidRPr="00696AD9">
        <w:rPr>
          <w:rFonts w:ascii="Palatino Linotype" w:hAnsi="Palatino Linotype"/>
          <w:sz w:val="24"/>
          <w:szCs w:val="24"/>
        </w:rPr>
        <w:t>an</w:t>
      </w:r>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44526D72" w14:textId="01CB30C3"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 xml:space="preserve">To monitor the inverter data, you can use a data logger or a </w:t>
      </w:r>
      <w:r w:rsidRPr="00696AD9">
        <w:rPr>
          <w:rFonts w:ascii="Palatino Linotype" w:hAnsi="Palatino Linotype"/>
          <w:sz w:val="24"/>
          <w:szCs w:val="24"/>
        </w:rPr>
        <w:lastRenderedPageBreak/>
        <w:t>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Default="00677DA9" w:rsidP="00677DA9">
      <w:pPr>
        <w:pStyle w:val="ListParagraph"/>
        <w:numPr>
          <w:ilvl w:val="0"/>
          <w:numId w:val="13"/>
        </w:numPr>
        <w:rPr>
          <w:lang w:val="it-IT"/>
        </w:rPr>
      </w:pPr>
      <w:r w:rsidRPr="00677DA9">
        <w:rPr>
          <w:lang w:val="it-IT"/>
        </w:rPr>
        <w:t>Dal paper le formule a</w:t>
      </w:r>
      <w:r>
        <w:rPr>
          <w:lang w:val="it-IT"/>
        </w:rPr>
        <w:t>pplicate ad un contesto energetico con pippardone sugli impianti offgrid e qualche grafico rivendibile</w:t>
      </w:r>
    </w:p>
    <w:p w14:paraId="6AB97F1A" w14:textId="5C2B374A" w:rsidR="00406390" w:rsidRDefault="007A3A47" w:rsidP="007A3A47">
      <w:pPr>
        <w:jc w:val="both"/>
        <w:rPr>
          <w:rFonts w:ascii="Palatino Linotype" w:hAnsi="Palatino Linotype"/>
          <w:sz w:val="24"/>
          <w:szCs w:val="24"/>
        </w:rPr>
      </w:pPr>
      <w:r w:rsidRPr="007A3A47">
        <w:rPr>
          <w:rFonts w:ascii="Palatino Linotype" w:hAnsi="Palatino Linotype"/>
          <w:sz w:val="24"/>
          <w:szCs w:val="24"/>
        </w:rPr>
        <w:t>In order to establish effective metrics to evaluate the energy</w:t>
      </w:r>
      <w:r>
        <w:rPr>
          <w:rFonts w:ascii="Palatino Linotype" w:hAnsi="Palatino Linotype"/>
          <w:sz w:val="24"/>
          <w:szCs w:val="24"/>
        </w:rPr>
        <w:t xml:space="preserve"> </w:t>
      </w:r>
      <w:r w:rsidRPr="007A3A47">
        <w:rPr>
          <w:rFonts w:ascii="Palatino Linotype" w:hAnsi="Palatino Linotype"/>
          <w:sz w:val="24"/>
          <w:szCs w:val="24"/>
        </w:rPr>
        <w:t>resilience of community-level energy systems, this section focuses</w:t>
      </w:r>
      <w:r>
        <w:rPr>
          <w:rFonts w:ascii="Palatino Linotype" w:hAnsi="Palatino Linotype"/>
          <w:sz w:val="24"/>
          <w:szCs w:val="24"/>
        </w:rPr>
        <w:t xml:space="preserve"> </w:t>
      </w:r>
      <w:r w:rsidRPr="007A3A47">
        <w:rPr>
          <w:rFonts w:ascii="Palatino Linotype" w:hAnsi="Palatino Linotype"/>
          <w:sz w:val="24"/>
          <w:szCs w:val="24"/>
        </w:rPr>
        <w:t>on performance-based resilience metrics at the system level. A</w:t>
      </w:r>
      <w:r>
        <w:rPr>
          <w:rFonts w:ascii="Palatino Linotype" w:hAnsi="Palatino Linotype"/>
          <w:sz w:val="24"/>
          <w:szCs w:val="24"/>
        </w:rPr>
        <w:t xml:space="preserve"> </w:t>
      </w:r>
      <w:r w:rsidRPr="007A3A47">
        <w:rPr>
          <w:rFonts w:ascii="Palatino Linotype" w:hAnsi="Palatino Linotype"/>
          <w:sz w:val="24"/>
          <w:szCs w:val="24"/>
        </w:rPr>
        <w:t>resilience framework is introduced, including a set of metrics that</w:t>
      </w:r>
      <w:r>
        <w:rPr>
          <w:rFonts w:ascii="Palatino Linotype" w:hAnsi="Palatino Linotype"/>
          <w:sz w:val="24"/>
          <w:szCs w:val="24"/>
        </w:rPr>
        <w:t xml:space="preserve"> </w:t>
      </w:r>
      <w:r w:rsidRPr="007A3A47">
        <w:rPr>
          <w:rFonts w:ascii="Palatino Linotype" w:hAnsi="Palatino Linotype"/>
          <w:sz w:val="24"/>
          <w:szCs w:val="24"/>
        </w:rPr>
        <w:t>are crucial in the process of decision-making and energy master</w:t>
      </w:r>
      <w:r>
        <w:rPr>
          <w:rFonts w:ascii="Palatino Linotype" w:hAnsi="Palatino Linotype"/>
          <w:sz w:val="24"/>
          <w:szCs w:val="24"/>
        </w:rPr>
        <w:t xml:space="preserve"> </w:t>
      </w:r>
      <w:r w:rsidRPr="007A3A47">
        <w:rPr>
          <w:rFonts w:ascii="Palatino Linotype" w:hAnsi="Palatino Linotype"/>
          <w:sz w:val="24"/>
          <w:szCs w:val="24"/>
        </w:rPr>
        <w:t>planning for communities. The present resilience framework utilizes the resilience trapezoid concept</w:t>
      </w:r>
      <w:r>
        <w:rPr>
          <w:rFonts w:ascii="Palatino Linotype" w:hAnsi="Palatino Linotype"/>
          <w:sz w:val="24"/>
          <w:szCs w:val="24"/>
        </w:rPr>
        <w:t xml:space="preserve"> [5]</w:t>
      </w:r>
      <w:r w:rsidRPr="007A3A47">
        <w:rPr>
          <w:rFonts w:ascii="Palatino Linotype" w:hAnsi="Palatino Linotype"/>
          <w:sz w:val="24"/>
          <w:szCs w:val="24"/>
        </w:rPr>
        <w:t xml:space="preserve"> to measure (qualitatively and</w:t>
      </w:r>
      <w:r>
        <w:rPr>
          <w:rFonts w:ascii="Palatino Linotype" w:hAnsi="Palatino Linotype"/>
          <w:sz w:val="24"/>
          <w:szCs w:val="24"/>
        </w:rPr>
        <w:t xml:space="preserve"> </w:t>
      </w:r>
      <w:r w:rsidRPr="007A3A47">
        <w:rPr>
          <w:rFonts w:ascii="Palatino Linotype" w:hAnsi="Palatino Linotype"/>
          <w:sz w:val="24"/>
          <w:szCs w:val="24"/>
        </w:rPr>
        <w:t xml:space="preserve">quantitively) the resilience performance of a community-level energy system, </w:t>
      </w:r>
      <w:r w:rsidRPr="007A3A47">
        <w:rPr>
          <w:rFonts w:ascii="Palatino Linotype" w:hAnsi="Palatino Linotype"/>
          <w:sz w:val="24"/>
          <w:szCs w:val="24"/>
        </w:rPr>
        <w:lastRenderedPageBreak/>
        <w:t>proposing a consistent treatment of resilience metrics,</w:t>
      </w:r>
      <w:r>
        <w:rPr>
          <w:rFonts w:ascii="Palatino Linotype" w:hAnsi="Palatino Linotype"/>
          <w:sz w:val="24"/>
          <w:szCs w:val="24"/>
        </w:rPr>
        <w:t xml:space="preserve"> </w:t>
      </w:r>
      <w:r w:rsidRPr="007A3A47">
        <w:rPr>
          <w:rFonts w:ascii="Palatino Linotype" w:hAnsi="Palatino Linotype"/>
          <w:sz w:val="24"/>
          <w:szCs w:val="24"/>
        </w:rPr>
        <w:t>dimensions, and phases. This framework is a guide to resilience</w:t>
      </w:r>
      <w:r>
        <w:rPr>
          <w:rFonts w:ascii="Palatino Linotype" w:hAnsi="Palatino Linotype"/>
          <w:sz w:val="24"/>
          <w:szCs w:val="24"/>
        </w:rPr>
        <w:t xml:space="preserve"> </w:t>
      </w:r>
      <w:r w:rsidRPr="007A3A47">
        <w:rPr>
          <w:rFonts w:ascii="Palatino Linotype" w:hAnsi="Palatino Linotype"/>
          <w:sz w:val="24"/>
          <w:szCs w:val="24"/>
        </w:rPr>
        <w:t>planning and provides many opportunities for specific resilience</w:t>
      </w:r>
      <w:r>
        <w:rPr>
          <w:rFonts w:ascii="Palatino Linotype" w:hAnsi="Palatino Linotype"/>
          <w:sz w:val="24"/>
          <w:szCs w:val="24"/>
        </w:rPr>
        <w:t xml:space="preserve"> </w:t>
      </w:r>
      <w:r w:rsidRPr="007A3A47">
        <w:rPr>
          <w:rFonts w:ascii="Palatino Linotype" w:hAnsi="Palatino Linotype"/>
          <w:sz w:val="24"/>
          <w:szCs w:val="24"/>
        </w:rPr>
        <w:t>enhancement. These resilience metrics, dimensions, and phases are</w:t>
      </w:r>
      <w:r>
        <w:rPr>
          <w:rFonts w:ascii="Palatino Linotype" w:hAnsi="Palatino Linotype"/>
          <w:sz w:val="24"/>
          <w:szCs w:val="24"/>
        </w:rPr>
        <w:t xml:space="preserve"> </w:t>
      </w:r>
      <w:r w:rsidRPr="007A3A47">
        <w:rPr>
          <w:rFonts w:ascii="Palatino Linotype" w:hAnsi="Palatino Linotype"/>
          <w:sz w:val="24"/>
          <w:szCs w:val="24"/>
        </w:rPr>
        <w:t>defined and presented individually. The next section discusses how</w:t>
      </w:r>
      <w:r>
        <w:rPr>
          <w:rFonts w:ascii="Palatino Linotype" w:hAnsi="Palatino Linotype"/>
          <w:sz w:val="24"/>
          <w:szCs w:val="24"/>
        </w:rPr>
        <w:t xml:space="preserve"> </w:t>
      </w:r>
      <w:r w:rsidRPr="007A3A47">
        <w:rPr>
          <w:rFonts w:ascii="Palatino Linotype" w:hAnsi="Palatino Linotype"/>
          <w:sz w:val="24"/>
          <w:szCs w:val="24"/>
        </w:rPr>
        <w:t>the presented metrics can work together and be integrated into the</w:t>
      </w:r>
      <w:r>
        <w:rPr>
          <w:rFonts w:ascii="Palatino Linotype" w:hAnsi="Palatino Linotype"/>
          <w:sz w:val="24"/>
          <w:szCs w:val="24"/>
        </w:rPr>
        <w:t xml:space="preserve"> </w:t>
      </w:r>
      <w:r w:rsidRPr="007A3A47">
        <w:rPr>
          <w:rFonts w:ascii="Palatino Linotype" w:hAnsi="Palatino Linotype"/>
          <w:sz w:val="24"/>
          <w:szCs w:val="24"/>
        </w:rPr>
        <w:t>resilience planning process during energy master planning to</w:t>
      </w:r>
      <w:r>
        <w:rPr>
          <w:rFonts w:ascii="Palatino Linotype" w:hAnsi="Palatino Linotype"/>
          <w:sz w:val="24"/>
          <w:szCs w:val="24"/>
        </w:rPr>
        <w:t xml:space="preserve"> </w:t>
      </w:r>
      <w:r w:rsidRPr="007A3A47">
        <w:rPr>
          <w:rFonts w:ascii="Palatino Linotype" w:hAnsi="Palatino Linotype"/>
          <w:sz w:val="24"/>
          <w:szCs w:val="24"/>
        </w:rPr>
        <w:t>enhance the energy resilience of the community.</w:t>
      </w:r>
      <w:r>
        <w:rPr>
          <w:rFonts w:ascii="Palatino Linotype" w:hAnsi="Palatino Linotype"/>
          <w:sz w:val="24"/>
          <w:szCs w:val="24"/>
        </w:rPr>
        <w:t xml:space="preserve"> </w:t>
      </w:r>
    </w:p>
    <w:p w14:paraId="10EFEE6A" w14:textId="77777777" w:rsidR="007A3A47" w:rsidRDefault="007A3A47" w:rsidP="007A3A47">
      <w:pPr>
        <w:jc w:val="both"/>
        <w:rPr>
          <w:rFonts w:ascii="Palatino Linotype" w:hAnsi="Palatino Linotype"/>
          <w:sz w:val="24"/>
          <w:szCs w:val="24"/>
        </w:rPr>
      </w:pPr>
    </w:p>
    <w:p w14:paraId="4F546642" w14:textId="14143047" w:rsidR="007A3A47" w:rsidRDefault="007A3A47" w:rsidP="007A3A47">
      <w:pPr>
        <w:jc w:val="center"/>
        <w:rPr>
          <w:rFonts w:ascii="Palatino Linotype" w:hAnsi="Palatino Linotype"/>
          <w:sz w:val="24"/>
          <w:szCs w:val="24"/>
        </w:rPr>
      </w:pPr>
      <w:r w:rsidRPr="007A3A47">
        <w:rPr>
          <w:rFonts w:ascii="Palatino Linotype" w:hAnsi="Palatino Linotype"/>
          <w:noProof/>
          <w:sz w:val="24"/>
          <w:szCs w:val="24"/>
        </w:rPr>
        <w:drawing>
          <wp:inline distT="0" distB="0" distL="0" distR="0" wp14:anchorId="658CE011" wp14:editId="6652C09D">
            <wp:extent cx="3877310" cy="2095582"/>
            <wp:effectExtent l="0" t="0" r="0" b="0"/>
            <wp:docPr id="1707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345" name=""/>
                    <pic:cNvPicPr/>
                  </pic:nvPicPr>
                  <pic:blipFill>
                    <a:blip r:embed="rId38"/>
                    <a:stretch>
                      <a:fillRect/>
                    </a:stretch>
                  </pic:blipFill>
                  <pic:spPr>
                    <a:xfrm>
                      <a:off x="0" y="0"/>
                      <a:ext cx="3892066" cy="2103557"/>
                    </a:xfrm>
                    <a:prstGeom prst="rect">
                      <a:avLst/>
                    </a:prstGeom>
                  </pic:spPr>
                </pic:pic>
              </a:graphicData>
            </a:graphic>
          </wp:inline>
        </w:drawing>
      </w:r>
    </w:p>
    <w:p w14:paraId="35546281" w14:textId="68874CF8" w:rsidR="007A3A47" w:rsidRDefault="007A3A47" w:rsidP="007A3A47">
      <w:pPr>
        <w:jc w:val="center"/>
        <w:rPr>
          <w:rFonts w:ascii="Palatino Linotype" w:hAnsi="Palatino Linotype"/>
          <w:sz w:val="16"/>
          <w:szCs w:val="16"/>
        </w:rPr>
      </w:pPr>
      <w:r w:rsidRPr="007A3A47">
        <w:rPr>
          <w:rFonts w:ascii="Palatino Linotype" w:hAnsi="Palatino Linotype"/>
          <w:b/>
          <w:bCs/>
          <w:sz w:val="16"/>
          <w:szCs w:val="16"/>
        </w:rPr>
        <w:t>Fig. 21:</w:t>
      </w:r>
      <w:r w:rsidRPr="007A3A47">
        <w:rPr>
          <w:rFonts w:ascii="Palatino Linotype" w:hAnsi="Palatino Linotype"/>
          <w:sz w:val="16"/>
          <w:szCs w:val="16"/>
        </w:rPr>
        <w:t xml:space="preserve"> Conceptual multi-phase energy resilience trapezoid [5]</w:t>
      </w:r>
    </w:p>
    <w:p w14:paraId="1DCCED68" w14:textId="27292AB6" w:rsidR="00DA17C9" w:rsidRDefault="007A3A47" w:rsidP="007A3A47">
      <w:pPr>
        <w:jc w:val="both"/>
        <w:rPr>
          <w:rFonts w:ascii="Palatino Linotype" w:hAnsi="Palatino Linotype"/>
          <w:sz w:val="24"/>
          <w:szCs w:val="24"/>
        </w:rPr>
      </w:pPr>
      <w:r>
        <w:rPr>
          <w:rFonts w:ascii="Palatino Linotype" w:hAnsi="Palatino Linotype"/>
          <w:sz w:val="24"/>
          <w:szCs w:val="24"/>
        </w:rPr>
        <w:t xml:space="preserve">The multi-phase energy resilience trapezoid is </w:t>
      </w:r>
      <w:r w:rsidR="00925292">
        <w:rPr>
          <w:rFonts w:ascii="Palatino Linotype" w:hAnsi="Palatino Linotype"/>
          <w:sz w:val="24"/>
          <w:szCs w:val="24"/>
        </w:rPr>
        <w:t>reconceptualized</w:t>
      </w:r>
      <w:r>
        <w:rPr>
          <w:rFonts w:ascii="Palatino Linotype" w:hAnsi="Palatino Linotype"/>
          <w:sz w:val="24"/>
          <w:szCs w:val="24"/>
        </w:rPr>
        <w:t xml:space="preserve"> in Fig.21, with different layers. In the robust state, the energy system is working at nearly 100% (or providing reliable energy supply).</w:t>
      </w:r>
      <w:r w:rsidR="00DA17C9">
        <w:rPr>
          <w:rFonts w:ascii="Palatino Linotype" w:hAnsi="Palatino Linotype"/>
          <w:sz w:val="24"/>
          <w:szCs w:val="24"/>
        </w:rPr>
        <w:t xml:space="preserve"> In the case that an external event causes a noticeable </w:t>
      </w:r>
      <w:r w:rsidR="00925292">
        <w:rPr>
          <w:rFonts w:ascii="Palatino Linotype" w:hAnsi="Palatino Linotype"/>
          <w:sz w:val="24"/>
          <w:szCs w:val="24"/>
        </w:rPr>
        <w:t>disruption</w:t>
      </w:r>
      <w:r w:rsidR="00DA17C9">
        <w:rPr>
          <w:rFonts w:ascii="Palatino Linotype" w:hAnsi="Palatino Linotype"/>
          <w:sz w:val="24"/>
          <w:szCs w:val="24"/>
        </w:rPr>
        <w:t xml:space="preserve"> </w:t>
      </w:r>
      <w:r w:rsidR="00925292">
        <w:rPr>
          <w:rFonts w:ascii="Palatino Linotype" w:hAnsi="Palatino Linotype"/>
          <w:sz w:val="24"/>
          <w:szCs w:val="24"/>
        </w:rPr>
        <w:t>b</w:t>
      </w:r>
      <w:r w:rsidR="00DA17C9">
        <w:rPr>
          <w:rFonts w:ascii="Palatino Linotype" w:hAnsi="Palatino Linotype"/>
          <w:sz w:val="24"/>
          <w:szCs w:val="24"/>
        </w:rPr>
        <w:t>eyond what the system is able to handle, the system’s ability to avoid permanent failure and bounce back is illustrated with three layers of resilience [15], working in progression or concurrently, that emphasizes on three dimensions of system resilience performance.</w:t>
      </w:r>
    </w:p>
    <w:p w14:paraId="16371D8C" w14:textId="3CA00851" w:rsidR="00DA17C9" w:rsidRDefault="00DA17C9" w:rsidP="007A3A47">
      <w:pPr>
        <w:jc w:val="both"/>
        <w:rPr>
          <w:rFonts w:ascii="Palatino Linotype" w:hAnsi="Palatino Linotype"/>
          <w:sz w:val="24"/>
          <w:szCs w:val="24"/>
        </w:rPr>
      </w:pPr>
      <w:r>
        <w:rPr>
          <w:rFonts w:ascii="Palatino Linotype" w:hAnsi="Palatino Linotype"/>
          <w:sz w:val="24"/>
          <w:szCs w:val="24"/>
        </w:rPr>
        <w:t xml:space="preserve">The first layer of resilience is built-in or “engineering-designed resilience”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Engineering</m:t>
            </m:r>
          </m:sub>
        </m:sSub>
      </m:oMath>
      <w:r>
        <w:rPr>
          <w:rFonts w:ascii="Palatino Linotype" w:hAnsi="Palatino Linotype"/>
          <w:sz w:val="24"/>
          <w:szCs w:val="24"/>
        </w:rPr>
        <w:t xml:space="preserve">). In this approach, the overall energy system assets may be designed in such a way that normal services can be restored after a short </w:t>
      </w:r>
      <w:r w:rsidR="00925292">
        <w:rPr>
          <w:rFonts w:ascii="Palatino Linotype" w:hAnsi="Palatino Linotype"/>
          <w:sz w:val="24"/>
          <w:szCs w:val="24"/>
        </w:rPr>
        <w:t>disruption</w:t>
      </w:r>
      <w:r>
        <w:rPr>
          <w:rFonts w:ascii="Palatino Linotype" w:hAnsi="Palatino Linotype"/>
          <w:sz w:val="24"/>
          <w:szCs w:val="24"/>
        </w:rPr>
        <w:t>, without human intervention. In some sense, this may be seen as an extension of a system designed for reliability and redundancy. But it also provides the opportunity for other or new innovative solutions (e.g. self-healing systems) that are activated when the primary system fails.</w:t>
      </w:r>
    </w:p>
    <w:p w14:paraId="5F52DE5E" w14:textId="01D7A65A" w:rsidR="00925292" w:rsidRDefault="00925292" w:rsidP="007A3A47">
      <w:pPr>
        <w:jc w:val="both"/>
        <w:rPr>
          <w:rFonts w:ascii="Palatino Linotype" w:hAnsi="Palatino Linotype"/>
          <w:sz w:val="24"/>
          <w:szCs w:val="24"/>
        </w:rPr>
      </w:pPr>
      <w:r>
        <w:rPr>
          <w:rFonts w:ascii="Palatino Linotype" w:hAnsi="Palatino Linotype"/>
          <w:sz w:val="24"/>
          <w:szCs w:val="24"/>
        </w:rPr>
        <w:t>The next layer is “operational resilience”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Operational</m:t>
            </m:r>
          </m:sub>
        </m:sSub>
        <m:r>
          <w:rPr>
            <w:rFonts w:ascii="Cambria Math" w:hAnsi="Cambria Math"/>
            <w:sz w:val="24"/>
            <w:szCs w:val="24"/>
          </w:rPr>
          <m:t>)</m:t>
        </m:r>
      </m:oMath>
      <w:r>
        <w:rPr>
          <w:rFonts w:ascii="Palatino Linotype" w:hAnsi="Palatino Linotype"/>
          <w:sz w:val="24"/>
          <w:szCs w:val="24"/>
        </w:rPr>
        <w:t>, which is the set of technological and organizational measures that can be employed when the disruption exceeds the capacity of engineering-designed resilience. This also includes the processes of decision-making – from th</w:t>
      </w:r>
      <w:r w:rsidR="00FB50A8">
        <w:rPr>
          <w:rFonts w:ascii="Palatino Linotype" w:hAnsi="Palatino Linotype"/>
          <w:sz w:val="24"/>
          <w:szCs w:val="24"/>
        </w:rPr>
        <w:t>e team or organization level, up to the whole energy sector in a region – that are necessary to contain damage or preserve a certain level of service, and later to fully restore services.</w:t>
      </w:r>
    </w:p>
    <w:p w14:paraId="5834740E" w14:textId="60D3B3DD" w:rsidR="00FB50A8" w:rsidRDefault="00FB50A8" w:rsidP="007A3A47">
      <w:pPr>
        <w:jc w:val="both"/>
        <w:rPr>
          <w:rFonts w:ascii="Palatino Linotype" w:hAnsi="Palatino Linotype"/>
          <w:sz w:val="24"/>
          <w:szCs w:val="24"/>
        </w:rPr>
      </w:pPr>
      <w:r>
        <w:rPr>
          <w:rFonts w:ascii="Palatino Linotype" w:hAnsi="Palatino Linotype"/>
          <w:sz w:val="24"/>
          <w:szCs w:val="24"/>
        </w:rPr>
        <w:t xml:space="preserve">The next level is “community (and societal) resilience”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Community</m:t>
            </m:r>
          </m:sub>
        </m:sSub>
        <m:r>
          <w:rPr>
            <w:rFonts w:ascii="Cambria Math" w:hAnsi="Cambria Math"/>
            <w:sz w:val="24"/>
            <w:szCs w:val="24"/>
          </w:rPr>
          <m:t>)</m:t>
        </m:r>
      </m:oMath>
      <w:r>
        <w:rPr>
          <w:rFonts w:ascii="Palatino Linotype" w:hAnsi="Palatino Linotype"/>
          <w:sz w:val="24"/>
          <w:szCs w:val="24"/>
        </w:rPr>
        <w:t xml:space="preserve">, which needs to be invoked as part of the solution when appropriate, especially when engineering resilience </w:t>
      </w:r>
      <w:r>
        <w:rPr>
          <w:rFonts w:ascii="Palatino Linotype" w:hAnsi="Palatino Linotype"/>
          <w:sz w:val="24"/>
          <w:szCs w:val="24"/>
        </w:rPr>
        <w:lastRenderedPageBreak/>
        <w:t xml:space="preserve">and operational resilience alone are not sufficient to address disruption. This resilience is defined as “community processes that can restore, maintain or enhance community wellbeing int the face of natural disaster or rapid change”. </w:t>
      </w:r>
    </w:p>
    <w:p w14:paraId="2B974470" w14:textId="67D9BC31" w:rsidR="00FB50A8" w:rsidRPr="007A3A47" w:rsidRDefault="00FB50A8" w:rsidP="007A3A47">
      <w:pPr>
        <w:jc w:val="both"/>
        <w:rPr>
          <w:rFonts w:ascii="Palatino Linotype" w:hAnsi="Palatino Linotype"/>
          <w:sz w:val="24"/>
          <w:szCs w:val="24"/>
        </w:rPr>
      </w:pPr>
      <w:r>
        <w:rPr>
          <w:rFonts w:ascii="Palatino Linotype" w:hAnsi="Palatino Linotype"/>
          <w:sz w:val="24"/>
          <w:szCs w:val="24"/>
        </w:rPr>
        <w:t>I extend</w:t>
      </w:r>
      <w:r w:rsidRPr="00FB50A8">
        <w:rPr>
          <w:rFonts w:ascii="Palatino Linotype" w:hAnsi="Palatino Linotype"/>
          <w:sz w:val="24"/>
          <w:szCs w:val="24"/>
        </w:rPr>
        <w:t xml:space="preserve"> the definition to</w:t>
      </w:r>
      <w:r>
        <w:rPr>
          <w:rFonts w:ascii="Palatino Linotype" w:hAnsi="Palatino Linotype"/>
          <w:sz w:val="24"/>
          <w:szCs w:val="24"/>
        </w:rPr>
        <w:t xml:space="preserve"> </w:t>
      </w:r>
      <w:r w:rsidRPr="00FB50A8">
        <w:rPr>
          <w:rFonts w:ascii="Palatino Linotype" w:hAnsi="Palatino Linotype"/>
          <w:sz w:val="24"/>
          <w:szCs w:val="24"/>
        </w:rPr>
        <w:t>include the cooperation, collaboration, or partnership needed be-tween the energy service providers and the demand-side consumers (the</w:t>
      </w:r>
      <w:r>
        <w:rPr>
          <w:rFonts w:ascii="Palatino Linotype" w:hAnsi="Palatino Linotype"/>
          <w:sz w:val="24"/>
          <w:szCs w:val="24"/>
        </w:rPr>
        <w:t xml:space="preserve"> “</w:t>
      </w:r>
      <w:r w:rsidRPr="00FB50A8">
        <w:rPr>
          <w:rFonts w:ascii="Palatino Linotype" w:hAnsi="Palatino Linotype"/>
          <w:sz w:val="24"/>
          <w:szCs w:val="24"/>
        </w:rPr>
        <w:t>community”). But there is also a broad range of</w:t>
      </w:r>
      <w:r>
        <w:rPr>
          <w:rFonts w:ascii="Palatino Linotype" w:hAnsi="Palatino Linotype"/>
          <w:sz w:val="24"/>
          <w:szCs w:val="24"/>
        </w:rPr>
        <w:t xml:space="preserve"> </w:t>
      </w:r>
      <w:r w:rsidRPr="00FB50A8">
        <w:rPr>
          <w:rFonts w:ascii="Palatino Linotype" w:hAnsi="Palatino Linotype"/>
          <w:sz w:val="24"/>
          <w:szCs w:val="24"/>
        </w:rPr>
        <w:t>stakeholders within a society, whose cooperation and contributions to manage the disruptions and help bring the service back will</w:t>
      </w:r>
      <w:r>
        <w:rPr>
          <w:rFonts w:ascii="Palatino Linotype" w:hAnsi="Palatino Linotype"/>
          <w:sz w:val="24"/>
          <w:szCs w:val="24"/>
        </w:rPr>
        <w:t xml:space="preserve"> </w:t>
      </w:r>
      <w:r w:rsidRPr="00FB50A8">
        <w:rPr>
          <w:rFonts w:ascii="Palatino Linotype" w:hAnsi="Palatino Linotype"/>
          <w:sz w:val="24"/>
          <w:szCs w:val="24"/>
        </w:rPr>
        <w:t>be critical. Thus, the community-societal resilience concept can</w:t>
      </w:r>
      <w:r>
        <w:rPr>
          <w:rFonts w:ascii="Palatino Linotype" w:hAnsi="Palatino Linotype"/>
          <w:sz w:val="24"/>
          <w:szCs w:val="24"/>
        </w:rPr>
        <w:t xml:space="preserve"> </w:t>
      </w:r>
      <w:r w:rsidRPr="00FB50A8">
        <w:rPr>
          <w:rFonts w:ascii="Palatino Linotype" w:hAnsi="Palatino Linotype"/>
          <w:sz w:val="24"/>
          <w:szCs w:val="24"/>
        </w:rPr>
        <w:t>span the range of resilience partners</w:t>
      </w:r>
      <w:r>
        <w:rPr>
          <w:rFonts w:ascii="Palatino Linotype" w:hAnsi="Palatino Linotype"/>
          <w:sz w:val="24"/>
          <w:szCs w:val="24"/>
        </w:rPr>
        <w:t xml:space="preserve"> </w:t>
      </w:r>
      <w:r w:rsidRPr="00FB50A8">
        <w:rPr>
          <w:rFonts w:ascii="Palatino Linotype" w:hAnsi="Palatino Linotype"/>
          <w:sz w:val="24"/>
          <w:szCs w:val="24"/>
        </w:rPr>
        <w:t>from the direct energy</w:t>
      </w:r>
      <w:r>
        <w:rPr>
          <w:rFonts w:ascii="Palatino Linotype" w:hAnsi="Palatino Linotype"/>
          <w:sz w:val="24"/>
          <w:szCs w:val="24"/>
        </w:rPr>
        <w:t xml:space="preserve"> </w:t>
      </w:r>
      <w:r w:rsidRPr="00FB50A8">
        <w:rPr>
          <w:rFonts w:ascii="Palatino Linotype" w:hAnsi="Palatino Linotype"/>
          <w:sz w:val="24"/>
          <w:szCs w:val="24"/>
        </w:rPr>
        <w:t>consumers only, to one that includes some or all of the key stake-holders from the wider society interacting with either or both the</w:t>
      </w:r>
      <w:r>
        <w:rPr>
          <w:rFonts w:ascii="Palatino Linotype" w:hAnsi="Palatino Linotype"/>
          <w:sz w:val="24"/>
          <w:szCs w:val="24"/>
        </w:rPr>
        <w:t xml:space="preserve"> </w:t>
      </w:r>
      <w:r w:rsidRPr="00FB50A8">
        <w:rPr>
          <w:rFonts w:ascii="Palatino Linotype" w:hAnsi="Palatino Linotype"/>
          <w:sz w:val="24"/>
          <w:szCs w:val="24"/>
        </w:rPr>
        <w:t>supply-side industry actors and the demand-side consumers.</w:t>
      </w:r>
      <w:r>
        <w:rPr>
          <w:rFonts w:ascii="Palatino Linotype" w:hAnsi="Palatino Linotype"/>
          <w:sz w:val="24"/>
          <w:szCs w:val="24"/>
        </w:rPr>
        <w:t xml:space="preserve"> </w:t>
      </w:r>
      <w:r w:rsidRPr="00FB50A8">
        <w:rPr>
          <w:rFonts w:ascii="Palatino Linotype" w:hAnsi="Palatino Linotype"/>
          <w:sz w:val="24"/>
          <w:szCs w:val="24"/>
        </w:rPr>
        <w:t>The three main resilience layers are shown with respect to time</w:t>
      </w:r>
      <w:r>
        <w:rPr>
          <w:rFonts w:ascii="Palatino Linotype" w:hAnsi="Palatino Linotype"/>
          <w:sz w:val="24"/>
          <w:szCs w:val="24"/>
        </w:rPr>
        <w:t xml:space="preserve"> </w:t>
      </w:r>
      <w:r w:rsidRPr="00FB50A8">
        <w:rPr>
          <w:rFonts w:ascii="Palatino Linotype" w:hAnsi="Palatino Linotype"/>
          <w:sz w:val="24"/>
          <w:szCs w:val="24"/>
        </w:rPr>
        <w:t>in</w:t>
      </w:r>
      <w:r>
        <w:rPr>
          <w:rFonts w:ascii="Palatino Linotype" w:hAnsi="Palatino Linotype"/>
          <w:sz w:val="24"/>
          <w:szCs w:val="24"/>
        </w:rPr>
        <w:t xml:space="preserve"> </w:t>
      </w:r>
      <w:r w:rsidRPr="00FB50A8">
        <w:rPr>
          <w:rFonts w:ascii="Palatino Linotype" w:hAnsi="Palatino Linotype"/>
          <w:sz w:val="24"/>
          <w:szCs w:val="24"/>
        </w:rPr>
        <w:t xml:space="preserve">Fig. </w:t>
      </w:r>
      <w:r>
        <w:rPr>
          <w:rFonts w:ascii="Palatino Linotype" w:hAnsi="Palatino Linotype"/>
          <w:sz w:val="24"/>
          <w:szCs w:val="24"/>
        </w:rPr>
        <w:t>21</w:t>
      </w:r>
      <w:r w:rsidRPr="00FB50A8">
        <w:rPr>
          <w:rFonts w:ascii="Palatino Linotype" w:hAnsi="Palatino Linotype"/>
          <w:sz w:val="24"/>
          <w:szCs w:val="24"/>
        </w:rPr>
        <w:t>. This period of time is divided into four states including the</w:t>
      </w:r>
      <w:r w:rsidR="0021647B">
        <w:rPr>
          <w:rFonts w:ascii="Palatino Linotype" w:hAnsi="Palatino Linotype"/>
          <w:sz w:val="24"/>
          <w:szCs w:val="24"/>
        </w:rPr>
        <w:t xml:space="preserve"> </w:t>
      </w:r>
      <w:r w:rsidRPr="00FB50A8">
        <w:rPr>
          <w:rFonts w:ascii="Palatino Linotype" w:hAnsi="Palatino Linotype"/>
          <w:sz w:val="24"/>
          <w:szCs w:val="24"/>
        </w:rPr>
        <w:t xml:space="preserve">robust state (before the event), shortly after the event </w:t>
      </w:r>
      <w:r w:rsidR="0021647B" w:rsidRPr="00FB50A8">
        <w:rPr>
          <w:rFonts w:ascii="Palatino Linotype" w:hAnsi="Palatino Linotype"/>
          <w:sz w:val="24"/>
          <w:szCs w:val="24"/>
        </w:rPr>
        <w:t>state (</w:t>
      </w:r>
      <w:r w:rsidRPr="00FB50A8">
        <w:rPr>
          <w:rFonts w:ascii="Palatino Linotype" w:hAnsi="Palatino Linotype"/>
          <w:sz w:val="24"/>
          <w:szCs w:val="24"/>
        </w:rPr>
        <w:t>including event occurrence state), the recovery state, and the post-recovery state. In each resilience layer, the trapezoid size, slopes,</w:t>
      </w:r>
      <w:r w:rsidR="0021647B">
        <w:rPr>
          <w:rFonts w:ascii="Palatino Linotype" w:hAnsi="Palatino Linotype"/>
          <w:sz w:val="24"/>
          <w:szCs w:val="24"/>
        </w:rPr>
        <w:t xml:space="preserve"> </w:t>
      </w:r>
      <w:r w:rsidRPr="00FB50A8">
        <w:rPr>
          <w:rFonts w:ascii="Palatino Linotype" w:hAnsi="Palatino Linotype"/>
          <w:sz w:val="24"/>
          <w:szCs w:val="24"/>
        </w:rPr>
        <w:t>sequence, the length of temporal states and the proportion of</w:t>
      </w:r>
      <w:r w:rsidR="0021647B">
        <w:rPr>
          <w:rFonts w:ascii="Palatino Linotype" w:hAnsi="Palatino Linotype"/>
          <w:sz w:val="24"/>
          <w:szCs w:val="24"/>
        </w:rPr>
        <w:t xml:space="preserve"> </w:t>
      </w:r>
      <w:r w:rsidRPr="00FB50A8">
        <w:rPr>
          <w:rFonts w:ascii="Palatino Linotype" w:hAnsi="Palatino Linotype"/>
          <w:sz w:val="24"/>
          <w:szCs w:val="24"/>
        </w:rPr>
        <w:t xml:space="preserve">presented resilience layers mainly depend on the system performance and type of the disruptive event. Shinozuka, Chang </w:t>
      </w:r>
      <w:r w:rsidR="0021647B">
        <w:rPr>
          <w:rFonts w:ascii="Palatino Linotype" w:hAnsi="Palatino Linotype"/>
          <w:sz w:val="24"/>
          <w:szCs w:val="24"/>
        </w:rPr>
        <w:t xml:space="preserve">&amp; al. </w:t>
      </w:r>
      <w:r w:rsidRPr="00FB50A8">
        <w:rPr>
          <w:rFonts w:ascii="Palatino Linotype" w:hAnsi="Palatino Linotype"/>
          <w:sz w:val="24"/>
          <w:szCs w:val="24"/>
        </w:rPr>
        <w:t>called system resilience capacity (C),</w:t>
      </w:r>
      <w:r w:rsidR="0021647B">
        <w:rPr>
          <w:rFonts w:ascii="Palatino Linotype" w:hAnsi="Palatino Linotype"/>
          <w:sz w:val="24"/>
          <w:szCs w:val="24"/>
        </w:rPr>
        <w:t xml:space="preserve"> </w:t>
      </w:r>
      <w:r w:rsidRPr="00FB50A8">
        <w:rPr>
          <w:rFonts w:ascii="Palatino Linotype" w:hAnsi="Palatino Linotype"/>
          <w:sz w:val="24"/>
          <w:szCs w:val="24"/>
        </w:rPr>
        <w:t>“system robustness”</w:t>
      </w:r>
      <w:r w:rsidR="0021647B">
        <w:rPr>
          <w:rFonts w:ascii="Palatino Linotype" w:hAnsi="Palatino Linotype"/>
          <w:sz w:val="24"/>
          <w:szCs w:val="24"/>
        </w:rPr>
        <w:t xml:space="preserve"> </w:t>
      </w:r>
      <w:r w:rsidRPr="00FB50A8">
        <w:rPr>
          <w:rFonts w:ascii="Palatino Linotype" w:hAnsi="Palatino Linotype"/>
          <w:sz w:val="24"/>
          <w:szCs w:val="24"/>
        </w:rPr>
        <w:t>which is</w:t>
      </w:r>
      <w:r w:rsidR="0021647B">
        <w:rPr>
          <w:rFonts w:ascii="Palatino Linotype" w:hAnsi="Palatino Linotype"/>
          <w:sz w:val="24"/>
          <w:szCs w:val="24"/>
        </w:rPr>
        <w:t xml:space="preserve"> </w:t>
      </w:r>
      <w:r w:rsidRPr="00FB50A8">
        <w:rPr>
          <w:rFonts w:ascii="Palatino Linotype" w:hAnsi="Palatino Linotype"/>
          <w:sz w:val="24"/>
          <w:szCs w:val="24"/>
        </w:rPr>
        <w:t>measured as a percentage. Vugrin</w:t>
      </w:r>
      <w:r w:rsidR="0021647B">
        <w:rPr>
          <w:rFonts w:ascii="Palatino Linotype" w:hAnsi="Palatino Linotype"/>
          <w:sz w:val="24"/>
          <w:szCs w:val="24"/>
        </w:rPr>
        <w:t xml:space="preserve"> and</w:t>
      </w:r>
      <w:r w:rsidRPr="00FB50A8">
        <w:rPr>
          <w:rFonts w:ascii="Palatino Linotype" w:hAnsi="Palatino Linotype"/>
          <w:sz w:val="24"/>
          <w:szCs w:val="24"/>
        </w:rPr>
        <w:t xml:space="preserve"> Warren</w:t>
      </w:r>
      <w:r w:rsidR="0021647B">
        <w:rPr>
          <w:rFonts w:ascii="Palatino Linotype" w:hAnsi="Palatino Linotype"/>
          <w:sz w:val="24"/>
          <w:szCs w:val="24"/>
        </w:rPr>
        <w:t xml:space="preserve"> </w:t>
      </w:r>
      <w:r w:rsidRPr="00FB50A8">
        <w:rPr>
          <w:rFonts w:ascii="Palatino Linotype" w:hAnsi="Palatino Linotype"/>
          <w:sz w:val="24"/>
          <w:szCs w:val="24"/>
        </w:rPr>
        <w:t>confirm that system</w:t>
      </w:r>
      <w:r w:rsidR="0021647B">
        <w:rPr>
          <w:rFonts w:ascii="Palatino Linotype" w:hAnsi="Palatino Linotype"/>
          <w:sz w:val="24"/>
          <w:szCs w:val="24"/>
        </w:rPr>
        <w:t xml:space="preserve"> </w:t>
      </w:r>
      <w:r w:rsidRPr="00FB50A8">
        <w:rPr>
          <w:rFonts w:ascii="Palatino Linotype" w:hAnsi="Palatino Linotype"/>
          <w:sz w:val="24"/>
          <w:szCs w:val="24"/>
        </w:rPr>
        <w:t>resilience capacities can be identified depending on the classes of</w:t>
      </w:r>
      <w:r w:rsidR="0021647B">
        <w:rPr>
          <w:rFonts w:ascii="Palatino Linotype" w:hAnsi="Palatino Linotype"/>
          <w:sz w:val="24"/>
          <w:szCs w:val="24"/>
        </w:rPr>
        <w:t xml:space="preserve"> </w:t>
      </w:r>
      <w:r w:rsidRPr="00FB50A8">
        <w:rPr>
          <w:rFonts w:ascii="Palatino Linotype" w:hAnsi="Palatino Linotype"/>
          <w:sz w:val="24"/>
          <w:szCs w:val="24"/>
        </w:rPr>
        <w:t>disruptive events. The summary of layers with examples of the</w:t>
      </w:r>
      <w:r w:rsidR="0021647B">
        <w:rPr>
          <w:rFonts w:ascii="Palatino Linotype" w:hAnsi="Palatino Linotype"/>
          <w:sz w:val="24"/>
          <w:szCs w:val="24"/>
        </w:rPr>
        <w:t xml:space="preserve"> </w:t>
      </w:r>
      <w:r w:rsidRPr="00FB50A8">
        <w:rPr>
          <w:rFonts w:ascii="Palatino Linotype" w:hAnsi="Palatino Linotype"/>
          <w:sz w:val="24"/>
          <w:szCs w:val="24"/>
        </w:rPr>
        <w:t>system attributes and enhancement measures are presented in</w:t>
      </w:r>
      <w:r w:rsidR="0021647B">
        <w:rPr>
          <w:rFonts w:ascii="Palatino Linotype" w:hAnsi="Palatino Linotype"/>
          <w:sz w:val="24"/>
          <w:szCs w:val="24"/>
        </w:rPr>
        <w:t xml:space="preserve"> </w:t>
      </w:r>
      <w:r w:rsidRPr="00FB50A8">
        <w:rPr>
          <w:rFonts w:ascii="Palatino Linotype" w:hAnsi="Palatino Linotype"/>
          <w:sz w:val="24"/>
          <w:szCs w:val="24"/>
        </w:rPr>
        <w:t xml:space="preserve">Table </w:t>
      </w:r>
      <w:r w:rsidR="0021647B">
        <w:rPr>
          <w:rFonts w:ascii="Palatino Linotype" w:hAnsi="Palatino Linotype"/>
          <w:sz w:val="24"/>
          <w:szCs w:val="24"/>
        </w:rPr>
        <w:t>7</w:t>
      </w:r>
      <w:r w:rsidRPr="00FB50A8">
        <w:rPr>
          <w:rFonts w:ascii="Palatino Linotype" w:hAnsi="Palatino Linotype"/>
          <w:sz w:val="24"/>
          <w:szCs w:val="24"/>
        </w:rPr>
        <w:t>. In the following sub-sections, these layers are discussed</w:t>
      </w:r>
      <w:r w:rsidR="0021647B">
        <w:rPr>
          <w:rFonts w:ascii="Palatino Linotype" w:hAnsi="Palatino Linotype"/>
          <w:sz w:val="24"/>
          <w:szCs w:val="24"/>
        </w:rPr>
        <w:t xml:space="preserve"> </w:t>
      </w:r>
      <w:r w:rsidRPr="00FB50A8">
        <w:rPr>
          <w:rFonts w:ascii="Palatino Linotype" w:hAnsi="Palatino Linotype"/>
          <w:sz w:val="24"/>
          <w:szCs w:val="24"/>
        </w:rPr>
        <w:t>further, and an initial set of metrics are identified for each layer.</w:t>
      </w:r>
    </w:p>
    <w:p w14:paraId="02964F54" w14:textId="237167A4" w:rsidR="007A3A47" w:rsidRPr="007A3A47" w:rsidRDefault="0021647B" w:rsidP="007A3A47">
      <w:pPr>
        <w:jc w:val="both"/>
        <w:rPr>
          <w:rFonts w:ascii="Palatino Linotype" w:hAnsi="Palatino Linotype"/>
          <w:sz w:val="16"/>
          <w:szCs w:val="16"/>
        </w:rPr>
      </w:pPr>
      <w:r w:rsidRPr="0021647B">
        <w:rPr>
          <w:rFonts w:ascii="Palatino Linotype" w:hAnsi="Palatino Linotype"/>
          <w:sz w:val="16"/>
          <w:szCs w:val="16"/>
        </w:rPr>
        <w:drawing>
          <wp:inline distT="0" distB="0" distL="0" distR="0" wp14:anchorId="50A1C7EF" wp14:editId="69F864A5">
            <wp:extent cx="6118860" cy="855345"/>
            <wp:effectExtent l="0" t="0" r="0" b="0"/>
            <wp:docPr id="10494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4200" name=""/>
                    <pic:cNvPicPr/>
                  </pic:nvPicPr>
                  <pic:blipFill>
                    <a:blip r:embed="rId39"/>
                    <a:stretch>
                      <a:fillRect/>
                    </a:stretch>
                  </pic:blipFill>
                  <pic:spPr>
                    <a:xfrm>
                      <a:off x="0" y="0"/>
                      <a:ext cx="6118860" cy="855345"/>
                    </a:xfrm>
                    <a:prstGeom prst="rect">
                      <a:avLst/>
                    </a:prstGeom>
                  </pic:spPr>
                </pic:pic>
              </a:graphicData>
            </a:graphic>
          </wp:inline>
        </w:drawing>
      </w:r>
    </w:p>
    <w:p w14:paraId="54AC7165" w14:textId="3CB136C3" w:rsidR="007A3A47" w:rsidRDefault="0021647B" w:rsidP="007A3A47">
      <w:pPr>
        <w:jc w:val="center"/>
        <w:rPr>
          <w:rFonts w:ascii="Palatino Linotype" w:hAnsi="Palatino Linotype"/>
          <w:sz w:val="16"/>
          <w:szCs w:val="16"/>
        </w:rPr>
      </w:pPr>
      <w:r w:rsidRPr="0021647B">
        <w:rPr>
          <w:rFonts w:ascii="Palatino Linotype" w:hAnsi="Palatino Linotype"/>
          <w:b/>
          <w:bCs/>
          <w:sz w:val="16"/>
          <w:szCs w:val="16"/>
        </w:rPr>
        <w:t>Table 7:</w:t>
      </w:r>
      <w:r w:rsidRPr="0021647B">
        <w:rPr>
          <w:rFonts w:ascii="Palatino Linotype" w:hAnsi="Palatino Linotype"/>
          <w:sz w:val="16"/>
          <w:szCs w:val="16"/>
        </w:rPr>
        <w:t xml:space="preserve"> Summary of energy resilience layers for community-level energy master planning</w:t>
      </w:r>
    </w:p>
    <w:p w14:paraId="07F4D667" w14:textId="77777777" w:rsidR="0021647B" w:rsidRPr="0021647B" w:rsidRDefault="0021647B" w:rsidP="0021647B">
      <w:pPr>
        <w:jc w:val="both"/>
        <w:rPr>
          <w:rFonts w:ascii="Palatino Linotype" w:hAnsi="Palatino Linotype"/>
          <w:sz w:val="24"/>
          <w:szCs w:val="24"/>
        </w:rPr>
      </w:pPr>
    </w:p>
    <w:p w14:paraId="04F22F5C" w14:textId="77777777" w:rsidR="007A3A47" w:rsidRPr="007A3A47" w:rsidRDefault="007A3A47" w:rsidP="007A3A47">
      <w:pPr>
        <w:jc w:val="both"/>
        <w:rPr>
          <w:rFonts w:ascii="Palatino Linotype" w:hAnsi="Palatino Linotype"/>
          <w:sz w:val="24"/>
          <w:szCs w:val="24"/>
        </w:rPr>
      </w:pP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t>Methodologies for integrating anomaly detection into the framework</w:t>
      </w:r>
    </w:p>
    <w:p w14:paraId="6EC4828A" w14:textId="0B655BBC" w:rsidR="00677DA9" w:rsidRDefault="00677DA9" w:rsidP="001E6B8D">
      <w:pPr>
        <w:pStyle w:val="ListParagraph"/>
        <w:rPr>
          <w:lang w:val="it-IT"/>
        </w:rPr>
      </w:pPr>
    </w:p>
    <w:p w14:paraId="0144EE71" w14:textId="0483DC23" w:rsidR="003C41BE" w:rsidRDefault="003C41BE" w:rsidP="001E6B8D">
      <w:pPr>
        <w:pStyle w:val="ListParagraph"/>
        <w:rPr>
          <w:lang w:val="it-IT"/>
        </w:rPr>
      </w:pPr>
      <w:r>
        <w:rPr>
          <w:lang w:val="it-IT"/>
        </w:rPr>
        <w:t>Descrizione dell’algoritmo:</w:t>
      </w:r>
    </w:p>
    <w:p w14:paraId="241CA81A" w14:textId="3302F119" w:rsidR="003C41BE" w:rsidRPr="00677DA9" w:rsidRDefault="003C41BE" w:rsidP="001E6B8D">
      <w:pPr>
        <w:pStyle w:val="ListParagraph"/>
        <w:rPr>
          <w:lang w:val="it-IT"/>
        </w:rPr>
      </w:pPr>
      <w:r>
        <w:rPr>
          <w:lang w:val="it-IT"/>
        </w:rPr>
        <w:t>data una minigrid passo dagli inverter. Studiando i flussi di potenza dell’inverter identifico i guasti.</w:t>
      </w:r>
    </w:p>
    <w:p w14:paraId="27FF05BC" w14:textId="0DD57C66" w:rsidR="00F160F9" w:rsidRDefault="00F160F9" w:rsidP="008E137E">
      <w:pPr>
        <w:pStyle w:val="Heading1"/>
        <w:numPr>
          <w:ilvl w:val="0"/>
          <w:numId w:val="15"/>
        </w:numPr>
      </w:pPr>
      <w:r>
        <w:lastRenderedPageBreak/>
        <w:t xml:space="preserve">DESIGN AND IMPLEMENTANTION OF </w:t>
      </w:r>
      <w:r w:rsidR="008E137E">
        <w:t xml:space="preserve">HYBRID REF - </w:t>
      </w:r>
      <w:r>
        <w:t>ANOMALY DETECTION ALGORITHM</w:t>
      </w:r>
    </w:p>
    <w:p w14:paraId="224F1422" w14:textId="38E1A5DD" w:rsidR="00150333" w:rsidRPr="008E137E" w:rsidRDefault="008E137E" w:rsidP="008E137E">
      <w:pPr>
        <w:pStyle w:val="Heading2"/>
      </w:pPr>
      <w:r>
        <w:t xml:space="preserve">4.1 </w:t>
      </w:r>
      <w:r w:rsidR="00150333" w:rsidRPr="008E137E">
        <w:t>Algorithm Selection for Anomaly Detection</w:t>
      </w:r>
    </w:p>
    <w:p w14:paraId="17BEA803" w14:textId="58657275" w:rsidR="008E137E" w:rsidRDefault="008E137E" w:rsidP="008E137E">
      <w:pPr>
        <w:pStyle w:val="Heading2"/>
      </w:pPr>
      <w:r w:rsidRPr="008E137E">
        <w:t>4.2 Resilience Indicators</w:t>
      </w:r>
    </w:p>
    <w:p w14:paraId="60826BD1" w14:textId="23C1946F" w:rsidR="0021647B" w:rsidRPr="0021647B" w:rsidRDefault="0021647B" w:rsidP="0021647B">
      <w:pPr>
        <w:rPr>
          <w:lang w:val="it-IT"/>
        </w:rPr>
      </w:pPr>
      <w:r w:rsidRPr="0021647B">
        <w:rPr>
          <w:lang w:val="it-IT"/>
        </w:rPr>
        <w:t>Dal 2.4 di RESILIENCE FRAMEWORK ECC</w:t>
      </w:r>
      <w:r>
        <w:rPr>
          <w:lang w:val="it-IT"/>
        </w:rPr>
        <w:t>…</w:t>
      </w:r>
    </w:p>
    <w:p w14:paraId="5C3DE3A2" w14:textId="7BDE078B" w:rsidR="00150333" w:rsidRPr="008E137E" w:rsidRDefault="008E137E" w:rsidP="008E137E">
      <w:pPr>
        <w:pStyle w:val="Heading2"/>
      </w:pPr>
      <w:r>
        <w:t xml:space="preserve">4.3 </w:t>
      </w:r>
      <w:r w:rsidR="00150333" w:rsidRPr="008E137E">
        <w:t>Data Collection and Preparation (Dataset?)</w:t>
      </w:r>
    </w:p>
    <w:p w14:paraId="1BAC11E1" w14:textId="00F482A8" w:rsidR="00150333" w:rsidRPr="008E137E" w:rsidRDefault="008E137E" w:rsidP="008E137E">
      <w:pPr>
        <w:pStyle w:val="Heading2"/>
      </w:pPr>
      <w:r>
        <w:t xml:space="preserve">4.4 </w:t>
      </w:r>
      <w:r w:rsidR="00150333" w:rsidRPr="008E137E">
        <w:t>Algorithm Implementation</w:t>
      </w:r>
    </w:p>
    <w:p w14:paraId="19AB1EE6" w14:textId="58562790" w:rsidR="00A11CCF" w:rsidRPr="008E137E" w:rsidRDefault="00CF3242" w:rsidP="008E137E">
      <w:pPr>
        <w:pStyle w:val="Heading2"/>
      </w:pPr>
      <w:r w:rsidRPr="008E137E">
        <w:t>4</w:t>
      </w:r>
      <w:r w:rsidR="00A11CCF" w:rsidRPr="008E137E">
        <w:t>.</w:t>
      </w:r>
      <w:r w:rsidR="008E137E">
        <w:t>5</w:t>
      </w:r>
      <w:r w:rsidR="00A11CCF" w:rsidRPr="008E137E">
        <w:t xml:space="preserve"> Exploratory Data Analysis</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r w:rsidRPr="00CF3242">
        <w:t>Subhes C. Bhattacharyya</w:t>
      </w:r>
      <w:r>
        <w:t xml:space="preserve"> (2012), </w:t>
      </w:r>
      <w:r w:rsidRPr="00BB0D57">
        <w:rPr>
          <w:i/>
          <w:iCs/>
        </w:rPr>
        <w:t>Energy access programmes and sustainable development: A critical review and analysis</w:t>
      </w:r>
      <w:r>
        <w:t xml:space="preserve">,  </w:t>
      </w:r>
      <w:r w:rsidR="00BB0D57">
        <w:t>Energy for Sustainable Development Volume 16, Issue 3, September 2012, Pages 260-271</w:t>
      </w:r>
    </w:p>
    <w:p w14:paraId="7AF6BAA9" w14:textId="6E87F71B" w:rsidR="00C24EE4" w:rsidRDefault="00C24EE4" w:rsidP="00C24EE4">
      <w:pPr>
        <w:pStyle w:val="Heading3"/>
      </w:pPr>
      <w:bookmarkStart w:id="12" w:name="_[4]_SEforALL_and"/>
      <w:bookmarkEnd w:id="12"/>
      <w:r>
        <w:t>[4] SEforALL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[5] Saeid Charani Shandiz, Greg Foliente, Behzad Rismanchi,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[7] M. Bazilian,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 xml:space="preserve">[8] Anton Eberhard, Katharine Gratwick, Elvira Morella, Pedro   (2017),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[11] Jesse B-J, Heinrichs HU, Kuckshinrichs W. Adapting the theory of resilience to energy systems: a review and outlook. Energy, Sustainability and Society 2019.</w:t>
      </w:r>
    </w:p>
    <w:p w14:paraId="4D3608E3" w14:textId="3981917F" w:rsidR="00712D2F" w:rsidRDefault="00712D2F" w:rsidP="00712D2F">
      <w:pPr>
        <w:pStyle w:val="Heading3"/>
      </w:pPr>
      <w:r>
        <w:t>[12] Hay AH. Surviving catastrophic events :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[14] Rübbelke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[15] Vugrin ED, Castillo A, Silva-Monroy C. Resilience metrics for the electric power system: a performance-based approach. Sandia National Laboratories; 2017.</w:t>
      </w:r>
    </w:p>
    <w:p w14:paraId="5CEF79CA" w14:textId="58AFD427" w:rsidR="003F4CF6" w:rsidRDefault="003F4CF6" w:rsidP="003F4CF6">
      <w:pPr>
        <w:pStyle w:val="Heading3"/>
      </w:pPr>
      <w:r>
        <w:t>[16] Bocchini P, Frangopol DM, Ummenhofer T, Zinke T. Resilience and sustainability of civil infrastructure: toward a unified approach. J Infrastruct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Mario Li Vigni,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A. S. Rao, B. V. Vardhan and H. Shaik, "Role of Exploratory Data Analysis in Data Science," 2021 6th International Conference on Communication and Electronics Systems (ICCES), Coimbatre, India, 2021, pp. 1457-1461, doi: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r w:rsidRPr="00E6250F">
        <w:t>Hindawi</w:t>
      </w:r>
      <w:r>
        <w:t xml:space="preserve"> </w:t>
      </w:r>
      <w:r w:rsidRPr="00E6250F">
        <w:t>Complexity</w:t>
      </w:r>
      <w:r>
        <w:t xml:space="preserve"> </w:t>
      </w:r>
      <w:r w:rsidRPr="00E6250F">
        <w:t xml:space="preserve">Volume 2019, </w:t>
      </w:r>
      <w:r>
        <w:t xml:space="preserve"> a</w:t>
      </w:r>
      <w:r w:rsidRPr="00E6250F">
        <w:t>rticle ID 2686378,</w:t>
      </w:r>
      <w:r>
        <w:t xml:space="preserve"> </w:t>
      </w:r>
      <w:hyperlink r:id="rId40"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Patel,(2017),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[22] S. S. Sahu, S. K. Pandey, and S. K. Singh, "Anomaly detection in photovoltaic systems: A review," Renew. Sust. Energy Rev., vol. 51, pp. 1219-1231, 2016.</w:t>
      </w:r>
    </w:p>
    <w:p w14:paraId="3D58BD36" w14:textId="09DDEFA5" w:rsidR="00431324" w:rsidRDefault="00431324" w:rsidP="00431324">
      <w:pPr>
        <w:pStyle w:val="Heading3"/>
      </w:pPr>
      <w:r>
        <w:t>[23] A. K. Singh and A. Kumar, "Anomaly detection in photovoltaic systems using machine learning techniques: A review," Renew. Energy, vol. 127, pp. 147-157, 2020.</w:t>
      </w:r>
    </w:p>
    <w:p w14:paraId="105F9716" w14:textId="0A8FBB90" w:rsidR="00431324" w:rsidRDefault="00431324" w:rsidP="00431324">
      <w:pPr>
        <w:pStyle w:val="Heading3"/>
      </w:pPr>
      <w:r>
        <w:t>[24] 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[25] S. B. Dandin and S. R. K. Nair, "Anomaly detection in photovoltaic systems using unsupervised machine learning algorithms," in 2019 International Conference on Communication and Electronics Systems (ICCES), 2019, pp. 342-346.</w:t>
      </w:r>
    </w:p>
    <w:p w14:paraId="30C9FBCC" w14:textId="5BADB575" w:rsidR="00431324" w:rsidRPr="00431324" w:rsidRDefault="00431324" w:rsidP="00431324">
      <w:pPr>
        <w:pStyle w:val="Heading3"/>
      </w:pPr>
      <w:r>
        <w:t>[26] J. J. Lee, J. H. Kim, and S. H. Lee, "Real-time anomaly detection in photovoltaic systems using convolutional neural networks," in 2020 IEEE 11th International Conference on Advanced Technologies for Communications (ATC), 2020, pp. 1-5.</w:t>
      </w:r>
    </w:p>
    <w:sectPr w:rsidR="00431324" w:rsidRPr="00431324" w:rsidSect="00B367B3">
      <w:footerReference w:type="default" r:id="rId41"/>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C2107" w14:textId="77777777" w:rsidR="00B367B3" w:rsidRPr="000449E0" w:rsidRDefault="00B367B3" w:rsidP="007E433F">
      <w:pPr>
        <w:spacing w:after="0" w:line="240" w:lineRule="auto"/>
      </w:pPr>
      <w:r w:rsidRPr="000449E0">
        <w:separator/>
      </w:r>
    </w:p>
  </w:endnote>
  <w:endnote w:type="continuationSeparator" w:id="0">
    <w:p w14:paraId="46FE5689" w14:textId="77777777" w:rsidR="00B367B3" w:rsidRPr="000449E0" w:rsidRDefault="00B367B3"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E8327" w14:textId="77777777" w:rsidR="00B367B3" w:rsidRPr="000449E0" w:rsidRDefault="00B367B3" w:rsidP="007E433F">
      <w:pPr>
        <w:spacing w:after="0" w:line="240" w:lineRule="auto"/>
      </w:pPr>
      <w:r w:rsidRPr="000449E0">
        <w:separator/>
      </w:r>
    </w:p>
  </w:footnote>
  <w:footnote w:type="continuationSeparator" w:id="0">
    <w:p w14:paraId="1122C57D" w14:textId="77777777" w:rsidR="00B367B3" w:rsidRPr="000449E0" w:rsidRDefault="00B367B3"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6"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4"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0"/>
  </w:num>
  <w:num w:numId="2" w16cid:durableId="1756053616">
    <w:abstractNumId w:val="14"/>
  </w:num>
  <w:num w:numId="3" w16cid:durableId="1935742350">
    <w:abstractNumId w:val="9"/>
  </w:num>
  <w:num w:numId="4" w16cid:durableId="881749480">
    <w:abstractNumId w:val="11"/>
  </w:num>
  <w:num w:numId="5" w16cid:durableId="838467906">
    <w:abstractNumId w:val="12"/>
  </w:num>
  <w:num w:numId="6" w16cid:durableId="977952693">
    <w:abstractNumId w:val="15"/>
  </w:num>
  <w:num w:numId="7" w16cid:durableId="2000229153">
    <w:abstractNumId w:val="1"/>
  </w:num>
  <w:num w:numId="8" w16cid:durableId="2074691480">
    <w:abstractNumId w:val="8"/>
  </w:num>
  <w:num w:numId="9" w16cid:durableId="1066756207">
    <w:abstractNumId w:val="2"/>
  </w:num>
  <w:num w:numId="10" w16cid:durableId="1997612078">
    <w:abstractNumId w:val="3"/>
  </w:num>
  <w:num w:numId="11" w16cid:durableId="603342706">
    <w:abstractNumId w:val="4"/>
  </w:num>
  <w:num w:numId="12" w16cid:durableId="717431941">
    <w:abstractNumId w:val="6"/>
  </w:num>
  <w:num w:numId="13" w16cid:durableId="1212232473">
    <w:abstractNumId w:val="0"/>
  </w:num>
  <w:num w:numId="14" w16cid:durableId="1285695814">
    <w:abstractNumId w:val="7"/>
  </w:num>
  <w:num w:numId="15" w16cid:durableId="1295061519">
    <w:abstractNumId w:val="5"/>
  </w:num>
  <w:num w:numId="16" w16cid:durableId="226770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3650"/>
    <w:rsid w:val="00036699"/>
    <w:rsid w:val="0004276B"/>
    <w:rsid w:val="000449E0"/>
    <w:rsid w:val="00052835"/>
    <w:rsid w:val="000A0487"/>
    <w:rsid w:val="000A112E"/>
    <w:rsid w:val="000A1E9D"/>
    <w:rsid w:val="000A4326"/>
    <w:rsid w:val="000A5CEB"/>
    <w:rsid w:val="000B0D20"/>
    <w:rsid w:val="000B46EC"/>
    <w:rsid w:val="000D5D94"/>
    <w:rsid w:val="000D6432"/>
    <w:rsid w:val="000F565A"/>
    <w:rsid w:val="0010673D"/>
    <w:rsid w:val="001166A3"/>
    <w:rsid w:val="00121D70"/>
    <w:rsid w:val="00122BC9"/>
    <w:rsid w:val="0013436B"/>
    <w:rsid w:val="00150333"/>
    <w:rsid w:val="001646E0"/>
    <w:rsid w:val="00174858"/>
    <w:rsid w:val="00190FD2"/>
    <w:rsid w:val="001B4B68"/>
    <w:rsid w:val="001C4F17"/>
    <w:rsid w:val="001E6B8D"/>
    <w:rsid w:val="001F2E5A"/>
    <w:rsid w:val="001F7178"/>
    <w:rsid w:val="00204311"/>
    <w:rsid w:val="00211C76"/>
    <w:rsid w:val="002142DE"/>
    <w:rsid w:val="0021647B"/>
    <w:rsid w:val="00236E97"/>
    <w:rsid w:val="00260FE9"/>
    <w:rsid w:val="00267264"/>
    <w:rsid w:val="0027246B"/>
    <w:rsid w:val="002740A7"/>
    <w:rsid w:val="00275145"/>
    <w:rsid w:val="00284D5D"/>
    <w:rsid w:val="002A5D5A"/>
    <w:rsid w:val="002A664F"/>
    <w:rsid w:val="00307677"/>
    <w:rsid w:val="00320712"/>
    <w:rsid w:val="0034376F"/>
    <w:rsid w:val="00343DD8"/>
    <w:rsid w:val="003442A1"/>
    <w:rsid w:val="00350F14"/>
    <w:rsid w:val="00383AB0"/>
    <w:rsid w:val="00385D68"/>
    <w:rsid w:val="003B2BBC"/>
    <w:rsid w:val="003C41BE"/>
    <w:rsid w:val="003C5D15"/>
    <w:rsid w:val="003F14E7"/>
    <w:rsid w:val="003F4CF6"/>
    <w:rsid w:val="003F5385"/>
    <w:rsid w:val="00406390"/>
    <w:rsid w:val="00420D19"/>
    <w:rsid w:val="00422419"/>
    <w:rsid w:val="00431324"/>
    <w:rsid w:val="00436C8C"/>
    <w:rsid w:val="00461EC0"/>
    <w:rsid w:val="004B35A8"/>
    <w:rsid w:val="004B417A"/>
    <w:rsid w:val="004F445B"/>
    <w:rsid w:val="005179BC"/>
    <w:rsid w:val="0053502D"/>
    <w:rsid w:val="00577BAA"/>
    <w:rsid w:val="005811E8"/>
    <w:rsid w:val="00613AA6"/>
    <w:rsid w:val="00616108"/>
    <w:rsid w:val="006166A9"/>
    <w:rsid w:val="00616D89"/>
    <w:rsid w:val="0065365F"/>
    <w:rsid w:val="00666C3A"/>
    <w:rsid w:val="006724D1"/>
    <w:rsid w:val="00677DA9"/>
    <w:rsid w:val="00696A67"/>
    <w:rsid w:val="00696AD9"/>
    <w:rsid w:val="006C04C9"/>
    <w:rsid w:val="006C1D4D"/>
    <w:rsid w:val="006E40CA"/>
    <w:rsid w:val="006E43E5"/>
    <w:rsid w:val="006F45AD"/>
    <w:rsid w:val="00712D2F"/>
    <w:rsid w:val="00736944"/>
    <w:rsid w:val="00743916"/>
    <w:rsid w:val="0074509F"/>
    <w:rsid w:val="00760959"/>
    <w:rsid w:val="0077559E"/>
    <w:rsid w:val="007A3A47"/>
    <w:rsid w:val="007A7142"/>
    <w:rsid w:val="007C36AB"/>
    <w:rsid w:val="007E433F"/>
    <w:rsid w:val="007F52F7"/>
    <w:rsid w:val="00867A60"/>
    <w:rsid w:val="0087504D"/>
    <w:rsid w:val="00890D67"/>
    <w:rsid w:val="008957E2"/>
    <w:rsid w:val="008B41DB"/>
    <w:rsid w:val="008D15BF"/>
    <w:rsid w:val="008E0CB7"/>
    <w:rsid w:val="008E137E"/>
    <w:rsid w:val="009005A7"/>
    <w:rsid w:val="00925292"/>
    <w:rsid w:val="00941093"/>
    <w:rsid w:val="00954E0B"/>
    <w:rsid w:val="009619DA"/>
    <w:rsid w:val="009704DC"/>
    <w:rsid w:val="009B7E7E"/>
    <w:rsid w:val="00A1159A"/>
    <w:rsid w:val="00A11CCF"/>
    <w:rsid w:val="00A14F00"/>
    <w:rsid w:val="00A164E3"/>
    <w:rsid w:val="00A16A69"/>
    <w:rsid w:val="00A16D5D"/>
    <w:rsid w:val="00A215D5"/>
    <w:rsid w:val="00A3347C"/>
    <w:rsid w:val="00A55A04"/>
    <w:rsid w:val="00A84D85"/>
    <w:rsid w:val="00AA5107"/>
    <w:rsid w:val="00AB3889"/>
    <w:rsid w:val="00AD76D7"/>
    <w:rsid w:val="00AE16C4"/>
    <w:rsid w:val="00AF06E6"/>
    <w:rsid w:val="00B17584"/>
    <w:rsid w:val="00B367B3"/>
    <w:rsid w:val="00B52121"/>
    <w:rsid w:val="00BA2B05"/>
    <w:rsid w:val="00BA394D"/>
    <w:rsid w:val="00BB0D57"/>
    <w:rsid w:val="00BB3698"/>
    <w:rsid w:val="00BB3BF9"/>
    <w:rsid w:val="00BE025D"/>
    <w:rsid w:val="00BE352F"/>
    <w:rsid w:val="00BF3AE7"/>
    <w:rsid w:val="00C02045"/>
    <w:rsid w:val="00C060D4"/>
    <w:rsid w:val="00C24EE4"/>
    <w:rsid w:val="00C41584"/>
    <w:rsid w:val="00C70389"/>
    <w:rsid w:val="00C7571B"/>
    <w:rsid w:val="00C91F71"/>
    <w:rsid w:val="00C93130"/>
    <w:rsid w:val="00C97C61"/>
    <w:rsid w:val="00CD29BE"/>
    <w:rsid w:val="00CE65D4"/>
    <w:rsid w:val="00CF0D32"/>
    <w:rsid w:val="00CF3242"/>
    <w:rsid w:val="00D1335B"/>
    <w:rsid w:val="00D140ED"/>
    <w:rsid w:val="00D25073"/>
    <w:rsid w:val="00D3315E"/>
    <w:rsid w:val="00D33D27"/>
    <w:rsid w:val="00D568A5"/>
    <w:rsid w:val="00D83D10"/>
    <w:rsid w:val="00DA17C9"/>
    <w:rsid w:val="00DD2B2F"/>
    <w:rsid w:val="00E13DB6"/>
    <w:rsid w:val="00E17DD3"/>
    <w:rsid w:val="00E24ADF"/>
    <w:rsid w:val="00E6250F"/>
    <w:rsid w:val="00E75AD7"/>
    <w:rsid w:val="00E76C48"/>
    <w:rsid w:val="00E813C5"/>
    <w:rsid w:val="00E861BA"/>
    <w:rsid w:val="00EC7FD8"/>
    <w:rsid w:val="00F11A3F"/>
    <w:rsid w:val="00F160F9"/>
    <w:rsid w:val="00F26157"/>
    <w:rsid w:val="00F3311A"/>
    <w:rsid w:val="00F41273"/>
    <w:rsid w:val="00F44615"/>
    <w:rsid w:val="00F523CB"/>
    <w:rsid w:val="00F62C7C"/>
    <w:rsid w:val="00F64940"/>
    <w:rsid w:val="00F84C53"/>
    <w:rsid w:val="00FA38B2"/>
    <w:rsid w:val="00FB50A8"/>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155/2019/2686378"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1578</TotalTime>
  <Pages>60</Pages>
  <Words>17958</Words>
  <Characters>102363</Characters>
  <Application>Microsoft Office Word</Application>
  <DocSecurity>0</DocSecurity>
  <Lines>853</Lines>
  <Paragraphs>240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120081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73</cp:revision>
  <dcterms:created xsi:type="dcterms:W3CDTF">2018-08-09T12:18:00Z</dcterms:created>
  <dcterms:modified xsi:type="dcterms:W3CDTF">2024-04-10T07:03:00Z</dcterms:modified>
</cp:coreProperties>
</file>