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26425AAC"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w:t>
      </w:r>
      <w:r>
        <w:rPr>
          <w:rFonts w:ascii="Arial" w:eastAsia="Arial" w:hAnsi="Arial" w:cs="Arial"/>
          <w:b/>
          <w:bCs/>
          <w:color w:val="832232"/>
          <w:sz w:val="48"/>
        </w:rPr>
        <w:t>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706.5pt" o:ole="">
            <v:imagedata r:id="rId8" o:title=""/>
          </v:shape>
          <o:OLEObject Type="Embed" ProgID="Word.Document.8" ShapeID="_x0000_i1025" DrawAspect="Content" ObjectID="_1773567077"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13CC54E3"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 </w:t>
      </w:r>
      <w:r w:rsidR="00CD29BE">
        <w:rPr>
          <w:rFonts w:ascii="Palatino Linotype" w:eastAsia="Times New Roman" w:hAnsi="Palatino Linotype" w:cs="Arial"/>
          <w:sz w:val="20"/>
          <w:szCs w:val="20"/>
        </w:rPr>
        <w:t>Literature Review</w:t>
      </w:r>
    </w:p>
    <w:p w14:paraId="26DDCCE5" w14:textId="138385CE" w:rsidR="00A16D5D" w:rsidRPr="000449E0" w:rsidRDefault="00A16D5D" w:rsidP="00CD29BE">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w:t>
      </w:r>
      <w:r w:rsidR="0053502D">
        <w:rPr>
          <w:rFonts w:ascii="Palatino Linotype" w:eastAsia="Times New Roman" w:hAnsi="Palatino Linotype" w:cs="Arial"/>
          <w:sz w:val="20"/>
          <w:szCs w:val="20"/>
        </w:rPr>
        <w:t xml:space="preserve">Access </w:t>
      </w:r>
      <w:r w:rsidRPr="000449E0">
        <w:rPr>
          <w:rFonts w:ascii="Palatino Linotype" w:eastAsia="Times New Roman" w:hAnsi="Palatino Linotype" w:cs="Arial"/>
          <w:sz w:val="20"/>
          <w:szCs w:val="20"/>
        </w:rPr>
        <w:t xml:space="preserve">Context </w:t>
      </w:r>
    </w:p>
    <w:p w14:paraId="260A3427" w14:textId="18B6DE1B"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2</w:t>
      </w:r>
      <w:r w:rsidRPr="000449E0">
        <w:rPr>
          <w:rFonts w:ascii="Palatino Linotype" w:eastAsia="Times New Roman" w:hAnsi="Palatino Linotype" w:cs="Arial"/>
          <w:sz w:val="20"/>
          <w:szCs w:val="20"/>
        </w:rPr>
        <w:t xml:space="preserve"> Minigrids: Definition and Characteristics</w:t>
      </w:r>
    </w:p>
    <w:p w14:paraId="4A37BAFF" w14:textId="79388723" w:rsidR="00D25073"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Resilience Engineering: Fundamental Concepts</w:t>
      </w:r>
    </w:p>
    <w:p w14:paraId="63A46CAF" w14:textId="77C0C49A" w:rsidR="00CD29BE" w:rsidRPr="000449E0" w:rsidRDefault="00CD29BE" w:rsidP="0053502D">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2.4 EDA Exploratory Data Analysis</w:t>
      </w:r>
    </w:p>
    <w:p w14:paraId="63FEFDB5" w14:textId="658427E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13E8F7AF" w14:textId="2FAA0EAB"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Methodology</w:t>
      </w:r>
    </w:p>
    <w:p w14:paraId="6B72A833" w14:textId="1753352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.1 </w:t>
      </w:r>
      <w:r w:rsidR="0053502D">
        <w:rPr>
          <w:rFonts w:ascii="Palatino Linotype" w:eastAsia="Times New Roman" w:hAnsi="Palatino Linotype" w:cs="Arial"/>
          <w:sz w:val="20"/>
          <w:szCs w:val="20"/>
        </w:rPr>
        <w:t>Description of the study context</w:t>
      </w:r>
    </w:p>
    <w:p w14:paraId="28AB8C23" w14:textId="2850DD66"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.2 </w:t>
      </w:r>
      <w:r w:rsidR="0053502D">
        <w:rPr>
          <w:rFonts w:ascii="Palatino Linotype" w:eastAsia="Times New Roman" w:hAnsi="Palatino Linotype" w:cs="Arial"/>
          <w:sz w:val="20"/>
          <w:szCs w:val="20"/>
        </w:rPr>
        <w:t>Design and Implementation of the Resilience Engineering Framework</w:t>
      </w:r>
    </w:p>
    <w:p w14:paraId="582BEBDC" w14:textId="5A9C3598"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.3 </w:t>
      </w:r>
      <w:r w:rsidR="0053502D" w:rsidRPr="0053502D">
        <w:rPr>
          <w:rFonts w:ascii="Palatino Linotype" w:eastAsia="Times New Roman" w:hAnsi="Palatino Linotype" w:cs="Arial"/>
          <w:sz w:val="20"/>
          <w:szCs w:val="20"/>
        </w:rPr>
        <w:t>Methodologies for integrating anomaly detection into the framework</w:t>
      </w:r>
    </w:p>
    <w:p w14:paraId="28044C43" w14:textId="436DEDF7"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 Design and Implementation of Anomaly Detection Algorithm</w:t>
      </w:r>
    </w:p>
    <w:p w14:paraId="47EE6B0D" w14:textId="5892870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.1 Algorithm Selection for Anomaly Detection</w:t>
      </w:r>
    </w:p>
    <w:p w14:paraId="208D9ADB" w14:textId="08FC1A2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.2 Data Collection and Preparation</w:t>
      </w:r>
    </w:p>
    <w:p w14:paraId="737A81D2" w14:textId="5997636B" w:rsidR="00A16D5D"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.3 Algorithm Implementation</w:t>
      </w:r>
    </w:p>
    <w:p w14:paraId="515B796E" w14:textId="053286FD" w:rsidR="00EC7FD8"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4.4 Exploratory Data Analysis</w:t>
      </w:r>
    </w:p>
    <w:p w14:paraId="3DD35352" w14:textId="3D0D57FD"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5.4 </w:t>
      </w:r>
      <w:r w:rsidR="00EC7FD8">
        <w:rPr>
          <w:rFonts w:ascii="Palatino Linotype" w:eastAsia="Times New Roman" w:hAnsi="Palatino Linotype" w:cs="Arial"/>
          <w:sz w:val="20"/>
          <w:szCs w:val="20"/>
        </w:rPr>
        <w:t>Results</w:t>
      </w:r>
    </w:p>
    <w:p w14:paraId="6F303858" w14:textId="3932070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 Evaluation of Minigrid Resilience</w:t>
      </w:r>
    </w:p>
    <w:p w14:paraId="27EE73B8" w14:textId="2ED0486E"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.1 Resilience Indicators</w:t>
      </w:r>
    </w:p>
    <w:p w14:paraId="01DA151E" w14:textId="0CB4E393"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.2 Resilience Analysis Before and After Implementation</w:t>
      </w:r>
    </w:p>
    <w:p w14:paraId="2668C703" w14:textId="7EE60ED9"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.3 Results and Interpretation</w:t>
      </w:r>
    </w:p>
    <w:p w14:paraId="1CA790E4" w14:textId="2AF8C6AC"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Analysis and Discussion</w:t>
      </w:r>
    </w:p>
    <w:p w14:paraId="636E3A4A" w14:textId="5548F8FD"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62AD0965"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.2 </w:t>
      </w:r>
      <w:r w:rsidR="001646E0" w:rsidRPr="001646E0">
        <w:rPr>
          <w:rFonts w:ascii="Palatino Linotype" w:eastAsia="Times New Roman" w:hAnsi="Palatino Linotype" w:cs="Arial"/>
          <w:sz w:val="20"/>
          <w:szCs w:val="20"/>
        </w:rPr>
        <w:t>Discussion of theoretical and practical implications</w:t>
      </w:r>
    </w:p>
    <w:p w14:paraId="3DBAAC9F" w14:textId="0EDB318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1758B31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lastRenderedPageBreak/>
        <w:t>7</w:t>
      </w:r>
      <w:r w:rsidR="00A16D5D" w:rsidRPr="000449E0">
        <w:rPr>
          <w:rFonts w:ascii="Palatino Linotype" w:eastAsia="Times New Roman" w:hAnsi="Palatino Linotype" w:cs="Arial"/>
          <w:sz w:val="20"/>
          <w:szCs w:val="20"/>
        </w:rPr>
        <w:t>. Conclusions</w:t>
      </w:r>
    </w:p>
    <w:p w14:paraId="5B4BEC3F" w14:textId="55A42DD4"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 xml:space="preserve">.1 Summary of </w:t>
      </w:r>
      <w:r w:rsidR="001646E0">
        <w:rPr>
          <w:rFonts w:ascii="Palatino Linotype" w:eastAsia="Times New Roman" w:hAnsi="Palatino Linotype" w:cs="Arial"/>
          <w:sz w:val="20"/>
          <w:szCs w:val="20"/>
        </w:rPr>
        <w:t>main</w:t>
      </w:r>
      <w:r w:rsidR="00A16D5D"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00A16D5D" w:rsidRPr="000449E0">
        <w:rPr>
          <w:rFonts w:ascii="Palatino Linotype" w:eastAsia="Times New Roman" w:hAnsi="Palatino Linotype" w:cs="Arial"/>
          <w:sz w:val="20"/>
          <w:szCs w:val="20"/>
        </w:rPr>
        <w:t>esults</w:t>
      </w:r>
    </w:p>
    <w:p w14:paraId="0AB30694" w14:textId="2407EF6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.2</w:t>
      </w:r>
      <w:r w:rsidR="001646E0">
        <w:rPr>
          <w:rFonts w:ascii="Palatino Linotype" w:eastAsia="Times New Roman" w:hAnsi="Palatino Linotype" w:cs="Arial"/>
          <w:sz w:val="20"/>
          <w:szCs w:val="20"/>
        </w:rPr>
        <w:t xml:space="preserve"> Study limitations</w:t>
      </w:r>
    </w:p>
    <w:p w14:paraId="7B2FF3CF" w14:textId="2FB59448" w:rsidR="00A16D5D" w:rsidRPr="000449E0" w:rsidRDefault="00EC7FD8" w:rsidP="001646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.3 Potential Future Developments</w:t>
      </w:r>
    </w:p>
    <w:p w14:paraId="79A94162" w14:textId="6160DAE1"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8</w:t>
      </w:r>
      <w:r w:rsidR="00A16D5D" w:rsidRPr="000449E0">
        <w:rPr>
          <w:rFonts w:ascii="Palatino Linotype" w:eastAsia="Times New Roman" w:hAnsi="Palatino Linotype" w:cs="Arial"/>
          <w:sz w:val="20"/>
          <w:szCs w:val="20"/>
        </w:rPr>
        <w:t>. Acknowledgments</w:t>
      </w:r>
    </w:p>
    <w:p w14:paraId="6D3E5019" w14:textId="419FB0E2"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xml:space="preserve">. </w:t>
      </w:r>
      <w:hyperlink w:anchor="_11._BIBLIOGRAPHY" w:history="1">
        <w:r w:rsidR="00A16D5D"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A164E3">
        <w:rPr>
          <w:rFonts w:ascii="Palatino Linotype" w:hAnsi="Palatino Linotype"/>
          <w:b/>
          <w:bCs/>
          <w:sz w:val="16"/>
          <w:szCs w:val="16"/>
        </w:rPr>
        <w:t>Fig.1:</w:t>
      </w:r>
      <w:r w:rsidRPr="006C1D4D">
        <w:rPr>
          <w:rFonts w:ascii="Palatino Linotype" w:hAnsi="Palatino Linotype"/>
          <w:sz w:val="16"/>
          <w:szCs w:val="16"/>
        </w:rPr>
        <w:t xml:space="preserve">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6C7CC12C" w14:textId="12A988F2" w:rsidR="00AE16C4" w:rsidRPr="00AE16C4" w:rsidRDefault="00AE16C4" w:rsidP="00AE16C4">
      <w:pPr>
        <w:jc w:val="both"/>
        <w:rPr>
          <w:rFonts w:ascii="Palatino Linotype" w:hAnsi="Palatino Linotype"/>
          <w:sz w:val="24"/>
          <w:szCs w:val="24"/>
        </w:rPr>
      </w:pPr>
      <w:r w:rsidRPr="00AE16C4">
        <w:rPr>
          <w:rFonts w:ascii="Palatino Linotype" w:hAnsi="Palatino Linotype"/>
          <w:sz w:val="24"/>
          <w:szCs w:val="24"/>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255214EA" w14:textId="4BF3A885" w:rsidR="00AE16C4" w:rsidRPr="00D83D10" w:rsidRDefault="00AE16C4" w:rsidP="00AE16C4">
      <w:pPr>
        <w:jc w:val="both"/>
        <w:rPr>
          <w:rFonts w:ascii="Palatino Linotype" w:hAnsi="Palatino Linotype"/>
          <w:sz w:val="24"/>
          <w:szCs w:val="24"/>
        </w:rPr>
      </w:pPr>
      <w:r w:rsidRPr="00AE16C4">
        <w:rPr>
          <w:rFonts w:ascii="Palatino Linotype" w:hAnsi="Palatino Linotype"/>
          <w:sz w:val="24"/>
          <w:szCs w:val="24"/>
        </w:rPr>
        <w:t xml:space="preserve">Being able to rely on continuous service is crucial in contexts of full electrification (think of the need to service critical infrastructure) as well as in contexts of rural electrification. In a community where the energy supply is tied to a single source and its life and economy </w:t>
      </w:r>
      <w:r w:rsidRPr="00AE16C4">
        <w:rPr>
          <w:rFonts w:ascii="Palatino Linotype" w:hAnsi="Palatino Linotype"/>
          <w:sz w:val="24"/>
          <w:szCs w:val="24"/>
        </w:rPr>
        <w:lastRenderedPageBreak/>
        <w:t xml:space="preserve">depend on it, it is more necessary than ever to define, from the earliest stages, a system capable of overcoming technical, operational and community shortcomings.  </w:t>
      </w:r>
      <w:hyperlink w:anchor="_[5]_Saeid_Charani" w:history="1">
        <w:r w:rsidRPr="00D83D10">
          <w:rPr>
            <w:rStyle w:val="Hyperlink"/>
            <w:rFonts w:ascii="Palatino Linotype" w:hAnsi="Palatino Linotype"/>
            <w:sz w:val="24"/>
            <w:szCs w:val="24"/>
          </w:rPr>
          <w:t>[5]</w:t>
        </w:r>
      </w:hyperlink>
    </w:p>
    <w:p w14:paraId="16D92D1F" w14:textId="77777777" w:rsidR="001B4B68" w:rsidRPr="00D83D10" w:rsidRDefault="001B4B68" w:rsidP="00122BC9"/>
    <w:p w14:paraId="7C3EAD42" w14:textId="77777777" w:rsidR="00FE0356" w:rsidRPr="00D83D10" w:rsidRDefault="00FE0356" w:rsidP="00122BC9"/>
    <w:p w14:paraId="400889FD" w14:textId="77777777" w:rsidR="00FE0356" w:rsidRPr="00D83D10" w:rsidRDefault="00FE0356" w:rsidP="00122BC9"/>
    <w:p w14:paraId="615122A5" w14:textId="77777777" w:rsidR="001B4B68" w:rsidRPr="00D83D10"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Default="00036699" w:rsidP="00036699">
      <w:pPr>
        <w:jc w:val="both"/>
        <w:rPr>
          <w:rFonts w:ascii="Palatino Linotype" w:hAnsi="Palatino Linotype"/>
          <w:sz w:val="24"/>
          <w:szCs w:val="24"/>
        </w:rPr>
      </w:pPr>
    </w:p>
    <w:p w14:paraId="5256490C" w14:textId="77777777" w:rsidR="00FE0356" w:rsidRDefault="00FE0356" w:rsidP="00036699">
      <w:pPr>
        <w:jc w:val="both"/>
        <w:rPr>
          <w:rFonts w:ascii="Palatino Linotype" w:hAnsi="Palatino Linotype"/>
          <w:sz w:val="24"/>
          <w:szCs w:val="24"/>
        </w:rPr>
      </w:pPr>
    </w:p>
    <w:p w14:paraId="6F021A6D" w14:textId="77777777" w:rsidR="00FE0356" w:rsidRDefault="00FE0356" w:rsidP="00036699">
      <w:pPr>
        <w:jc w:val="both"/>
        <w:rPr>
          <w:rFonts w:ascii="Palatino Linotype" w:hAnsi="Palatino Linotype"/>
          <w:sz w:val="24"/>
          <w:szCs w:val="24"/>
        </w:rPr>
      </w:pPr>
    </w:p>
    <w:p w14:paraId="69DCC591" w14:textId="77777777" w:rsidR="00FE0356" w:rsidRDefault="00FE0356" w:rsidP="00036699">
      <w:pPr>
        <w:jc w:val="both"/>
        <w:rPr>
          <w:rFonts w:ascii="Palatino Linotype" w:hAnsi="Palatino Linotype"/>
          <w:sz w:val="24"/>
          <w:szCs w:val="24"/>
        </w:rPr>
      </w:pPr>
    </w:p>
    <w:p w14:paraId="331080DB" w14:textId="77777777" w:rsidR="00FE0356" w:rsidRDefault="00FE0356" w:rsidP="00036699">
      <w:pPr>
        <w:jc w:val="both"/>
        <w:rPr>
          <w:rFonts w:ascii="Palatino Linotype" w:hAnsi="Palatino Linotype"/>
          <w:sz w:val="24"/>
          <w:szCs w:val="24"/>
        </w:rPr>
      </w:pPr>
    </w:p>
    <w:p w14:paraId="047648AD" w14:textId="77777777" w:rsidR="00FE0356" w:rsidRDefault="00FE0356" w:rsidP="00036699">
      <w:pPr>
        <w:jc w:val="both"/>
        <w:rPr>
          <w:rFonts w:ascii="Palatino Linotype" w:hAnsi="Palatino Linotype"/>
          <w:sz w:val="24"/>
          <w:szCs w:val="24"/>
        </w:rPr>
      </w:pPr>
    </w:p>
    <w:p w14:paraId="3FCE0AFD" w14:textId="77777777" w:rsidR="00FE0356" w:rsidRDefault="00FE0356" w:rsidP="00036699">
      <w:pPr>
        <w:jc w:val="both"/>
        <w:rPr>
          <w:rFonts w:ascii="Palatino Linotype" w:hAnsi="Palatino Linotype"/>
          <w:sz w:val="24"/>
          <w:szCs w:val="24"/>
        </w:rPr>
      </w:pPr>
    </w:p>
    <w:p w14:paraId="31722B66" w14:textId="77777777" w:rsidR="00FE0356" w:rsidRDefault="00FE0356" w:rsidP="00036699">
      <w:pPr>
        <w:jc w:val="both"/>
        <w:rPr>
          <w:rFonts w:ascii="Palatino Linotype" w:hAnsi="Palatino Linotype"/>
          <w:sz w:val="24"/>
          <w:szCs w:val="24"/>
        </w:rPr>
      </w:pPr>
    </w:p>
    <w:p w14:paraId="4FBA03B0" w14:textId="77777777" w:rsidR="00FE0356" w:rsidRDefault="00FE0356" w:rsidP="00036699">
      <w:pPr>
        <w:jc w:val="both"/>
        <w:rPr>
          <w:rFonts w:ascii="Palatino Linotype" w:hAnsi="Palatino Linotype"/>
          <w:sz w:val="24"/>
          <w:szCs w:val="24"/>
        </w:rPr>
      </w:pPr>
    </w:p>
    <w:p w14:paraId="73AB24E7" w14:textId="77777777" w:rsidR="00FE0356" w:rsidRPr="00D568A5" w:rsidRDefault="00FE0356"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lastRenderedPageBreak/>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C7A614E" w14:textId="40C866AC" w:rsidR="008957E2" w:rsidRPr="008957E2" w:rsidRDefault="00D568A5" w:rsidP="008957E2">
      <w:pPr>
        <w:jc w:val="both"/>
        <w:rPr>
          <w:rFonts w:ascii="Palatino Linotype" w:hAnsi="Palatino Linotype"/>
          <w:sz w:val="24"/>
          <w:szCs w:val="24"/>
        </w:rPr>
      </w:pPr>
      <w:r w:rsidRPr="00D568A5">
        <w:rPr>
          <w:rFonts w:ascii="Palatino Linotype" w:hAnsi="Palatino Linotype"/>
          <w:sz w:val="24"/>
          <w:szCs w:val="24"/>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w:t>
      </w:r>
    </w:p>
    <w:p w14:paraId="498ECF97" w14:textId="24BCE070"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 xml:space="preserve">The increasing demand for electricity and the need for sustainable energy sources have led to the development of various decentralized energy systems, including minigrids. However, these minigrids are often subject to disturbances and failures, which can have significant impacts on the communities they serve. Resilience engineering, which focuses on the ability of a system to adapt and recover from disturbances, is therefore highly relevant in the context of minigrids. This </w:t>
      </w:r>
      <w:r>
        <w:rPr>
          <w:rFonts w:ascii="Palatino Linotype" w:hAnsi="Palatino Linotype"/>
          <w:sz w:val="24"/>
          <w:szCs w:val="24"/>
        </w:rPr>
        <w:t>thesis</w:t>
      </w:r>
      <w:r w:rsidRPr="008957E2">
        <w:rPr>
          <w:rFonts w:ascii="Palatino Linotype" w:hAnsi="Palatino Linotype"/>
          <w:sz w:val="24"/>
          <w:szCs w:val="24"/>
        </w:rPr>
        <w:t xml:space="preserve"> will discuss the relevance of resilience engineering in minigrids, highlighting its importance in ensuring the sustainability and reliability of these energy systems.</w:t>
      </w:r>
    </w:p>
    <w:p w14:paraId="5BE0D9EC" w14:textId="74B88F31"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Resilience engineering is a proactive approach to engineering that focuses on the ability of a system to anticipate, respond to, and recover from disturbances and failures</w:t>
      </w:r>
      <w:r w:rsidR="00267264">
        <w:rPr>
          <w:rFonts w:ascii="Palatino Linotype" w:hAnsi="Palatino Linotype"/>
          <w:sz w:val="24"/>
          <w:szCs w:val="24"/>
        </w:rPr>
        <w:t xml:space="preserve"> </w:t>
      </w:r>
      <w:hyperlink w:anchor="_[6]_Hollnagel_et" w:history="1">
        <w:r w:rsidR="00267264" w:rsidRPr="00267264">
          <w:rPr>
            <w:rStyle w:val="Hyperlink"/>
            <w:rFonts w:ascii="Palatino Linotype" w:hAnsi="Palatino Linotype"/>
            <w:sz w:val="24"/>
            <w:szCs w:val="24"/>
          </w:rPr>
          <w:t>[6]</w:t>
        </w:r>
      </w:hyperlink>
      <w:r w:rsidR="00267264">
        <w:rPr>
          <w:rFonts w:ascii="Palatino Linotype" w:hAnsi="Palatino Linotype"/>
          <w:sz w:val="24"/>
          <w:szCs w:val="24"/>
        </w:rPr>
        <w:t>.</w:t>
      </w:r>
      <w:r w:rsidRPr="008957E2">
        <w:rPr>
          <w:rFonts w:ascii="Palatino Linotype" w:hAnsi="Palatino Linotype"/>
          <w:sz w:val="24"/>
          <w:szCs w:val="24"/>
        </w:rPr>
        <w:t xml:space="preserve"> It recognizes that disturbances are inevitable and that the goal is not to prevent them but to manage them in a way that minimizes their impact.</w:t>
      </w:r>
    </w:p>
    <w:p w14:paraId="3C7040AA" w14:textId="675A4D2D"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Minigrids, on the other hand, are small-scale, decentralized electricity distribution systems that serve a limited geographical area. They are often used in remote or rural areas where there is no access to the centralized grid. Minigrids can be powered by various energy sources, including fossil fuels, renewable energy, or a combination of both.</w:t>
      </w:r>
    </w:p>
    <w:p w14:paraId="3CF4D88C" w14:textId="0E4F934A"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The relevance of resilience engineering in minigrids can be seen in several ways:</w:t>
      </w:r>
    </w:p>
    <w:p w14:paraId="18243D6A"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System Reliability</w:t>
      </w:r>
      <w:r w:rsidRPr="008957E2">
        <w:rPr>
          <w:rFonts w:ascii="Palatino Linotype" w:hAnsi="Palatino Linotype"/>
          <w:sz w:val="24"/>
          <w:szCs w:val="24"/>
        </w:rPr>
        <w:t>: Minigrids are often the sole source of electricity for the communities they serve. Any disruption in the supply of electricity can have significant impacts on the community's social and economic well-being. Resilience engineering can help improve the reliability of minigrids by ensuring that they can withstand and recover from disturbances quickly.</w:t>
      </w:r>
    </w:p>
    <w:p w14:paraId="4154DB15"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Cost-Effective</w:t>
      </w:r>
      <w:r w:rsidRPr="008957E2">
        <w:rPr>
          <w:rFonts w:ascii="Palatino Linotype" w:hAnsi="Palatino Linotype"/>
          <w:sz w:val="24"/>
          <w:szCs w:val="24"/>
        </w:rPr>
        <w:t>: Resilience engineering focuses on managing disturbances rather than preventing them. This approach can be more cost-effective than trying to prevent all disturbances, which can be expensive and often not feasible. By managing disturbances effectively, minigrids can reduce the need for costly repairs and replacements.</w:t>
      </w:r>
    </w:p>
    <w:p w14:paraId="6F658AB8"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Increased Sustainability</w:t>
      </w:r>
      <w:r w:rsidRPr="008957E2">
        <w:rPr>
          <w:rFonts w:ascii="Palatino Linotype" w:hAnsi="Palatino Linotype"/>
          <w:sz w:val="24"/>
          <w:szCs w:val="24"/>
        </w:rPr>
        <w:t xml:space="preserve">: Resilience engineering can help increase the sustainability of minigrids by ensuring that they can adapt to changing conditions. For example, minigrids </w:t>
      </w:r>
      <w:r w:rsidRPr="008957E2">
        <w:rPr>
          <w:rFonts w:ascii="Palatino Linotype" w:hAnsi="Palatino Linotype"/>
          <w:sz w:val="24"/>
          <w:szCs w:val="24"/>
        </w:rPr>
        <w:lastRenderedPageBreak/>
        <w:t>that are designed with resilience engineering principles can better adapt to changes in energy demand, climate change, and technological advancements.</w:t>
      </w:r>
    </w:p>
    <w:p w14:paraId="0E115738" w14:textId="77777777" w:rsidR="00267264"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Safety</w:t>
      </w:r>
      <w:r w:rsidRPr="008957E2">
        <w:rPr>
          <w:rFonts w:ascii="Palatino Linotype" w:hAnsi="Palatino Linotype"/>
          <w:sz w:val="24"/>
          <w:szCs w:val="24"/>
        </w:rPr>
        <w:t>: Minigrids that are designed with resilience engineering principles can be safer for both the operators and the communities they serve. By anticipating and managing disturbances, minigrids can reduce the risk of accidents and injuries.</w:t>
      </w:r>
    </w:p>
    <w:p w14:paraId="4583795A" w14:textId="75B61A18" w:rsidR="00A215D5" w:rsidRDefault="00267264" w:rsidP="008957E2">
      <w:pPr>
        <w:jc w:val="both"/>
        <w:rPr>
          <w:rFonts w:ascii="Palatino Linotype" w:hAnsi="Palatino Linotype"/>
          <w:sz w:val="24"/>
          <w:szCs w:val="24"/>
        </w:rPr>
      </w:pPr>
      <w:r>
        <w:rPr>
          <w:rFonts w:ascii="Palatino Linotype" w:hAnsi="Palatino Linotype"/>
          <w:sz w:val="24"/>
          <w:szCs w:val="24"/>
        </w:rPr>
        <w:t>R</w:t>
      </w:r>
      <w:r w:rsidR="008957E2" w:rsidRPr="008957E2">
        <w:rPr>
          <w:rFonts w:ascii="Palatino Linotype" w:hAnsi="Palatino Linotype"/>
          <w:sz w:val="24"/>
          <w:szCs w:val="24"/>
        </w:rPr>
        <w:t>esilience engineering is highly relevant in the context of minigrids. It can help improve the reliability, cost-effectiveness, sustainability, and safety of these energy systems. By focusing on the ability of minigrids to anticipate, respond to, and recover from disturbances, resilience engineering can ensure that minigrids can continue to provide essential electricity services to the communities they serve, even in the face of challenges and uncertainties. As the demand for decentralized energy systems continues to grow, the importance of resilience engineering in minigrids cannot be overstated.</w:t>
      </w: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5AA1975B" w14:textId="77777777" w:rsidR="008957E2" w:rsidRDefault="008957E2" w:rsidP="00D568A5">
      <w:pPr>
        <w:jc w:val="both"/>
        <w:rPr>
          <w:rFonts w:ascii="Palatino Linotype" w:hAnsi="Palatino Linotype"/>
          <w:sz w:val="24"/>
          <w:szCs w:val="24"/>
        </w:rPr>
      </w:pPr>
    </w:p>
    <w:p w14:paraId="00BEE229" w14:textId="77777777" w:rsidR="008957E2" w:rsidRDefault="008957E2" w:rsidP="00D568A5">
      <w:pPr>
        <w:jc w:val="both"/>
        <w:rPr>
          <w:rFonts w:ascii="Palatino Linotype" w:hAnsi="Palatino Linotype"/>
          <w:sz w:val="24"/>
          <w:szCs w:val="24"/>
        </w:rPr>
      </w:pPr>
    </w:p>
    <w:p w14:paraId="5F49A656" w14:textId="77777777" w:rsidR="008957E2" w:rsidRDefault="008957E2" w:rsidP="00D568A5">
      <w:pPr>
        <w:jc w:val="both"/>
        <w:rPr>
          <w:rFonts w:ascii="Palatino Linotype" w:hAnsi="Palatino Linotype"/>
          <w:sz w:val="24"/>
          <w:szCs w:val="24"/>
        </w:rPr>
      </w:pPr>
    </w:p>
    <w:p w14:paraId="528237A6" w14:textId="77777777" w:rsidR="008957E2" w:rsidRDefault="008957E2" w:rsidP="00D568A5">
      <w:pPr>
        <w:jc w:val="both"/>
        <w:rPr>
          <w:rFonts w:ascii="Palatino Linotype" w:hAnsi="Palatino Linotype"/>
          <w:sz w:val="24"/>
          <w:szCs w:val="24"/>
        </w:rPr>
      </w:pPr>
    </w:p>
    <w:p w14:paraId="08461B12" w14:textId="77777777" w:rsidR="008957E2" w:rsidRDefault="008957E2" w:rsidP="00D568A5">
      <w:pPr>
        <w:jc w:val="both"/>
        <w:rPr>
          <w:rFonts w:ascii="Palatino Linotype" w:hAnsi="Palatino Linotype"/>
          <w:sz w:val="24"/>
          <w:szCs w:val="24"/>
        </w:rPr>
      </w:pPr>
    </w:p>
    <w:p w14:paraId="1E0E9446" w14:textId="77777777" w:rsidR="008957E2" w:rsidRDefault="008957E2" w:rsidP="00D568A5">
      <w:pPr>
        <w:jc w:val="both"/>
        <w:rPr>
          <w:rFonts w:ascii="Palatino Linotype" w:hAnsi="Palatino Linotype"/>
          <w:sz w:val="24"/>
          <w:szCs w:val="24"/>
        </w:rPr>
      </w:pPr>
    </w:p>
    <w:p w14:paraId="30CAA7E8" w14:textId="77777777" w:rsidR="008957E2" w:rsidRDefault="008957E2" w:rsidP="00D568A5">
      <w:pPr>
        <w:jc w:val="both"/>
        <w:rPr>
          <w:rFonts w:ascii="Palatino Linotype" w:hAnsi="Palatino Linotype"/>
          <w:sz w:val="24"/>
          <w:szCs w:val="24"/>
        </w:rPr>
      </w:pPr>
    </w:p>
    <w:p w14:paraId="0EDE829B" w14:textId="77777777" w:rsidR="008957E2" w:rsidRDefault="008957E2" w:rsidP="00D568A5">
      <w:pPr>
        <w:jc w:val="both"/>
        <w:rPr>
          <w:rFonts w:ascii="Palatino Linotype" w:hAnsi="Palatino Linotype"/>
          <w:sz w:val="24"/>
          <w:szCs w:val="24"/>
        </w:rPr>
      </w:pPr>
    </w:p>
    <w:p w14:paraId="3DB23494" w14:textId="77777777" w:rsidR="008957E2" w:rsidRDefault="008957E2" w:rsidP="00D568A5">
      <w:pPr>
        <w:jc w:val="both"/>
        <w:rPr>
          <w:rFonts w:ascii="Palatino Linotype" w:hAnsi="Palatino Linotype"/>
          <w:sz w:val="24"/>
          <w:szCs w:val="24"/>
        </w:rPr>
      </w:pPr>
    </w:p>
    <w:p w14:paraId="77AC45AD" w14:textId="77777777" w:rsidR="008957E2" w:rsidRDefault="008957E2" w:rsidP="00D568A5">
      <w:pPr>
        <w:jc w:val="both"/>
        <w:rPr>
          <w:rFonts w:ascii="Palatino Linotype" w:hAnsi="Palatino Linotype"/>
          <w:sz w:val="24"/>
          <w:szCs w:val="24"/>
        </w:rPr>
      </w:pPr>
    </w:p>
    <w:p w14:paraId="5D32A5E3" w14:textId="77777777" w:rsidR="008957E2" w:rsidRDefault="008957E2" w:rsidP="00D568A5">
      <w:pPr>
        <w:jc w:val="both"/>
        <w:rPr>
          <w:rFonts w:ascii="Palatino Linotype" w:hAnsi="Palatino Linotype"/>
          <w:sz w:val="24"/>
          <w:szCs w:val="24"/>
        </w:rPr>
      </w:pPr>
    </w:p>
    <w:p w14:paraId="1B5458C3" w14:textId="77777777" w:rsidR="008957E2" w:rsidRDefault="008957E2"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t>1.4 Thesis Structure</w:t>
      </w:r>
    </w:p>
    <w:p w14:paraId="55390220" w14:textId="77777777" w:rsidR="00A215D5" w:rsidRDefault="00A215D5" w:rsidP="000449E0">
      <w:pPr>
        <w:jc w:val="both"/>
        <w:rPr>
          <w:rFonts w:ascii="Palatino Linotype" w:hAnsi="Palatino Linotype"/>
          <w:sz w:val="24"/>
          <w:szCs w:val="24"/>
        </w:rPr>
      </w:pPr>
    </w:p>
    <w:p w14:paraId="5E2F4EBA" w14:textId="032E3154" w:rsidR="008957E2" w:rsidRPr="00D83D10" w:rsidRDefault="00C70389" w:rsidP="00C70389">
      <w:pPr>
        <w:jc w:val="both"/>
        <w:rPr>
          <w:rFonts w:ascii="Palatino Linotype" w:hAnsi="Palatino Linotype"/>
          <w:sz w:val="24"/>
          <w:szCs w:val="24"/>
        </w:rPr>
      </w:pPr>
      <w:r w:rsidRPr="00C70389">
        <w:rPr>
          <w:rFonts w:ascii="Palatino Linotype" w:hAnsi="Palatino Linotype"/>
          <w:sz w:val="24"/>
          <w:szCs w:val="24"/>
        </w:rPr>
        <w:t xml:space="preserve">The thesis work is organized with an initial review of the existing literature in Chapter 2 to build a solid and up-to-date background. It starts with an analysis of the Energy Access context, aligned with the Sustainable Development Goal (SDG) 7 Energy Access objective. </w:t>
      </w:r>
      <w:r w:rsidR="008957E2" w:rsidRPr="008957E2">
        <w:rPr>
          <w:rFonts w:ascii="Palatino Linotype" w:hAnsi="Palatino Linotype"/>
          <w:sz w:val="24"/>
          <w:szCs w:val="24"/>
        </w:rPr>
        <w:t>This is followed by a study on the state of the art of minigrids in rural contexts. The components and characteristics useful for the discussion are defined. This is followed by a study of modern methodologies of Resilience Engineering, Exploratory Data Analysis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70FF0391" w14:textId="77777777" w:rsidR="00CF3242" w:rsidRDefault="00CF3242" w:rsidP="000449E0">
      <w:pPr>
        <w:jc w:val="both"/>
        <w:rPr>
          <w:rFonts w:ascii="Palatino Linotype" w:hAnsi="Palatino Linotype"/>
          <w:i/>
          <w:iCs/>
          <w:sz w:val="24"/>
          <w:szCs w:val="24"/>
        </w:rPr>
      </w:pPr>
    </w:p>
    <w:p w14:paraId="55A81B36" w14:textId="77777777" w:rsidR="00CF3242" w:rsidRDefault="00CF3242" w:rsidP="000449E0">
      <w:pPr>
        <w:jc w:val="both"/>
        <w:rPr>
          <w:rFonts w:ascii="Palatino Linotype" w:hAnsi="Palatino Linotype"/>
          <w:i/>
          <w:iCs/>
          <w:sz w:val="24"/>
          <w:szCs w:val="24"/>
        </w:rPr>
      </w:pPr>
    </w:p>
    <w:p w14:paraId="1351A44E" w14:textId="77777777" w:rsidR="00CF3242" w:rsidRDefault="00CF3242" w:rsidP="000449E0">
      <w:pPr>
        <w:jc w:val="both"/>
        <w:rPr>
          <w:rFonts w:ascii="Palatino Linotype" w:hAnsi="Palatino Linotype"/>
          <w:i/>
          <w:iCs/>
          <w:sz w:val="24"/>
          <w:szCs w:val="24"/>
        </w:rPr>
      </w:pPr>
    </w:p>
    <w:p w14:paraId="61A518AD" w14:textId="77777777" w:rsidR="00CF3242" w:rsidRDefault="00CF3242" w:rsidP="000449E0">
      <w:pPr>
        <w:jc w:val="both"/>
        <w:rPr>
          <w:rFonts w:ascii="Palatino Linotype" w:hAnsi="Palatino Linotype"/>
          <w:i/>
          <w:iCs/>
          <w:sz w:val="24"/>
          <w:szCs w:val="24"/>
        </w:rPr>
      </w:pPr>
    </w:p>
    <w:p w14:paraId="33710424" w14:textId="77777777" w:rsidR="00CF3242" w:rsidRPr="00C70389" w:rsidRDefault="00CF3242" w:rsidP="000449E0">
      <w:pPr>
        <w:jc w:val="both"/>
        <w:rPr>
          <w:rFonts w:ascii="Palatino Linotype" w:hAnsi="Palatino Linotype"/>
          <w:i/>
          <w:iCs/>
          <w:sz w:val="24"/>
          <w:szCs w:val="24"/>
        </w:rPr>
      </w:pPr>
    </w:p>
    <w:p w14:paraId="469B8F71" w14:textId="42421ECA" w:rsidR="001B4B68" w:rsidRDefault="00A11CCF" w:rsidP="00A11CCF">
      <w:pPr>
        <w:pStyle w:val="Heading1"/>
        <w:numPr>
          <w:ilvl w:val="0"/>
          <w:numId w:val="3"/>
        </w:numPr>
        <w:rPr>
          <w:rFonts w:ascii="Arial" w:hAnsi="Arial" w:cs="Arial"/>
          <w:b/>
          <w:bCs/>
          <w:color w:val="auto"/>
        </w:rPr>
      </w:pPr>
      <w:r w:rsidRPr="00C70389">
        <w:rPr>
          <w:rFonts w:ascii="Arial" w:hAnsi="Arial" w:cs="Arial"/>
          <w:b/>
          <w:bCs/>
          <w:color w:val="auto"/>
        </w:rPr>
        <w:lastRenderedPageBreak/>
        <w:t>LITERATURE REVIEW</w:t>
      </w:r>
    </w:p>
    <w:p w14:paraId="06045C18" w14:textId="77777777" w:rsidR="00CF3242" w:rsidRPr="00CF3242" w:rsidRDefault="00CF3242" w:rsidP="00CF3242"/>
    <w:p w14:paraId="5C2D1711" w14:textId="0770288E" w:rsidR="001B4B68" w:rsidRDefault="001B4B68" w:rsidP="001B4B68">
      <w:pPr>
        <w:pStyle w:val="Heading2"/>
        <w:numPr>
          <w:ilvl w:val="1"/>
          <w:numId w:val="3"/>
        </w:numPr>
        <w:rPr>
          <w:rFonts w:ascii="Arial" w:hAnsi="Arial" w:cs="Arial"/>
          <w:color w:val="auto"/>
        </w:rPr>
      </w:pPr>
      <w:r w:rsidRPr="00C70389">
        <w:rPr>
          <w:rFonts w:ascii="Arial" w:hAnsi="Arial" w:cs="Arial"/>
          <w:color w:val="auto"/>
        </w:rPr>
        <w:t>Energy Access Context</w:t>
      </w:r>
    </w:p>
    <w:p w14:paraId="3AAAA299" w14:textId="77777777" w:rsidR="000A5CEB" w:rsidRPr="000A5CEB" w:rsidRDefault="000A5CEB" w:rsidP="000A5CEB"/>
    <w:p w14:paraId="714DE5BC" w14:textId="341BEF79" w:rsidR="00CF3242" w:rsidRDefault="000A5CEB" w:rsidP="000A5CEB">
      <w:pPr>
        <w:pStyle w:val="Heading3"/>
        <w:numPr>
          <w:ilvl w:val="2"/>
          <w:numId w:val="3"/>
        </w:numPr>
      </w:pPr>
      <w:r>
        <w:t>Energy Planning</w:t>
      </w:r>
    </w:p>
    <w:p w14:paraId="2ADB24B5" w14:textId="77777777" w:rsidR="000A5CEB" w:rsidRPr="000A5CEB" w:rsidRDefault="000A5CEB" w:rsidP="000A5CEB">
      <w:pPr>
        <w:pStyle w:val="ListParagraph"/>
      </w:pPr>
    </w:p>
    <w:p w14:paraId="27C1D1BF" w14:textId="100C9BFD" w:rsidR="00CF3242" w:rsidRDefault="00BB0D57" w:rsidP="00BB0D57">
      <w:pPr>
        <w:jc w:val="both"/>
        <w:rPr>
          <w:rFonts w:ascii="Palatino Linotype" w:hAnsi="Palatino Linotype"/>
          <w:sz w:val="24"/>
          <w:szCs w:val="24"/>
        </w:rPr>
      </w:pPr>
      <w:r w:rsidRPr="00BB0D57">
        <w:rPr>
          <w:rFonts w:ascii="Palatino Linotype" w:hAnsi="Palatino Linotype"/>
          <w:sz w:val="24"/>
          <w:szCs w:val="24"/>
        </w:rPr>
        <w:t>There is no universal definition of the term</w:t>
      </w:r>
      <w:r>
        <w:rPr>
          <w:rFonts w:ascii="Palatino Linotype" w:hAnsi="Palatino Linotype"/>
          <w:sz w:val="24"/>
          <w:szCs w:val="24"/>
        </w:rPr>
        <w:t xml:space="preserve"> </w:t>
      </w:r>
      <w:r w:rsidRPr="00BB0D57">
        <w:rPr>
          <w:rFonts w:ascii="Palatino Linotype" w:hAnsi="Palatino Linotype"/>
          <w:sz w:val="24"/>
          <w:szCs w:val="24"/>
        </w:rPr>
        <w:t>“</w:t>
      </w:r>
      <w:r>
        <w:rPr>
          <w:rFonts w:ascii="Palatino Linotype" w:hAnsi="Palatino Linotype"/>
          <w:sz w:val="24"/>
          <w:szCs w:val="24"/>
        </w:rPr>
        <w:t>E</w:t>
      </w:r>
      <w:r w:rsidRPr="00BB0D57">
        <w:rPr>
          <w:rFonts w:ascii="Palatino Linotype" w:hAnsi="Palatino Linotype"/>
          <w:sz w:val="24"/>
          <w:szCs w:val="24"/>
        </w:rPr>
        <w:t xml:space="preserve">nergy </w:t>
      </w:r>
      <w:r>
        <w:rPr>
          <w:rFonts w:ascii="Palatino Linotype" w:hAnsi="Palatino Linotype"/>
          <w:sz w:val="24"/>
          <w:szCs w:val="24"/>
        </w:rPr>
        <w:t>A</w:t>
      </w:r>
      <w:r w:rsidRPr="00BB0D57">
        <w:rPr>
          <w:rFonts w:ascii="Palatino Linotype" w:hAnsi="Palatino Linotype"/>
          <w:sz w:val="24"/>
          <w:szCs w:val="24"/>
        </w:rPr>
        <w:t>ccess.”</w:t>
      </w:r>
      <w:r>
        <w:rPr>
          <w:rFonts w:ascii="Palatino Linotype" w:hAnsi="Palatino Linotype"/>
          <w:sz w:val="24"/>
          <w:szCs w:val="24"/>
        </w:rPr>
        <w:t xml:space="preserve"> </w:t>
      </w:r>
      <w:r w:rsidRPr="00BB0D57">
        <w:rPr>
          <w:rFonts w:ascii="Palatino Linotype" w:hAnsi="Palatino Linotype"/>
          <w:sz w:val="24"/>
          <w:szCs w:val="24"/>
        </w:rPr>
        <w:t>IEA</w:t>
      </w:r>
      <w:r>
        <w:rPr>
          <w:rFonts w:ascii="Palatino Linotype" w:hAnsi="Palatino Linotype"/>
          <w:sz w:val="24"/>
          <w:szCs w:val="24"/>
        </w:rPr>
        <w:t xml:space="preserve"> </w:t>
      </w:r>
      <w:r w:rsidRPr="00BB0D57">
        <w:rPr>
          <w:rFonts w:ascii="Palatino Linotype" w:hAnsi="Palatino Linotype"/>
          <w:sz w:val="24"/>
          <w:szCs w:val="24"/>
        </w:rPr>
        <w:t>(2011)</w:t>
      </w:r>
      <w:r>
        <w:rPr>
          <w:rFonts w:ascii="Palatino Linotype" w:hAnsi="Palatino Linotype"/>
          <w:sz w:val="24"/>
          <w:szCs w:val="24"/>
        </w:rPr>
        <w:t xml:space="preserve"> </w:t>
      </w:r>
      <w:r w:rsidRPr="00BB0D57">
        <w:rPr>
          <w:rFonts w:ascii="Palatino Linotype" w:hAnsi="Palatino Linotype"/>
          <w:sz w:val="24"/>
          <w:szCs w:val="24"/>
        </w:rPr>
        <w:t>gives the following definition:</w:t>
      </w:r>
      <w:r>
        <w:rPr>
          <w:rFonts w:ascii="Palatino Linotype" w:hAnsi="Palatino Linotype"/>
          <w:sz w:val="24"/>
          <w:szCs w:val="24"/>
        </w:rPr>
        <w:t xml:space="preserve"> “</w:t>
      </w:r>
      <w:r w:rsidRPr="00BB0D57">
        <w:rPr>
          <w:rFonts w:ascii="Palatino Linotype" w:hAnsi="Palatino Linotype"/>
          <w:sz w:val="24"/>
          <w:szCs w:val="24"/>
        </w:rPr>
        <w:t>a household having reliable</w:t>
      </w:r>
      <w:r>
        <w:rPr>
          <w:rFonts w:ascii="Palatino Linotype" w:hAnsi="Palatino Linotype"/>
          <w:sz w:val="24"/>
          <w:szCs w:val="24"/>
        </w:rPr>
        <w:t xml:space="preserve"> </w:t>
      </w:r>
      <w:r w:rsidRPr="00BB0D57">
        <w:rPr>
          <w:rFonts w:ascii="Palatino Linotype" w:hAnsi="Palatino Linotype"/>
          <w:sz w:val="24"/>
          <w:szCs w:val="24"/>
        </w:rPr>
        <w:t>and affordable access to clean cooking facilities, a</w:t>
      </w:r>
      <w:r>
        <w:rPr>
          <w:rFonts w:ascii="Palatino Linotype" w:hAnsi="Palatino Linotype"/>
          <w:sz w:val="24"/>
          <w:szCs w:val="24"/>
        </w:rPr>
        <w:t xml:space="preserve"> </w:t>
      </w:r>
      <w:r w:rsidRPr="00BB0D57">
        <w:rPr>
          <w:rFonts w:ascii="Palatino Linotype" w:hAnsi="Palatino Linotype"/>
          <w:sz w:val="24"/>
          <w:szCs w:val="24"/>
        </w:rPr>
        <w:t>first connection to</w:t>
      </w:r>
      <w:r>
        <w:rPr>
          <w:rFonts w:ascii="Palatino Linotype" w:hAnsi="Palatino Linotype"/>
          <w:sz w:val="24"/>
          <w:szCs w:val="24"/>
        </w:rPr>
        <w:t xml:space="preserve"> </w:t>
      </w:r>
      <w:r w:rsidRPr="00BB0D57">
        <w:rPr>
          <w:rFonts w:ascii="Palatino Linotype" w:hAnsi="Palatino Linotype"/>
          <w:sz w:val="24"/>
          <w:szCs w:val="24"/>
        </w:rPr>
        <w:t>electricity and then an increasing level of electricity consumption</w:t>
      </w:r>
      <w:r>
        <w:rPr>
          <w:rFonts w:ascii="Palatino Linotype" w:hAnsi="Palatino Linotype"/>
          <w:sz w:val="24"/>
          <w:szCs w:val="24"/>
        </w:rPr>
        <w:t xml:space="preserve"> </w:t>
      </w:r>
      <w:r w:rsidRPr="00BB0D57">
        <w:rPr>
          <w:rFonts w:ascii="Palatino Linotype" w:hAnsi="Palatino Linotype"/>
          <w:sz w:val="24"/>
          <w:szCs w:val="24"/>
        </w:rPr>
        <w:t>over time to reach the regional average.”</w:t>
      </w:r>
      <w:r>
        <w:rPr>
          <w:rFonts w:ascii="Palatino Linotype" w:hAnsi="Palatino Linotype"/>
          <w:sz w:val="24"/>
          <w:szCs w:val="24"/>
        </w:rPr>
        <w:t xml:space="preserve"> </w:t>
      </w:r>
      <w:r w:rsidRPr="00BB0D57">
        <w:rPr>
          <w:rFonts w:ascii="Palatino Linotype" w:hAnsi="Palatino Linotype"/>
          <w:sz w:val="24"/>
          <w:szCs w:val="24"/>
        </w:rPr>
        <w:t>However, the definition implicitly assumes the regional average level of consumption as the acceptable minimum need which can be problematic due to its</w:t>
      </w:r>
      <w:r>
        <w:rPr>
          <w:rFonts w:ascii="Palatino Linotype" w:hAnsi="Palatino Linotype"/>
          <w:sz w:val="24"/>
          <w:szCs w:val="24"/>
        </w:rPr>
        <w:t xml:space="preserve"> </w:t>
      </w:r>
      <w:r w:rsidRPr="00BB0D57">
        <w:rPr>
          <w:rFonts w:ascii="Palatino Linotype" w:hAnsi="Palatino Linotype"/>
          <w:sz w:val="24"/>
          <w:szCs w:val="24"/>
        </w:rPr>
        <w:t>potential for encouraging wasteful consumption and perpetuation of</w:t>
      </w:r>
      <w:r>
        <w:rPr>
          <w:rFonts w:ascii="Palatino Linotype" w:hAnsi="Palatino Linotype"/>
          <w:sz w:val="24"/>
          <w:szCs w:val="24"/>
        </w:rPr>
        <w:t xml:space="preserve"> </w:t>
      </w:r>
      <w:r w:rsidRPr="00BB0D57">
        <w:rPr>
          <w:rFonts w:ascii="Palatino Linotype" w:hAnsi="Palatino Linotype"/>
          <w:sz w:val="24"/>
          <w:szCs w:val="24"/>
        </w:rPr>
        <w:t>unsustainable lifestyles</w:t>
      </w:r>
      <w:r>
        <w:rPr>
          <w:rFonts w:ascii="Palatino Linotype" w:hAnsi="Palatino Linotype"/>
          <w:sz w:val="24"/>
          <w:szCs w:val="24"/>
        </w:rPr>
        <w:t xml:space="preserve">. </w:t>
      </w:r>
      <w:hyperlink w:anchor="_[3]_Subhes_C." w:history="1">
        <w:r w:rsidRPr="00BB0D57">
          <w:rPr>
            <w:rStyle w:val="Hyperlink"/>
            <w:rFonts w:ascii="Palatino Linotype" w:hAnsi="Palatino Linotype"/>
            <w:sz w:val="24"/>
            <w:szCs w:val="24"/>
          </w:rPr>
          <w:t>[3]</w:t>
        </w:r>
      </w:hyperlink>
    </w:p>
    <w:p w14:paraId="04108EF0" w14:textId="10A92E26" w:rsidR="00C24EE4" w:rsidRPr="00C24EE4" w:rsidRDefault="00C24EE4" w:rsidP="00C24EE4">
      <w:pPr>
        <w:jc w:val="both"/>
        <w:rPr>
          <w:rFonts w:ascii="Palatino Linotype" w:hAnsi="Palatino Linotype"/>
          <w:sz w:val="24"/>
          <w:szCs w:val="24"/>
        </w:rPr>
      </w:pPr>
      <w:r w:rsidRPr="00C24EE4">
        <w:rPr>
          <w:rFonts w:ascii="Palatino Linotype" w:hAnsi="Palatino Linotype"/>
          <w:sz w:val="24"/>
          <w:szCs w:val="24"/>
        </w:rPr>
        <w:t>Globally, approximately 759 million individuals, constituting 1 out of every 10 people, lack access to essential electricity for illuminating their homes, preserving perishable food items, or mitigating the effects of escalating temperatures. Roughly 2.6 billion individuals are compelled to resort to polluting biomass sources like charcoal, coal, and animal waste for cooking purposes. These statistics present an intolerable reality.</w:t>
      </w:r>
    </w:p>
    <w:p w14:paraId="335E4358" w14:textId="649B69D7" w:rsidR="0013436B" w:rsidRDefault="00C24EE4" w:rsidP="0013436B">
      <w:pPr>
        <w:jc w:val="both"/>
        <w:rPr>
          <w:rStyle w:val="Hyperlink"/>
          <w:rFonts w:ascii="Palatino Linotype" w:hAnsi="Palatino Linotype"/>
          <w:sz w:val="24"/>
          <w:szCs w:val="24"/>
        </w:rPr>
      </w:pPr>
      <w:r w:rsidRPr="00C24EE4">
        <w:rPr>
          <w:rFonts w:ascii="Palatino Linotype" w:hAnsi="Palatino Linotype"/>
          <w:sz w:val="24"/>
          <w:szCs w:val="24"/>
        </w:rPr>
        <w:t>In Sub-Saharan Africa and Asia, the largest disparities in electricity and clean cooking accessibility are observed across 20 countries. These regions also contribute to the 80 percent of nations worldwide that grapple with inadequate electricity provision. The absence of access to clean, modern energy undermines efforts to achieve Sustainable Development Goals (SDGs) aimed at poverty alleviation, educational enhancement, and public health amelioration. For instance, replacing antiquated stoves and open fires could prevent the deaths of 800,000 children annually, who succumb to indoor air pollution exposure. Hence, the imperative of SDG7 is to address these energy disparities by 2030.</w:t>
      </w:r>
      <w:r>
        <w:rPr>
          <w:rFonts w:ascii="Palatino Linotype" w:hAnsi="Palatino Linotype"/>
          <w:sz w:val="24"/>
          <w:szCs w:val="24"/>
        </w:rPr>
        <w:t xml:space="preserve"> </w:t>
      </w:r>
      <w:hyperlink w:anchor="_[4]_SEforALL_and" w:history="1">
        <w:r w:rsidRPr="00C24EE4">
          <w:rPr>
            <w:rStyle w:val="Hyperlink"/>
            <w:rFonts w:ascii="Palatino Linotype" w:hAnsi="Palatino Linotype"/>
            <w:sz w:val="24"/>
            <w:szCs w:val="24"/>
          </w:rPr>
          <w:t>[4]</w:t>
        </w:r>
      </w:hyperlink>
    </w:p>
    <w:p w14:paraId="5EB7615A" w14:textId="0055B54E" w:rsidR="0013436B" w:rsidRDefault="0013436B" w:rsidP="0013436B">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Focusing on the African continent i</w:t>
      </w:r>
      <w:r w:rsidRPr="0013436B">
        <w:rPr>
          <w:rStyle w:val="Hyperlink"/>
          <w:rFonts w:ascii="Palatino Linotype" w:hAnsi="Palatino Linotype"/>
          <w:color w:val="auto"/>
          <w:sz w:val="24"/>
          <w:szCs w:val="24"/>
          <w:u w:val="none"/>
        </w:rPr>
        <w:t>n pursuit of the ambitious goal of achieving universal access to modern energy services across Africa by 2030, it becomes imperative to explore diverse pathways within the electricity sector. Such exploration not only aids policy-makers and investors in making informed decisions but also plays a pivotal role in shaping the design of power systems.</w:t>
      </w:r>
      <w:r>
        <w:rPr>
          <w:rStyle w:val="Hyperlink"/>
          <w:rFonts w:ascii="Palatino Linotype" w:hAnsi="Palatino Linotype"/>
          <w:color w:val="auto"/>
          <w:sz w:val="24"/>
          <w:szCs w:val="24"/>
          <w:u w:val="none"/>
        </w:rPr>
        <w:t xml:space="preserve"> </w:t>
      </w:r>
      <w:hyperlink w:anchor="_[7]_M._Bazilian," w:history="1">
        <w:r w:rsidRPr="0013436B">
          <w:rPr>
            <w:rStyle w:val="Hyperlink"/>
            <w:rFonts w:ascii="Palatino Linotype" w:hAnsi="Palatino Linotype"/>
            <w:sz w:val="24"/>
            <w:szCs w:val="24"/>
          </w:rPr>
          <w:t>[7]</w:t>
        </w:r>
      </w:hyperlink>
    </w:p>
    <w:p w14:paraId="78BB3011" w14:textId="7777777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Holistic energy systems planning endeavors to ensure that energy-related policy and investment choices encompass all viable options on both the supply and demand sides, aligning with broader national objectives such as sustainable development. However, a fundamental prerequisite is the establishment of robust national energy planning capability.</w:t>
      </w:r>
    </w:p>
    <w:p w14:paraId="402FF0C4" w14:textId="77777777" w:rsidR="00E76C48" w:rsidRPr="00E76C48" w:rsidRDefault="00E76C48" w:rsidP="00E76C48">
      <w:pPr>
        <w:jc w:val="both"/>
        <w:rPr>
          <w:rStyle w:val="Hyperlink"/>
          <w:rFonts w:ascii="Palatino Linotype" w:hAnsi="Palatino Linotype"/>
          <w:color w:val="auto"/>
          <w:sz w:val="24"/>
          <w:szCs w:val="24"/>
          <w:u w:val="none"/>
        </w:rPr>
      </w:pPr>
    </w:p>
    <w:p w14:paraId="159234FC" w14:textId="2749FAB2"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lastRenderedPageBreak/>
        <w:t>Energy planning capacity serves as a cornerstone, enhancing a country's capacity to anticipate and adapt to rapid changes while capitalizing on emerging opportunities and addressing new challenges. This asset appreciates over time as experts accumulate practical experience, enrich the local knowledge repository, and foster collaborations with stakeholders across various sectors. Historically, inadequate national planning capacity has resulted in suboptimal policy and investment decisions, contributing to unequal access to modern energy services.</w:t>
      </w:r>
    </w:p>
    <w:p w14:paraId="0C97633F" w14:textId="25076211"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Furthermore, energy planning transcends national boundaries, particularly for smaller nations with limited energy resource potentials, such as hydropower. Collaborative ventures involving infrastructure-sharing with neighboring countries offer the potential for economies of scale, highlighting the interconnected nature of energy planning across geopolitical borders.</w:t>
      </w:r>
    </w:p>
    <w:p w14:paraId="4DB70123" w14:textId="695F6AF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Over the past two decades, numerous developing nations have embraced extensive policies advocating for liberalization and privatization, often under the influence of major international funders and development organizations. While these policies have occasionally bolstered the operational efficiency of individual national utilities, their impact on expanding energy access has been modest at best. This is primarily due to the fact that catering to the electricity needs of the most marginalized populations isn't financially lucrative for utilities.</w:t>
      </w:r>
    </w:p>
    <w:p w14:paraId="4FE664B3" w14:textId="200AE718"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This discourse mirrors the ongoing dialogue within OECD countries over the same period, where the outcomes have been similarly varied. The purported advantages of liberalizing these predominantly fragile markets remain ambiguous. In instances where liberalization has been ideologically imposed on these nations, it often proves detrimental, despite originating from well-meaning intentions.</w:t>
      </w:r>
    </w:p>
    <w:p w14:paraId="55DB2A10" w14:textId="42D7560B"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Similar to many sectors of public policy, energy policy formulation heavily relies on analytical models. However, these models exhibit significant variations in outputs, temporal and spatial scopes, sophistication levels, terminology, underlying assumptions, system boundaries, and theoretical frameworks. Consequently, the findings generated from these analyses necessitate substantial filtration and translation to effectively inform the design and implementation of governmental policies.</w:t>
      </w:r>
    </w:p>
    <w:p w14:paraId="4CB56C5D" w14:textId="487E2F6B"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line with this perspective a noticeable disparity between the inquiries posed by policymakers and the outcomes derive</w:t>
      </w:r>
      <w:r>
        <w:rPr>
          <w:rStyle w:val="Hyperlink"/>
          <w:rFonts w:ascii="Palatino Linotype" w:hAnsi="Palatino Linotype"/>
          <w:color w:val="auto"/>
          <w:sz w:val="24"/>
          <w:szCs w:val="24"/>
          <w:u w:val="none"/>
        </w:rPr>
        <w:t>s</w:t>
      </w:r>
      <w:r w:rsidRPr="004B35A8">
        <w:rPr>
          <w:rStyle w:val="Hyperlink"/>
          <w:rFonts w:ascii="Palatino Linotype" w:hAnsi="Palatino Linotype"/>
          <w:color w:val="auto"/>
          <w:sz w:val="24"/>
          <w:szCs w:val="24"/>
          <w:u w:val="none"/>
        </w:rPr>
        <w:t xml:space="preserve"> from modeling exercises. Within the realm of energy policy, power system analyses represent a subset of broader energy system modeling endeavors. Integrated resource planning models (IRP) commonly serve as pivotal tools within the power sector for strategic decision-making processes.</w:t>
      </w:r>
      <w:r>
        <w:rPr>
          <w:rStyle w:val="Hyperlink"/>
          <w:rFonts w:ascii="Palatino Linotype" w:hAnsi="Palatino Linotype"/>
          <w:color w:val="auto"/>
          <w:sz w:val="24"/>
          <w:szCs w:val="24"/>
          <w:u w:val="none"/>
        </w:rPr>
        <w:t xml:space="preserve"> </w:t>
      </w:r>
    </w:p>
    <w:p w14:paraId="1F9F6592" w14:textId="77777777" w:rsidR="004B35A8" w:rsidRDefault="004B35A8" w:rsidP="004B35A8">
      <w:pPr>
        <w:jc w:val="both"/>
        <w:rPr>
          <w:rStyle w:val="Hyperlink"/>
          <w:rFonts w:ascii="Palatino Linotype" w:hAnsi="Palatino Linotype"/>
          <w:color w:val="auto"/>
          <w:sz w:val="24"/>
          <w:szCs w:val="24"/>
          <w:u w:val="none"/>
        </w:rPr>
      </w:pPr>
    </w:p>
    <w:p w14:paraId="0292D2A2" w14:textId="579F2EB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Power system analyses, management, and planning encompass various timeframes, spanning from sub-second activities like load balancing to multi-decade projections for capacity expansion. Fundamental to this planning is a set of electricity demand projections, forming the basis for capacity expansion strategies. Such planning often centers on least-cost optimization methodologies, considering a spectrum of constraints such as existing infrastructure conditions, financial accessibility, environmental policies, and energy security imperatives.</w:t>
      </w:r>
    </w:p>
    <w:p w14:paraId="0C48A3F4" w14:textId="5043E46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Across governmental planning agencies and utilities globally, an array of modern mathematical techniques is commonly employed. These range from fuzzy logic and evolutionary programming to mixed-integer linear programming and multi-objective optimization. Recent research in this domain reveals a discernible trend towards incorporating uncertainties and adapting to liberalized market dynamics.</w:t>
      </w:r>
    </w:p>
    <w:p w14:paraId="651D2016" w14:textId="59C67C64" w:rsid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However, for many power systems in sub-Saharan Africa, excessively sophisticated methodologies may not be imperative initially for initiating generation and infrastructure planning processes.</w:t>
      </w:r>
    </w:p>
    <w:p w14:paraId="0F959EE3" w14:textId="4C44CDD2" w:rsidR="004B35A8" w:rsidRDefault="004B35A8" w:rsidP="00E76C4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Energy demand projections constitute a pivotal element in the majority of planning initiatives. Various tools and methodologies of differing degrees of complexity, as outlined in Table 1, are employed to forecast future demand.</w:t>
      </w:r>
    </w:p>
    <w:p w14:paraId="3A6FEA53" w14:textId="07100FFE" w:rsidR="00E76C48" w:rsidRDefault="004B35A8" w:rsidP="004B35A8">
      <w:pPr>
        <w:jc w:val="center"/>
        <w:rPr>
          <w:rStyle w:val="Hyperlink"/>
          <w:rFonts w:ascii="Palatino Linotype" w:hAnsi="Palatino Linotype"/>
          <w:color w:val="auto"/>
          <w:sz w:val="24"/>
          <w:szCs w:val="24"/>
          <w:u w:val="none"/>
        </w:rPr>
      </w:pPr>
      <w:r w:rsidRPr="004B35A8">
        <w:rPr>
          <w:rStyle w:val="Hyperlink"/>
          <w:rFonts w:ascii="Palatino Linotype" w:hAnsi="Palatino Linotype"/>
          <w:noProof/>
          <w:color w:val="auto"/>
          <w:sz w:val="24"/>
          <w:szCs w:val="24"/>
          <w:u w:val="none"/>
        </w:rPr>
        <w:drawing>
          <wp:inline distT="0" distB="0" distL="0" distR="0" wp14:anchorId="0E423015" wp14:editId="1D7DC706">
            <wp:extent cx="4925330" cy="2571750"/>
            <wp:effectExtent l="0" t="0" r="0" b="0"/>
            <wp:docPr id="49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787" name=""/>
                    <pic:cNvPicPr/>
                  </pic:nvPicPr>
                  <pic:blipFill>
                    <a:blip r:embed="rId11"/>
                    <a:stretch>
                      <a:fillRect/>
                    </a:stretch>
                  </pic:blipFill>
                  <pic:spPr>
                    <a:xfrm>
                      <a:off x="0" y="0"/>
                      <a:ext cx="4951067" cy="2585189"/>
                    </a:xfrm>
                    <a:prstGeom prst="rect">
                      <a:avLst/>
                    </a:prstGeom>
                  </pic:spPr>
                </pic:pic>
              </a:graphicData>
            </a:graphic>
          </wp:inline>
        </w:drawing>
      </w:r>
    </w:p>
    <w:p w14:paraId="6F1BB5F0" w14:textId="62C8813A" w:rsidR="004B35A8" w:rsidRPr="00A164E3" w:rsidRDefault="004B35A8" w:rsidP="004B35A8">
      <w:pPr>
        <w:jc w:val="center"/>
        <w:rPr>
          <w:rStyle w:val="Hyperlink"/>
          <w:rFonts w:ascii="Palatino Linotype" w:hAnsi="Palatino Linotype"/>
          <w:color w:val="auto"/>
          <w:sz w:val="16"/>
          <w:szCs w:val="16"/>
          <w:u w:val="none"/>
        </w:rPr>
      </w:pPr>
      <w:r w:rsidRPr="00A164E3">
        <w:rPr>
          <w:rStyle w:val="Hyperlink"/>
          <w:rFonts w:ascii="Palatino Linotype" w:hAnsi="Palatino Linotype"/>
          <w:b/>
          <w:bCs/>
          <w:color w:val="auto"/>
          <w:sz w:val="16"/>
          <w:szCs w:val="16"/>
          <w:u w:val="none"/>
        </w:rPr>
        <w:t>Table 1:</w:t>
      </w:r>
      <w:r w:rsidRPr="00A164E3">
        <w:rPr>
          <w:rStyle w:val="Hyperlink"/>
          <w:rFonts w:ascii="Palatino Linotype" w:hAnsi="Palatino Linotype"/>
          <w:color w:val="auto"/>
          <w:sz w:val="16"/>
          <w:szCs w:val="16"/>
          <w:u w:val="none"/>
        </w:rPr>
        <w:t xml:space="preserve"> Selected methods for energy demand forecasting (adapted from: McDowall &amp; Eames (2006) and Thomas (2006)) </w:t>
      </w:r>
      <w:hyperlink w:anchor="_[7]_M._Bazilian," w:history="1">
        <w:r w:rsidRPr="00A164E3">
          <w:rPr>
            <w:rStyle w:val="Hyperlink"/>
            <w:rFonts w:ascii="Palatino Linotype" w:hAnsi="Palatino Linotype"/>
            <w:sz w:val="16"/>
            <w:szCs w:val="16"/>
          </w:rPr>
          <w:t>[7]</w:t>
        </w:r>
      </w:hyperlink>
    </w:p>
    <w:p w14:paraId="4B85C4B2" w14:textId="64C2E050" w:rsidR="00E76C48" w:rsidRDefault="00E76C48" w:rsidP="00E76C48">
      <w:pPr>
        <w:jc w:val="both"/>
        <w:rPr>
          <w:rStyle w:val="Hyperlink"/>
          <w:rFonts w:ascii="Palatino Linotype" w:hAnsi="Palatino Linotype"/>
          <w:color w:val="auto"/>
          <w:sz w:val="24"/>
          <w:szCs w:val="24"/>
          <w:u w:val="none"/>
        </w:rPr>
      </w:pPr>
    </w:p>
    <w:p w14:paraId="20B5F18E" w14:textId="77777777" w:rsidR="00E76C48" w:rsidRDefault="00E76C48" w:rsidP="00E76C48">
      <w:pPr>
        <w:jc w:val="both"/>
        <w:rPr>
          <w:rStyle w:val="Hyperlink"/>
          <w:rFonts w:ascii="Palatino Linotype" w:hAnsi="Palatino Linotype"/>
          <w:color w:val="auto"/>
          <w:sz w:val="24"/>
          <w:szCs w:val="24"/>
          <w:u w:val="none"/>
        </w:rPr>
      </w:pPr>
    </w:p>
    <w:p w14:paraId="250E2A91" w14:textId="77777777" w:rsidR="004B35A8" w:rsidRDefault="004B35A8" w:rsidP="004B35A8">
      <w:pPr>
        <w:jc w:val="both"/>
        <w:rPr>
          <w:rStyle w:val="Hyperlink"/>
          <w:rFonts w:ascii="Palatino Linotype" w:hAnsi="Palatino Linotype"/>
          <w:color w:val="auto"/>
          <w:sz w:val="24"/>
          <w:szCs w:val="24"/>
          <w:u w:val="none"/>
        </w:rPr>
      </w:pPr>
    </w:p>
    <w:p w14:paraId="79036E91" w14:textId="77777777" w:rsidR="004B35A8" w:rsidRDefault="004B35A8" w:rsidP="004B35A8">
      <w:pPr>
        <w:jc w:val="both"/>
        <w:rPr>
          <w:rStyle w:val="Hyperlink"/>
          <w:rFonts w:ascii="Palatino Linotype" w:hAnsi="Palatino Linotype"/>
          <w:color w:val="auto"/>
          <w:sz w:val="24"/>
          <w:szCs w:val="24"/>
          <w:u w:val="none"/>
        </w:rPr>
      </w:pPr>
    </w:p>
    <w:p w14:paraId="4BE9E39D" w14:textId="13B5BBD2"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 xml:space="preserve">Each approach to energy demand projection possesses distinct strengths and weaknesses. The selection of the appropriate method hinges on several factors, notably the nature and availability of underlying data, as well as the purpose of the analysis and the timeframe involved. </w:t>
      </w:r>
    </w:p>
    <w:p w14:paraId="53849311" w14:textId="341CCE71"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many long-term planning endeavors conducted in sub-Saharan Africa (SSA), demand projections often rely on econometric relationships tied to income (GDP) and population growth projections, coupled with elasticity relationships. Furthermore, certain methodologies incorporate explicit terms for household connections and large point demands. For instance, consider Equation 1 as depicted in PIDA (2011)</w:t>
      </w:r>
      <w:r>
        <w:rPr>
          <w:rStyle w:val="Hyperlink"/>
          <w:rFonts w:ascii="Palatino Linotype" w:hAnsi="Palatino Linotype"/>
          <w:color w:val="auto"/>
          <w:sz w:val="24"/>
          <w:szCs w:val="24"/>
          <w:u w:val="none"/>
        </w:rPr>
        <w:t>:</w:t>
      </w:r>
    </w:p>
    <w:p w14:paraId="7D57933B" w14:textId="77777777" w:rsidR="0004276B" w:rsidRDefault="0004276B" w:rsidP="004B35A8">
      <w:pPr>
        <w:jc w:val="both"/>
        <w:rPr>
          <w:rStyle w:val="Hyperlink"/>
          <w:rFonts w:ascii="Palatino Linotype" w:hAnsi="Palatino Linotype"/>
          <w:color w:val="auto"/>
          <w:sz w:val="24"/>
          <w:szCs w:val="24"/>
          <w:u w:val="none"/>
        </w:rPr>
      </w:pPr>
    </w:p>
    <w:p w14:paraId="417B6177" w14:textId="62026AB0" w:rsidR="004B35A8" w:rsidRDefault="00000000" w:rsidP="0004276B">
      <w:pPr>
        <w:jc w:val="center"/>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t-1</m:t>
            </m:r>
          </m:sub>
        </m:sSub>
        <m:d>
          <m:dPr>
            <m:ctrlPr>
              <w:rPr>
                <w:rStyle w:val="Hyperlink"/>
                <w:rFonts w:ascii="Cambria Math" w:hAnsi="Cambria Math"/>
                <w:i/>
                <w:color w:val="auto"/>
                <w:sz w:val="24"/>
                <w:szCs w:val="24"/>
                <w:u w:val="none"/>
              </w:rPr>
            </m:ctrlPr>
          </m:dPr>
          <m:e>
            <m:r>
              <w:rPr>
                <w:rStyle w:val="Hyperlink"/>
                <w:rFonts w:ascii="Cambria Math" w:hAnsi="Cambria Math"/>
                <w:color w:val="auto"/>
                <w:sz w:val="24"/>
                <w:szCs w:val="24"/>
                <w:u w:val="none"/>
              </w:rPr>
              <m:t>ϵ</m:t>
            </m:r>
            <m:f>
              <m:fPr>
                <m:ctrlPr>
                  <w:rPr>
                    <w:rStyle w:val="Hyperlink"/>
                    <w:rFonts w:ascii="Cambria Math" w:hAnsi="Cambria Math"/>
                    <w:i/>
                    <w:color w:val="auto"/>
                    <w:sz w:val="24"/>
                    <w:szCs w:val="24"/>
                    <w:u w:val="none"/>
                  </w:rPr>
                </m:ctrlPr>
              </m:fPr>
              <m:num>
                <m:r>
                  <m:rPr>
                    <m:sty m:val="p"/>
                  </m:rPr>
                  <w:rPr>
                    <w:rStyle w:val="Hyperlink"/>
                    <w:rFonts w:ascii="Cambria Math" w:hAnsi="Cambria Math"/>
                    <w:color w:val="auto"/>
                    <w:sz w:val="24"/>
                    <w:szCs w:val="24"/>
                    <w:u w:val="none"/>
                  </w:rPr>
                  <m:t>Δ</m:t>
                </m:r>
                <m:r>
                  <w:rPr>
                    <w:rStyle w:val="Hyperlink"/>
                    <w:rFonts w:ascii="Cambria Math" w:hAnsi="Cambria Math"/>
                    <w:color w:val="auto"/>
                    <w:sz w:val="24"/>
                    <w:szCs w:val="24"/>
                    <w:u w:val="none"/>
                  </w:rPr>
                  <m:t>GDP</m:t>
                </m:r>
              </m:num>
              <m:den>
                <m:r>
                  <w:rPr>
                    <w:rStyle w:val="Hyperlink"/>
                    <w:rFonts w:ascii="Cambria Math" w:hAnsi="Cambria Math"/>
                    <w:color w:val="auto"/>
                    <w:sz w:val="24"/>
                    <w:szCs w:val="24"/>
                    <w:u w:val="none"/>
                  </w:rPr>
                  <m:t>GDP</m:t>
                </m:r>
              </m:den>
            </m:f>
            <m:r>
              <w:rPr>
                <w:rStyle w:val="Hyperlink"/>
                <w:rFonts w:ascii="Cambria Math" w:hAnsi="Cambria Math"/>
                <w:color w:val="auto"/>
                <w:sz w:val="24"/>
                <w:szCs w:val="24"/>
                <w:u w:val="none"/>
              </w:rPr>
              <m:t>+1</m:t>
            </m:r>
          </m:e>
        </m:d>
        <m:r>
          <w:rPr>
            <w:rStyle w:val="Hyperlink"/>
            <w:rFonts w:ascii="Cambria Math" w:hAnsi="Cambria Math"/>
            <w:color w:val="auto"/>
            <w:sz w:val="24"/>
            <w:szCs w:val="24"/>
            <w:u w:val="none"/>
          </w:rPr>
          <m:t>+k</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r>
          <m:rPr>
            <m:sty m:val="p"/>
          </m:rPr>
          <w:rPr>
            <w:rStyle w:val="Hyperlink"/>
            <w:rFonts w:ascii="Cambria Math" w:hAnsi="Cambria Math"/>
            <w:color w:val="auto"/>
            <w:sz w:val="24"/>
            <w:szCs w:val="24"/>
            <w:u w:val="none"/>
          </w:rPr>
          <m:t>Δ</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(1)</w:t>
      </w:r>
    </w:p>
    <w:p w14:paraId="6C3C9C7F" w14:textId="77777777" w:rsidR="0004276B" w:rsidRDefault="0004276B" w:rsidP="0004276B">
      <w:pPr>
        <w:jc w:val="center"/>
        <w:rPr>
          <w:rStyle w:val="Hyperlink"/>
          <w:rFonts w:ascii="Palatino Linotype" w:hAnsi="Palatino Linotype"/>
          <w:color w:val="auto"/>
          <w:sz w:val="24"/>
          <w:szCs w:val="24"/>
          <w:u w:val="none"/>
        </w:rPr>
      </w:pPr>
    </w:p>
    <w:p w14:paraId="679E2E35" w14:textId="0C179313" w:rsidR="00E76C48" w:rsidRDefault="0004276B" w:rsidP="00E76C48">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Where:</w:t>
      </w:r>
    </w:p>
    <w:p w14:paraId="52253B50" w14:textId="15715CB7"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D</m:t>
        </m:r>
      </m:oMath>
      <w:r>
        <w:rPr>
          <w:rStyle w:val="Hyperlink"/>
          <w:rFonts w:ascii="Palatino Linotype" w:hAnsi="Palatino Linotype"/>
          <w:color w:val="auto"/>
          <w:sz w:val="24"/>
          <w:szCs w:val="24"/>
          <w:u w:val="none"/>
        </w:rPr>
        <w:t xml:space="preserve"> is the unconstrained demand</w:t>
      </w:r>
    </w:p>
    <w:p w14:paraId="16F5F711" w14:textId="0A1316B4"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ϵ</m:t>
        </m:r>
      </m:oMath>
      <w:r>
        <w:rPr>
          <w:rStyle w:val="Hyperlink"/>
          <w:rFonts w:ascii="Palatino Linotype" w:hAnsi="Palatino Linotype"/>
          <w:color w:val="auto"/>
          <w:sz w:val="24"/>
          <w:szCs w:val="24"/>
          <w:u w:val="none"/>
        </w:rPr>
        <w:t xml:space="preserve"> is the GDP elasticity of electricity demand</w:t>
      </w:r>
    </w:p>
    <w:p w14:paraId="44D8A9A6" w14:textId="071257F0"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k</m:t>
        </m:r>
      </m:oMath>
      <w:r>
        <w:rPr>
          <w:rStyle w:val="Hyperlink"/>
          <w:rFonts w:ascii="Palatino Linotype" w:hAnsi="Palatino Linotype"/>
          <w:color w:val="auto"/>
          <w:sz w:val="24"/>
          <w:szCs w:val="24"/>
          <w:u w:val="none"/>
        </w:rPr>
        <w:t xml:space="preserve"> is the average annual consumption of electricity of one household</w:t>
      </w:r>
    </w:p>
    <w:p w14:paraId="32FF7B78" w14:textId="4BF8616F"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number of new connections in a year </w:t>
      </w:r>
      <m:oMath>
        <m:r>
          <w:rPr>
            <w:rStyle w:val="Hyperlink"/>
            <w:rFonts w:ascii="Cambria Math" w:hAnsi="Cambria Math"/>
            <w:color w:val="auto"/>
            <w:sz w:val="24"/>
            <w:szCs w:val="24"/>
            <w:u w:val="none"/>
          </w:rPr>
          <m:t xml:space="preserve">t </m:t>
        </m:r>
      </m:oMath>
    </w:p>
    <w:p w14:paraId="61F041A8" w14:textId="3F323DCB"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additional demand from new large demand points</w:t>
      </w:r>
    </w:p>
    <w:p w14:paraId="1C7D9A39" w14:textId="77777777" w:rsidR="0004276B" w:rsidRPr="0004276B" w:rsidRDefault="0004276B" w:rsidP="0004276B">
      <w:pPr>
        <w:jc w:val="both"/>
        <w:rPr>
          <w:rStyle w:val="Hyperlink"/>
          <w:rFonts w:ascii="Palatino Linotype" w:hAnsi="Palatino Linotype"/>
          <w:color w:val="auto"/>
          <w:sz w:val="24"/>
          <w:szCs w:val="24"/>
          <w:u w:val="none"/>
        </w:rPr>
      </w:pPr>
    </w:p>
    <w:p w14:paraId="7E46F79C" w14:textId="032ED9B0" w:rsidR="00E76C48" w:rsidRDefault="0004276B" w:rsidP="0004276B">
      <w:pPr>
        <w:jc w:val="both"/>
        <w:rPr>
          <w:rStyle w:val="Hyperlink"/>
          <w:rFonts w:ascii="Palatino Linotype" w:hAnsi="Palatino Linotype"/>
          <w:color w:val="auto"/>
          <w:sz w:val="24"/>
          <w:szCs w:val="24"/>
          <w:u w:val="none"/>
        </w:rPr>
      </w:pPr>
      <w:r w:rsidRPr="0004276B">
        <w:rPr>
          <w:rStyle w:val="Hyperlink"/>
          <w:rFonts w:ascii="Palatino Linotype" w:hAnsi="Palatino Linotype"/>
          <w:color w:val="auto"/>
          <w:sz w:val="24"/>
          <w:szCs w:val="24"/>
          <w:u w:val="none"/>
        </w:rPr>
        <w:t>In contexts where a significant portion of the population lacks access to electricity services, traditional techniques reliant on aggregates like GDP and exogenous inputs such as future annual grid connections of households may not be optimally suited. In such scenarios, alternative approaches, such as solving for a future goal and back-casting, rather than forecasting based solely on historical trends, become necessary. Ensuring that the analytical approach aligns with the specific policy and investment inquiries at hand is paramount.</w:t>
      </w:r>
      <w:r w:rsidR="00D140ED">
        <w:rPr>
          <w:rStyle w:val="Hyperlink"/>
          <w:rFonts w:ascii="Palatino Linotype" w:hAnsi="Palatino Linotype"/>
          <w:color w:val="auto"/>
          <w:sz w:val="24"/>
          <w:szCs w:val="24"/>
          <w:u w:val="none"/>
        </w:rPr>
        <w:t xml:space="preserve"> </w:t>
      </w:r>
      <w:r w:rsidRPr="0004276B">
        <w:rPr>
          <w:rStyle w:val="Hyperlink"/>
          <w:rFonts w:ascii="Palatino Linotype" w:hAnsi="Palatino Linotype"/>
          <w:color w:val="auto"/>
          <w:sz w:val="24"/>
          <w:szCs w:val="24"/>
          <w:u w:val="none"/>
        </w:rPr>
        <w:t>It has been contended that in severely supply-constrained electricity systems, demand projections hold less significance compared to capacity expansion planning and associated financing. Put differently, in typical developing country settings, additional supply tends to stimulate its own demand</w:t>
      </w:r>
      <w:r w:rsidR="000A5CEB">
        <w:rPr>
          <w:rStyle w:val="Hyperlink"/>
          <w:rFonts w:ascii="Palatino Linotype" w:hAnsi="Palatino Linotype"/>
          <w:color w:val="auto"/>
          <w:sz w:val="24"/>
          <w:szCs w:val="24"/>
          <w:u w:val="none"/>
        </w:rPr>
        <w:t>.</w:t>
      </w:r>
    </w:p>
    <w:p w14:paraId="4277182C" w14:textId="77777777" w:rsidR="000A5CEB" w:rsidRDefault="000A5CEB" w:rsidP="0004276B">
      <w:pPr>
        <w:jc w:val="both"/>
        <w:rPr>
          <w:rStyle w:val="Hyperlink"/>
          <w:rFonts w:ascii="Palatino Linotype" w:hAnsi="Palatino Linotype"/>
          <w:color w:val="auto"/>
          <w:sz w:val="24"/>
          <w:szCs w:val="24"/>
          <w:u w:val="none"/>
        </w:rPr>
      </w:pPr>
    </w:p>
    <w:p w14:paraId="27612D32" w14:textId="77777777" w:rsidR="000A5CEB" w:rsidRDefault="000A5CEB" w:rsidP="0004276B">
      <w:pPr>
        <w:jc w:val="both"/>
        <w:rPr>
          <w:rStyle w:val="Hyperlink"/>
          <w:rFonts w:ascii="Palatino Linotype" w:hAnsi="Palatino Linotype"/>
          <w:color w:val="auto"/>
          <w:sz w:val="24"/>
          <w:szCs w:val="24"/>
          <w:u w:val="none"/>
        </w:rPr>
      </w:pPr>
    </w:p>
    <w:p w14:paraId="2EB676B3" w14:textId="77777777" w:rsidR="000A5CEB" w:rsidRDefault="000A5CEB" w:rsidP="0004276B">
      <w:pPr>
        <w:jc w:val="both"/>
        <w:rPr>
          <w:rStyle w:val="Hyperlink"/>
          <w:rFonts w:ascii="Palatino Linotype" w:hAnsi="Palatino Linotype"/>
          <w:color w:val="auto"/>
          <w:sz w:val="24"/>
          <w:szCs w:val="24"/>
          <w:u w:val="none"/>
        </w:rPr>
      </w:pPr>
    </w:p>
    <w:p w14:paraId="441F2AC2" w14:textId="77777777" w:rsidR="000A5CEB" w:rsidRDefault="000A5CEB" w:rsidP="0004276B">
      <w:pPr>
        <w:jc w:val="both"/>
        <w:rPr>
          <w:rStyle w:val="Hyperlink"/>
          <w:rFonts w:ascii="Palatino Linotype" w:hAnsi="Palatino Linotype"/>
          <w:color w:val="auto"/>
          <w:sz w:val="24"/>
          <w:szCs w:val="24"/>
          <w:u w:val="none"/>
        </w:rPr>
      </w:pPr>
    </w:p>
    <w:p w14:paraId="59B7C440" w14:textId="680E10BB" w:rsidR="000A5CEB" w:rsidRDefault="000A5CEB" w:rsidP="000A5CEB">
      <w:pPr>
        <w:pStyle w:val="Heading3"/>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lastRenderedPageBreak/>
        <w:t>2.1.2 Historical Energy Trends</w:t>
      </w:r>
    </w:p>
    <w:p w14:paraId="300BB9E2" w14:textId="77777777" w:rsidR="00E76C48" w:rsidRDefault="00E76C48" w:rsidP="00E76C48">
      <w:pPr>
        <w:jc w:val="both"/>
        <w:rPr>
          <w:rStyle w:val="Hyperlink"/>
          <w:rFonts w:ascii="Palatino Linotype" w:hAnsi="Palatino Linotype"/>
          <w:color w:val="auto"/>
          <w:sz w:val="24"/>
          <w:szCs w:val="24"/>
          <w:u w:val="none"/>
        </w:rPr>
      </w:pPr>
    </w:p>
    <w:p w14:paraId="5AE9887F" w14:textId="7AB829D1" w:rsidR="000A5CEB" w:rsidRP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Sub-Saharan Africa grapples profoundly with a dire lack of access to electricity and subpar quality of supply, characterized by issues of cost and reliability where infrastructure exists. An estimated 580 million individuals across the continent lack access to electricity, with the majority residing in rural areas (IEA, UNDP, and UNIDO, 2010). The electrification rate in SSA stands at approximately 30%, with urban areas showing higher rates at 60% compared to rural areas at 14% (IEA, UNDP, and UNIDO, 2010).</w:t>
      </w:r>
    </w:p>
    <w:p w14:paraId="3850151A" w14:textId="67AB0B9A" w:rsid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Numerous sources offer comprehensive analyses of the energy landscape in Africa, such as Eberhard et al. (2011)</w:t>
      </w:r>
      <w:r w:rsidR="00E24ADF">
        <w:rPr>
          <w:rStyle w:val="Hyperlink"/>
          <w:rFonts w:ascii="Palatino Linotype" w:hAnsi="Palatino Linotype"/>
          <w:color w:val="auto"/>
          <w:sz w:val="24"/>
          <w:szCs w:val="24"/>
          <w:u w:val="none"/>
        </w:rPr>
        <w:t xml:space="preserve"> </w:t>
      </w:r>
      <w:hyperlink w:anchor="_[8]_Anton_Eberhard," w:history="1">
        <w:r w:rsidR="00E24ADF" w:rsidRPr="00E24ADF">
          <w:rPr>
            <w:rStyle w:val="Hyperlink"/>
            <w:rFonts w:ascii="Palatino Linotype" w:hAnsi="Palatino Linotype"/>
            <w:sz w:val="24"/>
            <w:szCs w:val="24"/>
          </w:rPr>
          <w:t>[8]</w:t>
        </w:r>
        <w:r w:rsidRPr="00E24ADF">
          <w:rPr>
            <w:rStyle w:val="Hyperlink"/>
            <w:rFonts w:ascii="Palatino Linotype" w:hAnsi="Palatino Linotype"/>
            <w:sz w:val="24"/>
            <w:szCs w:val="24"/>
          </w:rPr>
          <w:t>.</w:t>
        </w:r>
      </w:hyperlink>
      <w:r w:rsidRPr="000A5CEB">
        <w:rPr>
          <w:rStyle w:val="Hyperlink"/>
          <w:rFonts w:ascii="Palatino Linotype" w:hAnsi="Palatino Linotype"/>
          <w:color w:val="auto"/>
          <w:sz w:val="24"/>
          <w:szCs w:val="24"/>
          <w:u w:val="none"/>
        </w:rPr>
        <w:t xml:space="preserve"> Recent academic literature on Africa's power systems prominently features discussions concerning solar power in North Africa. Additionally, much of the literature pertaining to the power sector in SSA understandably focuses on the Republic of South Africa (RSA). Nonetheless, there exists a dedicated cohort of researchers who focus on SSA as a whole or on specific countries within the region. Despite this, the literature on power sector scenarios in sub-Saharan Africa remains relatively sparse.</w:t>
      </w:r>
      <w:r>
        <w:rPr>
          <w:rStyle w:val="Hyperlink"/>
          <w:rFonts w:ascii="Palatino Linotype" w:hAnsi="Palatino Linotype"/>
          <w:color w:val="auto"/>
          <w:sz w:val="24"/>
          <w:szCs w:val="24"/>
          <w:u w:val="none"/>
        </w:rPr>
        <w:t xml:space="preserve"> </w:t>
      </w:r>
    </w:p>
    <w:p w14:paraId="6AEE2341" w14:textId="4A4E397B" w:rsidR="00F4127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total average per capita consumption in SSA (excluding RSA) is around 155 kWh (based on EIA data). These figures are minute compared to </w:t>
      </w:r>
      <w:proofErr w:type="spellStart"/>
      <w:r>
        <w:rPr>
          <w:rStyle w:val="Hyperlink"/>
          <w:rFonts w:ascii="Palatino Linotype" w:hAnsi="Palatino Linotype"/>
          <w:color w:val="auto"/>
          <w:sz w:val="24"/>
          <w:szCs w:val="24"/>
          <w:u w:val="none"/>
        </w:rPr>
        <w:t>Sth</w:t>
      </w:r>
      <w:proofErr w:type="spellEnd"/>
      <w:r>
        <w:rPr>
          <w:rStyle w:val="Hyperlink"/>
          <w:rFonts w:ascii="Palatino Linotype" w:hAnsi="Palatino Linotype"/>
          <w:color w:val="auto"/>
          <w:sz w:val="24"/>
          <w:szCs w:val="24"/>
          <w:u w:val="none"/>
        </w:rPr>
        <w:t>. Africa where this value is approximately 4770 kWh per capita or other OECD countries.</w:t>
      </w:r>
    </w:p>
    <w:p w14:paraId="3BD86AE2" w14:textId="288C3061"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installed capacity in Africa will need to grow by more </w:t>
      </w:r>
      <w:proofErr w:type="spellStart"/>
      <w:r>
        <w:rPr>
          <w:rStyle w:val="Hyperlink"/>
          <w:rFonts w:ascii="Palatino Linotype" w:hAnsi="Palatino Linotype"/>
          <w:color w:val="auto"/>
          <w:sz w:val="24"/>
          <w:szCs w:val="24"/>
          <w:u w:val="none"/>
        </w:rPr>
        <w:t>then</w:t>
      </w:r>
      <w:proofErr w:type="spellEnd"/>
      <w:r>
        <w:rPr>
          <w:rStyle w:val="Hyperlink"/>
          <w:rFonts w:ascii="Palatino Linotype" w:hAnsi="Palatino Linotype"/>
          <w:color w:val="auto"/>
          <w:sz w:val="24"/>
          <w:szCs w:val="24"/>
          <w:u w:val="none"/>
        </w:rPr>
        <w:t xml:space="preserve"> 10% just to meet Africa’s suppressed demand, keep pace with projected economic growth and provide additional capacity to support efforts to expand electrification. Most new capacity would be used to meet non-residential demands from the commercial and industrial sectors. </w:t>
      </w:r>
      <w:hyperlink w:anchor="_[7]_M._Bazilian," w:history="1">
        <w:r w:rsidRPr="00A164E3">
          <w:rPr>
            <w:rStyle w:val="Hyperlink"/>
            <w:rFonts w:ascii="Palatino Linotype" w:hAnsi="Palatino Linotype"/>
            <w:sz w:val="24"/>
            <w:szCs w:val="24"/>
          </w:rPr>
          <w:t>[7]</w:t>
        </w:r>
      </w:hyperlink>
    </w:p>
    <w:p w14:paraId="25EF4936" w14:textId="0954FC12"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Figure 2 shows the total electricity generation capacity installed per million persons (MW/</w:t>
      </w:r>
      <w:proofErr w:type="spellStart"/>
      <w:r>
        <w:rPr>
          <w:rStyle w:val="Hyperlink"/>
          <w:rFonts w:ascii="Palatino Linotype" w:hAnsi="Palatino Linotype"/>
          <w:color w:val="auto"/>
          <w:sz w:val="24"/>
          <w:szCs w:val="24"/>
          <w:u w:val="none"/>
        </w:rPr>
        <w:t>mln</w:t>
      </w:r>
      <w:proofErr w:type="spellEnd"/>
      <w:r>
        <w:rPr>
          <w:rStyle w:val="Hyperlink"/>
          <w:rFonts w:ascii="Palatino Linotype" w:hAnsi="Palatino Linotype"/>
          <w:color w:val="auto"/>
          <w:sz w:val="24"/>
          <w:szCs w:val="24"/>
          <w:u w:val="none"/>
        </w:rPr>
        <w:t>) in several regions. It is argued that is a relatively rough metric as it does not take into account a number of different and crucial parameters, including: T&amp;D Transmission and Distribution losses</w:t>
      </w:r>
      <w:r w:rsidR="00E24ADF">
        <w:rPr>
          <w:rStyle w:val="Hyperlink"/>
          <w:rFonts w:ascii="Palatino Linotype" w:hAnsi="Palatino Linotype"/>
          <w:color w:val="auto"/>
          <w:sz w:val="24"/>
          <w:szCs w:val="24"/>
          <w:u w:val="none"/>
        </w:rPr>
        <w:t>, load patterns, locational constraints, intermittency, temporal reserve, availability, operating efficiency, and outage rates. Compared to the other world regions, the ratio of electricity generation capacity per million inhabitants is low in Africa, particularly in sub-Saharan Africa. The figure for SSA (excluding RSA) was roughly 129 MW/</w:t>
      </w:r>
      <w:proofErr w:type="spellStart"/>
      <w:r w:rsidR="00E24ADF">
        <w:rPr>
          <w:rStyle w:val="Hyperlink"/>
          <w:rFonts w:ascii="Palatino Linotype" w:hAnsi="Palatino Linotype"/>
          <w:color w:val="auto"/>
          <w:sz w:val="24"/>
          <w:szCs w:val="24"/>
          <w:u w:val="none"/>
        </w:rPr>
        <w:t>mln</w:t>
      </w:r>
      <w:proofErr w:type="spellEnd"/>
      <w:r w:rsidR="00E24ADF">
        <w:rPr>
          <w:rStyle w:val="Hyperlink"/>
          <w:rFonts w:ascii="Palatino Linotype" w:hAnsi="Palatino Linotype"/>
          <w:color w:val="auto"/>
          <w:sz w:val="24"/>
          <w:szCs w:val="24"/>
          <w:u w:val="none"/>
        </w:rPr>
        <w:t xml:space="preserve"> in 2008 only considering people with electricity access; if the entire population is included, the total is about 40 MW/</w:t>
      </w:r>
      <w:proofErr w:type="spellStart"/>
      <w:r w:rsidR="00E24ADF">
        <w:rPr>
          <w:rStyle w:val="Hyperlink"/>
          <w:rFonts w:ascii="Palatino Linotype" w:hAnsi="Palatino Linotype"/>
          <w:color w:val="auto"/>
          <w:sz w:val="24"/>
          <w:szCs w:val="24"/>
          <w:u w:val="none"/>
        </w:rPr>
        <w:t>mln</w:t>
      </w:r>
      <w:proofErr w:type="spellEnd"/>
      <w:r w:rsidR="00E24ADF">
        <w:rPr>
          <w:rStyle w:val="Hyperlink"/>
          <w:rFonts w:ascii="Palatino Linotype" w:hAnsi="Palatino Linotype"/>
          <w:color w:val="auto"/>
          <w:sz w:val="24"/>
          <w:szCs w:val="24"/>
          <w:u w:val="none"/>
        </w:rPr>
        <w:t>.</w:t>
      </w:r>
    </w:p>
    <w:p w14:paraId="50D11B21" w14:textId="77777777" w:rsidR="00E24ADF" w:rsidRDefault="00E24ADF" w:rsidP="00F41273">
      <w:pPr>
        <w:jc w:val="both"/>
        <w:rPr>
          <w:rStyle w:val="Hyperlink"/>
          <w:rFonts w:ascii="Palatino Linotype" w:hAnsi="Palatino Linotype"/>
          <w:color w:val="auto"/>
          <w:sz w:val="24"/>
          <w:szCs w:val="24"/>
          <w:u w:val="none"/>
        </w:rPr>
      </w:pPr>
    </w:p>
    <w:p w14:paraId="112A0E70" w14:textId="3B7E484E" w:rsidR="00E24ADF" w:rsidRDefault="00E24ADF" w:rsidP="00E24ADF">
      <w:pPr>
        <w:jc w:val="center"/>
        <w:rPr>
          <w:rStyle w:val="Hyperlink"/>
          <w:rFonts w:ascii="Palatino Linotype" w:hAnsi="Palatino Linotype"/>
          <w:color w:val="auto"/>
          <w:sz w:val="24"/>
          <w:szCs w:val="24"/>
          <w:u w:val="none"/>
        </w:rPr>
      </w:pPr>
      <w:r w:rsidRPr="00E24ADF">
        <w:rPr>
          <w:rStyle w:val="Hyperlink"/>
          <w:rFonts w:ascii="Palatino Linotype" w:hAnsi="Palatino Linotype"/>
          <w:noProof/>
          <w:color w:val="auto"/>
          <w:sz w:val="24"/>
          <w:szCs w:val="24"/>
          <w:u w:val="none"/>
        </w:rPr>
        <w:lastRenderedPageBreak/>
        <w:drawing>
          <wp:inline distT="0" distB="0" distL="0" distR="0" wp14:anchorId="76A8B8B1" wp14:editId="4B7BA88B">
            <wp:extent cx="4095964" cy="2377440"/>
            <wp:effectExtent l="0" t="0" r="0" b="0"/>
            <wp:docPr id="11623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18292" name=""/>
                    <pic:cNvPicPr/>
                  </pic:nvPicPr>
                  <pic:blipFill>
                    <a:blip r:embed="rId12"/>
                    <a:stretch>
                      <a:fillRect/>
                    </a:stretch>
                  </pic:blipFill>
                  <pic:spPr>
                    <a:xfrm>
                      <a:off x="0" y="0"/>
                      <a:ext cx="4101528" cy="2380670"/>
                    </a:xfrm>
                    <a:prstGeom prst="rect">
                      <a:avLst/>
                    </a:prstGeom>
                  </pic:spPr>
                </pic:pic>
              </a:graphicData>
            </a:graphic>
          </wp:inline>
        </w:drawing>
      </w:r>
    </w:p>
    <w:p w14:paraId="5EB022BF" w14:textId="662D4815" w:rsidR="00E24ADF" w:rsidRPr="00E24ADF" w:rsidRDefault="00E24ADF" w:rsidP="00E24ADF">
      <w:pPr>
        <w:jc w:val="center"/>
        <w:rPr>
          <w:rStyle w:val="Hyperlink"/>
          <w:rFonts w:ascii="Palatino Linotype" w:hAnsi="Palatino Linotype"/>
          <w:color w:val="auto"/>
          <w:sz w:val="16"/>
          <w:szCs w:val="16"/>
          <w:u w:val="none"/>
        </w:rPr>
      </w:pPr>
      <w:r w:rsidRPr="00E24ADF">
        <w:rPr>
          <w:rStyle w:val="Hyperlink"/>
          <w:rFonts w:ascii="Palatino Linotype" w:hAnsi="Palatino Linotype"/>
          <w:b/>
          <w:bCs/>
          <w:color w:val="auto"/>
          <w:sz w:val="16"/>
          <w:szCs w:val="16"/>
          <w:u w:val="none"/>
        </w:rPr>
        <w:t>Fig.2:</w:t>
      </w:r>
      <w:r w:rsidRPr="00E24ADF">
        <w:rPr>
          <w:rStyle w:val="Hyperlink"/>
          <w:rFonts w:ascii="Palatino Linotype" w:hAnsi="Palatino Linotype"/>
          <w:color w:val="auto"/>
          <w:sz w:val="16"/>
          <w:szCs w:val="16"/>
          <w:u w:val="none"/>
        </w:rPr>
        <w:t xml:space="preserve"> MWs installed per one million by region </w:t>
      </w:r>
      <w:hyperlink w:anchor="_[8]_Anton_Eberhard," w:history="1">
        <w:r w:rsidRPr="00E24ADF">
          <w:rPr>
            <w:rStyle w:val="Hyperlink"/>
            <w:rFonts w:ascii="Palatino Linotype" w:hAnsi="Palatino Linotype"/>
            <w:sz w:val="16"/>
            <w:szCs w:val="16"/>
          </w:rPr>
          <w:t>[8]</w:t>
        </w:r>
      </w:hyperlink>
    </w:p>
    <w:p w14:paraId="791B8D48" w14:textId="03DE557B" w:rsidR="0087504D" w:rsidRPr="0087504D" w:rsidRDefault="0087504D" w:rsidP="0087504D">
      <w:pPr>
        <w:jc w:val="both"/>
        <w:rPr>
          <w:rFonts w:ascii="Palatino Linotype" w:hAnsi="Palatino Linotype"/>
          <w:sz w:val="24"/>
          <w:szCs w:val="24"/>
        </w:rPr>
      </w:pPr>
      <w:r w:rsidRPr="0087504D">
        <w:rPr>
          <w:rFonts w:ascii="Palatino Linotype" w:hAnsi="Palatino Linotype"/>
          <w:sz w:val="24"/>
          <w:szCs w:val="24"/>
        </w:rPr>
        <w:t xml:space="preserve">History presents compelling evidence that significant increases in the percentage of households with access to electricity can be achieved over relatively short periods. For instance, electrification rates surged notably in several countries, including the USA and UK during the early 20th century, and more recently in China, Brazil, and Thailand (refer to Figure </w:t>
      </w:r>
      <w:r>
        <w:rPr>
          <w:rFonts w:ascii="Palatino Linotype" w:hAnsi="Palatino Linotype"/>
          <w:sz w:val="24"/>
          <w:szCs w:val="24"/>
        </w:rPr>
        <w:t>3</w:t>
      </w:r>
      <w:r w:rsidRPr="0087504D">
        <w:rPr>
          <w:rFonts w:ascii="Palatino Linotype" w:hAnsi="Palatino Linotype"/>
          <w:sz w:val="24"/>
          <w:szCs w:val="24"/>
        </w:rPr>
        <w:t xml:space="preserve">). </w:t>
      </w:r>
    </w:p>
    <w:p w14:paraId="7869282E" w14:textId="3108030F" w:rsidR="00E76C48" w:rsidRDefault="0087504D" w:rsidP="0087504D">
      <w:pPr>
        <w:jc w:val="both"/>
        <w:rPr>
          <w:rFonts w:ascii="Palatino Linotype" w:hAnsi="Palatino Linotype"/>
          <w:sz w:val="24"/>
          <w:szCs w:val="24"/>
        </w:rPr>
      </w:pPr>
      <w:r w:rsidRPr="0087504D">
        <w:rPr>
          <w:rFonts w:ascii="Palatino Linotype" w:hAnsi="Palatino Linotype"/>
          <w:sz w:val="24"/>
          <w:szCs w:val="24"/>
        </w:rPr>
        <w:t>As an illustrative case, Thailand witnessed a remarkable transformation, with the percentage of the population with access to electricity escalating from approximately 25% to nearly 100% within a decade. However, for most nations, this transition typically spans at least three decades, if not longer. Across these countries, prioritizing electrification, particularly in rural areas, stemmed from high national priorities driven by economic development or equity objectives.</w:t>
      </w:r>
    </w:p>
    <w:p w14:paraId="2DCE6CEC" w14:textId="77777777" w:rsidR="0087504D" w:rsidRDefault="0087504D" w:rsidP="0087504D">
      <w:pPr>
        <w:jc w:val="both"/>
        <w:rPr>
          <w:rFonts w:ascii="Palatino Linotype" w:hAnsi="Palatino Linotype"/>
          <w:sz w:val="24"/>
          <w:szCs w:val="24"/>
        </w:rPr>
      </w:pPr>
    </w:p>
    <w:p w14:paraId="1177E46B" w14:textId="6FBA9B4A" w:rsidR="0087504D" w:rsidRPr="0087504D" w:rsidRDefault="0087504D" w:rsidP="0087504D">
      <w:pPr>
        <w:jc w:val="center"/>
        <w:rPr>
          <w:rFonts w:ascii="Palatino Linotype" w:hAnsi="Palatino Linotype"/>
          <w:sz w:val="24"/>
          <w:szCs w:val="24"/>
        </w:rPr>
      </w:pPr>
      <w:r>
        <w:rPr>
          <w:rFonts w:ascii="Palatino Linotype" w:hAnsi="Palatino Linotype"/>
          <w:noProof/>
          <w:sz w:val="24"/>
          <w:szCs w:val="24"/>
        </w:rPr>
        <w:drawing>
          <wp:inline distT="0" distB="0" distL="0" distR="0" wp14:anchorId="023D535E" wp14:editId="2EB1A2AD">
            <wp:extent cx="4031615" cy="2506980"/>
            <wp:effectExtent l="0" t="0" r="0" b="0"/>
            <wp:docPr id="114171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615" cy="2506980"/>
                    </a:xfrm>
                    <a:prstGeom prst="rect">
                      <a:avLst/>
                    </a:prstGeom>
                    <a:noFill/>
                  </pic:spPr>
                </pic:pic>
              </a:graphicData>
            </a:graphic>
          </wp:inline>
        </w:drawing>
      </w:r>
    </w:p>
    <w:p w14:paraId="6A78414E" w14:textId="7C01EBE8" w:rsidR="0087504D" w:rsidRDefault="0087504D" w:rsidP="0087504D">
      <w:pPr>
        <w:jc w:val="center"/>
        <w:rPr>
          <w:rFonts w:ascii="Palatino Linotype" w:hAnsi="Palatino Linotype"/>
          <w:sz w:val="16"/>
          <w:szCs w:val="16"/>
        </w:rPr>
      </w:pPr>
      <w:r w:rsidRPr="0087504D">
        <w:rPr>
          <w:rFonts w:ascii="Palatino Linotype" w:hAnsi="Palatino Linotype"/>
          <w:b/>
          <w:bCs/>
          <w:sz w:val="16"/>
          <w:szCs w:val="16"/>
        </w:rPr>
        <w:t>Fig. 3:</w:t>
      </w:r>
      <w:r w:rsidRPr="0087504D">
        <w:rPr>
          <w:rFonts w:ascii="Palatino Linotype" w:hAnsi="Palatino Linotype"/>
          <w:sz w:val="16"/>
          <w:szCs w:val="16"/>
        </w:rPr>
        <w:t xml:space="preserve"> Evolution of household electrification over time in selected countries </w:t>
      </w:r>
      <w:hyperlink w:anchor="_[7]_M._Bazilian," w:history="1">
        <w:r w:rsidRPr="0087504D">
          <w:rPr>
            <w:rStyle w:val="Hyperlink"/>
            <w:rFonts w:ascii="Palatino Linotype" w:hAnsi="Palatino Linotype"/>
            <w:sz w:val="16"/>
            <w:szCs w:val="16"/>
          </w:rPr>
          <w:t>[7]</w:t>
        </w:r>
      </w:hyperlink>
    </w:p>
    <w:p w14:paraId="2EB621D9" w14:textId="77777777" w:rsidR="0087504D" w:rsidRDefault="0087504D" w:rsidP="0087504D">
      <w:pPr>
        <w:jc w:val="center"/>
        <w:rPr>
          <w:rFonts w:ascii="Palatino Linotype" w:hAnsi="Palatino Linotype"/>
          <w:sz w:val="16"/>
          <w:szCs w:val="16"/>
        </w:rPr>
      </w:pPr>
    </w:p>
    <w:p w14:paraId="385905F2" w14:textId="32CC6419"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lastRenderedPageBreak/>
        <w:t>While several countries in sub-Saharan Africa (SSA) have experienced remarkable growth, roughly quadrupling their installed capacity over the past two decades, these advancements mostly originated from a relatively modest initial installed capacity. However, the majority of countries in the region have witnessed sluggish growth or even a decline in installed capacity.</w:t>
      </w:r>
    </w:p>
    <w:p w14:paraId="75AC0D64" w14:textId="6628DAB6"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On average, installed electricity capacity in SSA (excluding RSA) has expanded relatively steadily at a rate of around 1.7% per annum. Examining the historical growth (or contraction) rates in African countries (refer to Figure 4) yields valuable insights for several reasons. First, it elucidates that there is no discernible pattern indicating an overall increase in growth rates over time. Despite the growing recognition of the pivotal importance of energy, particularly electricity, efforts to augment generating capacity have not shown a consistent upward trajectory in recent years.</w:t>
      </w:r>
    </w:p>
    <w:p w14:paraId="341EA54C" w14:textId="485B6AD5"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Nevertheless, there are early indications suggesting a potential acceleration in the expansion of Africa's generation capacity. Data on donor commitments to power projects suggest that, over the last five years, an average annual commitment of 3 GW of generation projects has been made. Additionally, the Annual Report of the Infrastructure Consortium for Africa 2010 highlights a significant increase in member commitments to energy projects in sub-Saharan Africa, rising from USD 1.2 billion in 2006 to USD 8.0 billion in 2010.</w:t>
      </w:r>
    </w:p>
    <w:p w14:paraId="745AFC0C" w14:textId="16B82E14" w:rsidR="0087504D" w:rsidRDefault="00307677" w:rsidP="00307677">
      <w:pPr>
        <w:jc w:val="both"/>
        <w:rPr>
          <w:rFonts w:ascii="Palatino Linotype" w:hAnsi="Palatino Linotype"/>
          <w:sz w:val="24"/>
          <w:szCs w:val="24"/>
        </w:rPr>
      </w:pPr>
      <w:r w:rsidRPr="00307677">
        <w:rPr>
          <w:rFonts w:ascii="Palatino Linotype" w:hAnsi="Palatino Linotype"/>
          <w:sz w:val="24"/>
          <w:szCs w:val="24"/>
        </w:rPr>
        <w:t>Secondly, while the growth rate exhibits a wide range of values, it typically falls between 0% and 10%, with the bulk of countries experiencing growth rates between 0% and 5%. Thirdly, the variability of the change in installed capacity is high, although it has been decreasing over time, especially in recent years. Finally, the graphical representation indicates that countries with larger systems (depicted as red dots in the figure), characterized by greater existing capacity and transmission and distribution grids, tend to expand their capacity more rapidly than countries with medium and small electricity systems. In fact, with a few exceptions, countries with smaller electricity systems (represented by blue dots in the graph) exhibit relatively low growth rates or even negative growth, particularly towards the end of the 1990s.</w:t>
      </w:r>
    </w:p>
    <w:p w14:paraId="03261AF1" w14:textId="77777777" w:rsidR="00307677" w:rsidRDefault="00307677" w:rsidP="00307677">
      <w:pPr>
        <w:jc w:val="both"/>
        <w:rPr>
          <w:rFonts w:ascii="Palatino Linotype" w:hAnsi="Palatino Linotype"/>
          <w:sz w:val="24"/>
          <w:szCs w:val="24"/>
        </w:rPr>
      </w:pPr>
    </w:p>
    <w:p w14:paraId="79A4CEB6" w14:textId="0FDE2C0A" w:rsidR="00307677" w:rsidRDefault="00307677" w:rsidP="00307677">
      <w:pPr>
        <w:jc w:val="center"/>
        <w:rPr>
          <w:rFonts w:ascii="Palatino Linotype" w:hAnsi="Palatino Linotype"/>
          <w:sz w:val="24"/>
          <w:szCs w:val="24"/>
        </w:rPr>
      </w:pPr>
      <w:r w:rsidRPr="00307677">
        <w:rPr>
          <w:rFonts w:ascii="Palatino Linotype" w:hAnsi="Palatino Linotype"/>
          <w:noProof/>
          <w:sz w:val="24"/>
          <w:szCs w:val="24"/>
        </w:rPr>
        <w:lastRenderedPageBreak/>
        <w:drawing>
          <wp:inline distT="0" distB="0" distL="0" distR="0" wp14:anchorId="594C33D4" wp14:editId="326EA868">
            <wp:extent cx="4518660" cy="2681372"/>
            <wp:effectExtent l="0" t="0" r="0" b="0"/>
            <wp:docPr id="15081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1737" name=""/>
                    <pic:cNvPicPr/>
                  </pic:nvPicPr>
                  <pic:blipFill>
                    <a:blip r:embed="rId14"/>
                    <a:stretch>
                      <a:fillRect/>
                    </a:stretch>
                  </pic:blipFill>
                  <pic:spPr>
                    <a:xfrm>
                      <a:off x="0" y="0"/>
                      <a:ext cx="4530583" cy="2688447"/>
                    </a:xfrm>
                    <a:prstGeom prst="rect">
                      <a:avLst/>
                    </a:prstGeom>
                  </pic:spPr>
                </pic:pic>
              </a:graphicData>
            </a:graphic>
          </wp:inline>
        </w:drawing>
      </w:r>
    </w:p>
    <w:p w14:paraId="3A95F919" w14:textId="01E8BBD5" w:rsidR="00307677" w:rsidRPr="007F52F7" w:rsidRDefault="00307677" w:rsidP="00307677">
      <w:pPr>
        <w:jc w:val="center"/>
        <w:rPr>
          <w:rFonts w:ascii="Palatino Linotype" w:hAnsi="Palatino Linotype"/>
          <w:sz w:val="16"/>
          <w:szCs w:val="16"/>
        </w:rPr>
      </w:pPr>
      <w:r w:rsidRPr="007F52F7">
        <w:rPr>
          <w:rFonts w:ascii="Palatino Linotype" w:hAnsi="Palatino Linotype"/>
          <w:b/>
          <w:bCs/>
          <w:sz w:val="16"/>
          <w:szCs w:val="16"/>
        </w:rPr>
        <w:t>Fig. 4:</w:t>
      </w:r>
      <w:r w:rsidRPr="007F52F7">
        <w:rPr>
          <w:rFonts w:ascii="Palatino Linotype" w:hAnsi="Palatino Linotype"/>
          <w:sz w:val="16"/>
          <w:szCs w:val="16"/>
        </w:rPr>
        <w:t xml:space="preserve"> </w:t>
      </w:r>
      <w:r w:rsidR="007F52F7" w:rsidRPr="007F52F7">
        <w:rPr>
          <w:rFonts w:ascii="Palatino Linotype" w:hAnsi="Palatino Linotype"/>
          <w:sz w:val="16"/>
          <w:szCs w:val="16"/>
        </w:rPr>
        <w:t xml:space="preserve">Rate of increase (or decrease) in installed electricity capacity (with </w:t>
      </w:r>
      <w:proofErr w:type="gramStart"/>
      <w:r w:rsidR="007F52F7" w:rsidRPr="007F52F7">
        <w:rPr>
          <w:rFonts w:ascii="Palatino Linotype" w:hAnsi="Palatino Linotype"/>
          <w:sz w:val="16"/>
          <w:szCs w:val="16"/>
        </w:rPr>
        <w:t>three year</w:t>
      </w:r>
      <w:proofErr w:type="gramEnd"/>
      <w:r w:rsidR="007F52F7" w:rsidRPr="007F52F7">
        <w:rPr>
          <w:rFonts w:ascii="Palatino Linotype" w:hAnsi="Palatino Linotype"/>
          <w:sz w:val="16"/>
          <w:szCs w:val="16"/>
        </w:rPr>
        <w:t xml:space="preserve"> floating average) in SSA countries arranged by tertile (red, black and blue dots features countries with relatively large, medium, and small generating capacity, respectively, in 2008). Data: authors’ compilation from EIA</w:t>
      </w:r>
    </w:p>
    <w:p w14:paraId="654614F3" w14:textId="77777777" w:rsidR="00307677" w:rsidRDefault="00307677" w:rsidP="00307677">
      <w:pPr>
        <w:jc w:val="both"/>
        <w:rPr>
          <w:rFonts w:ascii="Palatino Linotype" w:hAnsi="Palatino Linotype"/>
          <w:sz w:val="24"/>
          <w:szCs w:val="24"/>
        </w:rPr>
      </w:pPr>
    </w:p>
    <w:p w14:paraId="7B317D8A" w14:textId="56A7488A" w:rsidR="00307677" w:rsidRDefault="007F52F7" w:rsidP="00307677">
      <w:pPr>
        <w:jc w:val="both"/>
        <w:rPr>
          <w:rFonts w:ascii="Palatino Linotype" w:hAnsi="Palatino Linotype"/>
          <w:sz w:val="24"/>
          <w:szCs w:val="24"/>
        </w:rPr>
      </w:pPr>
      <w:r w:rsidRPr="007F52F7">
        <w:rPr>
          <w:rFonts w:ascii="Palatino Linotype" w:hAnsi="Palatino Linotype"/>
          <w:sz w:val="24"/>
          <w:szCs w:val="24"/>
        </w:rPr>
        <w:t xml:space="preserve">Of course, SSA countries and regions are well aware of the problems of energy access, both in terms of quantity and quality, and have developed national targets and regional plans.  UNDP and WHO (2009) calculated that 68 developing countries have electricity targets. </w:t>
      </w:r>
    </w:p>
    <w:p w14:paraId="30692013" w14:textId="4AA32D8E" w:rsidR="007F52F7" w:rsidRDefault="007F52F7" w:rsidP="007F52F7">
      <w:pPr>
        <w:pStyle w:val="Heading3"/>
        <w:numPr>
          <w:ilvl w:val="2"/>
          <w:numId w:val="3"/>
        </w:numPr>
      </w:pPr>
      <w:r>
        <w:t>Prospects for Africa</w:t>
      </w:r>
    </w:p>
    <w:p w14:paraId="5093A163" w14:textId="77777777" w:rsidR="007F52F7" w:rsidRDefault="007F52F7" w:rsidP="007F52F7"/>
    <w:p w14:paraId="42704DBD" w14:textId="2BD8C254" w:rsidR="007F52F7" w:rsidRDefault="00BA394D" w:rsidP="007F52F7">
      <w:pPr>
        <w:rPr>
          <w:rFonts w:ascii="Palatino Linotype" w:hAnsi="Palatino Linotype"/>
          <w:sz w:val="24"/>
          <w:szCs w:val="24"/>
        </w:rPr>
      </w:pPr>
      <w:r>
        <w:rPr>
          <w:rFonts w:ascii="Palatino Linotype" w:hAnsi="Palatino Linotype"/>
          <w:sz w:val="24"/>
          <w:szCs w:val="24"/>
        </w:rPr>
        <w:t>In this section is briefly considered some of the datasets and projections for the power sector i</w:t>
      </w:r>
      <w:r w:rsidR="00BF3AE7">
        <w:rPr>
          <w:rFonts w:ascii="Palatino Linotype" w:hAnsi="Palatino Linotype"/>
          <w:sz w:val="24"/>
          <w:szCs w:val="24"/>
        </w:rPr>
        <w:t>n Africa. For an initial sense of scale, using EIA data, Africa has a current installed generating capacity of about 122 GW, SSA (excluding RSA) had 31 GW. This compares roughly to 28 GW in Argentina.</w:t>
      </w:r>
    </w:p>
    <w:p w14:paraId="2A62CCF8" w14:textId="7EA2E179" w:rsidR="00F11A3F" w:rsidRDefault="00F11A3F" w:rsidP="008E0CB7">
      <w:pPr>
        <w:jc w:val="both"/>
        <w:rPr>
          <w:rFonts w:ascii="Palatino Linotype" w:hAnsi="Palatino Linotype"/>
          <w:sz w:val="24"/>
          <w:szCs w:val="24"/>
        </w:rPr>
      </w:pPr>
      <w:r>
        <w:rPr>
          <w:rFonts w:ascii="Palatino Linotype" w:hAnsi="Palatino Linotype"/>
          <w:sz w:val="24"/>
          <w:szCs w:val="24"/>
        </w:rPr>
        <w:t xml:space="preserve">Africa is included in the major energy outlooks from the </w:t>
      </w:r>
      <w:proofErr w:type="gramStart"/>
      <w:r>
        <w:rPr>
          <w:rFonts w:ascii="Palatino Linotype" w:hAnsi="Palatino Linotype"/>
          <w:sz w:val="24"/>
          <w:szCs w:val="24"/>
        </w:rPr>
        <w:t>International</w:t>
      </w:r>
      <w:proofErr w:type="gramEnd"/>
      <w:r>
        <w:rPr>
          <w:rFonts w:ascii="Palatino Linotype" w:hAnsi="Palatino Linotype"/>
          <w:sz w:val="24"/>
          <w:szCs w:val="24"/>
        </w:rPr>
        <w:t xml:space="preserve"> energy Agency (IEA), the US dept of E</w:t>
      </w:r>
      <w:r w:rsidR="00CF0D32">
        <w:rPr>
          <w:rFonts w:ascii="Palatino Linotype" w:hAnsi="Palatino Linotype"/>
          <w:sz w:val="24"/>
          <w:szCs w:val="24"/>
        </w:rPr>
        <w:t xml:space="preserve">nergy’s Energy Information Agency (EIA), British Petroleum (BP) and other international committee. Each dataset has different levels of descriptive information coverage and aggregation. We primarily relied on the EIA dataset as it was the most transparent and complete in terms of accessible country time-series data. It is useful to look at results of these </w:t>
      </w:r>
      <w:proofErr w:type="gramStart"/>
      <w:r w:rsidR="00CF0D32">
        <w:rPr>
          <w:rFonts w:ascii="Palatino Linotype" w:hAnsi="Palatino Linotype"/>
          <w:sz w:val="24"/>
          <w:szCs w:val="24"/>
        </w:rPr>
        <w:t>high level</w:t>
      </w:r>
      <w:proofErr w:type="gramEnd"/>
      <w:r w:rsidR="00CF0D32">
        <w:rPr>
          <w:rFonts w:ascii="Palatino Linotype" w:hAnsi="Palatino Linotype"/>
          <w:sz w:val="24"/>
          <w:szCs w:val="24"/>
        </w:rPr>
        <w:t xml:space="preserve"> global exercises to get a sense of the numbers being fed into the </w:t>
      </w:r>
      <w:r w:rsidR="00CF0D32" w:rsidRPr="00CF0D32">
        <w:rPr>
          <w:rFonts w:ascii="Palatino Linotype" w:hAnsi="Palatino Linotype"/>
          <w:i/>
          <w:iCs/>
          <w:sz w:val="24"/>
          <w:szCs w:val="24"/>
        </w:rPr>
        <w:t>Global Energy Dialogue</w:t>
      </w:r>
      <w:r w:rsidR="00CF0D32">
        <w:rPr>
          <w:rFonts w:ascii="Palatino Linotype" w:hAnsi="Palatino Linotype"/>
          <w:sz w:val="24"/>
          <w:szCs w:val="24"/>
        </w:rPr>
        <w:t>.</w:t>
      </w:r>
    </w:p>
    <w:p w14:paraId="236DA2A0" w14:textId="577C23E1" w:rsidR="00CF0D32" w:rsidRDefault="00B17584" w:rsidP="008E0CB7">
      <w:pPr>
        <w:jc w:val="both"/>
        <w:rPr>
          <w:rFonts w:ascii="Palatino Linotype" w:hAnsi="Palatino Linotype"/>
          <w:sz w:val="24"/>
          <w:szCs w:val="24"/>
        </w:rPr>
      </w:pPr>
      <w:r>
        <w:rPr>
          <w:rFonts w:ascii="Palatino Linotype" w:hAnsi="Palatino Linotype"/>
          <w:sz w:val="24"/>
          <w:szCs w:val="24"/>
        </w:rPr>
        <w:t xml:space="preserve">Most of the African sub-regions have carried out forecasting exercises for peak energy demand, commonly both in terms of peak demand (or generation capacity) and consumption (or generation). Those projections are normally based on studies conducted at the national level. Despite forecasting methods that vary considerably, the regional </w:t>
      </w:r>
      <w:r>
        <w:rPr>
          <w:rFonts w:ascii="Palatino Linotype" w:hAnsi="Palatino Linotype"/>
          <w:sz w:val="24"/>
          <w:szCs w:val="24"/>
        </w:rPr>
        <w:lastRenderedPageBreak/>
        <w:t>plans and related documents entail a wealth of quantitative information</w:t>
      </w:r>
      <w:r w:rsidR="0065365F">
        <w:rPr>
          <w:rFonts w:ascii="Palatino Linotype" w:hAnsi="Palatino Linotype"/>
          <w:sz w:val="24"/>
          <w:szCs w:val="24"/>
        </w:rPr>
        <w:t xml:space="preserve"> that is all too often underutilized in further analysis and planning.</w:t>
      </w:r>
    </w:p>
    <w:p w14:paraId="089FAD6A" w14:textId="77777777" w:rsidR="0065365F" w:rsidRDefault="0065365F" w:rsidP="0065365F">
      <w:pPr>
        <w:jc w:val="both"/>
        <w:rPr>
          <w:rFonts w:ascii="Palatino Linotype" w:hAnsi="Palatino Linotype"/>
          <w:sz w:val="24"/>
          <w:szCs w:val="24"/>
        </w:rPr>
      </w:pPr>
      <w:r w:rsidRPr="0065365F">
        <w:rPr>
          <w:rFonts w:ascii="Palatino Linotype" w:hAnsi="Palatino Linotype"/>
          <w:sz w:val="24"/>
          <w:szCs w:val="24"/>
        </w:rPr>
        <w:t xml:space="preserve">The New Partnership for Africa's Development (NEPAD), the Southern African Development Community (SADC), the Forum of Energy Ministers in Africa (FEMA), the Economic Community of West African States (ECOWAS), the East African Community (EAC) and the Central African Economic and Monetary Community Commission (CEMAC), among others, have produced strategies for electrification and increasing access to modern fuels.  </w:t>
      </w:r>
    </w:p>
    <w:p w14:paraId="48FFB4A6" w14:textId="7B28C7AA" w:rsidR="0065365F" w:rsidRDefault="00461EC0" w:rsidP="008E0CB7">
      <w:pPr>
        <w:jc w:val="both"/>
        <w:rPr>
          <w:rFonts w:ascii="Palatino Linotype" w:hAnsi="Palatino Linotype"/>
          <w:sz w:val="24"/>
          <w:szCs w:val="24"/>
        </w:rPr>
      </w:pPr>
      <w:r>
        <w:rPr>
          <w:rFonts w:ascii="Palatino Linotype" w:hAnsi="Palatino Linotype"/>
          <w:sz w:val="24"/>
          <w:szCs w:val="24"/>
        </w:rPr>
        <w:t xml:space="preserve">A closer look at some of the regional forecasts in the interests of comparison is useful. A SAPP electricity demand forecast to 2025 shows a projected annual growth of about 2% (SAPP, 2010); the annual growth rates are projected to be higher outside RSA. </w:t>
      </w:r>
      <w:proofErr w:type="spellStart"/>
      <w:r>
        <w:rPr>
          <w:rFonts w:ascii="Palatino Linotype" w:hAnsi="Palatino Linotype"/>
          <w:sz w:val="24"/>
          <w:szCs w:val="24"/>
        </w:rPr>
        <w:t>Nexant</w:t>
      </w:r>
      <w:proofErr w:type="spellEnd"/>
      <w:r>
        <w:rPr>
          <w:rFonts w:ascii="Palatino Linotype" w:hAnsi="Palatino Linotype"/>
          <w:sz w:val="24"/>
          <w:szCs w:val="24"/>
        </w:rPr>
        <w:t xml:space="preserve"> shows projected WAPP average growth of 7.6% (ranging from 5-12.6%). The EAC/EAPP Demand Forecasts show very large ranges in forecasted annual growth. They provide very detailed analysis of each country’s national forecasts and the extend them to 2038 where appropriate. Interestingly, the forecasts for many of the countries show the same kind of exponential growth shown in next figure and reflect more typical trend or regression-based forecasts for “low and base” cases. Figure 5 shows the forecast to 2038 (in MW) for peak demand in Kenya, including showing sharp growth in the “High Case” from 1 GW to over 18 GW to 2038.</w:t>
      </w:r>
    </w:p>
    <w:p w14:paraId="74BD86F0" w14:textId="77777777" w:rsidR="00461EC0" w:rsidRDefault="00461EC0" w:rsidP="007F52F7">
      <w:pPr>
        <w:rPr>
          <w:rFonts w:ascii="Palatino Linotype" w:hAnsi="Palatino Linotype"/>
          <w:sz w:val="24"/>
          <w:szCs w:val="24"/>
        </w:rPr>
      </w:pPr>
    </w:p>
    <w:p w14:paraId="4C3B0275" w14:textId="43793450" w:rsidR="00461EC0" w:rsidRDefault="00461EC0" w:rsidP="00461EC0">
      <w:pPr>
        <w:jc w:val="center"/>
        <w:rPr>
          <w:rFonts w:ascii="Palatino Linotype" w:hAnsi="Palatino Linotype"/>
          <w:sz w:val="24"/>
          <w:szCs w:val="24"/>
        </w:rPr>
      </w:pPr>
      <w:r w:rsidRPr="00461EC0">
        <w:rPr>
          <w:rFonts w:ascii="Palatino Linotype" w:hAnsi="Palatino Linotype"/>
          <w:noProof/>
          <w:sz w:val="24"/>
          <w:szCs w:val="24"/>
        </w:rPr>
        <w:drawing>
          <wp:inline distT="0" distB="0" distL="0" distR="0" wp14:anchorId="1BD8BB21" wp14:editId="4666DF60">
            <wp:extent cx="4025306" cy="2660650"/>
            <wp:effectExtent l="0" t="0" r="0" b="0"/>
            <wp:docPr id="56561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8856" name=""/>
                    <pic:cNvPicPr/>
                  </pic:nvPicPr>
                  <pic:blipFill>
                    <a:blip r:embed="rId15"/>
                    <a:stretch>
                      <a:fillRect/>
                    </a:stretch>
                  </pic:blipFill>
                  <pic:spPr>
                    <a:xfrm>
                      <a:off x="0" y="0"/>
                      <a:ext cx="4031758" cy="2664915"/>
                    </a:xfrm>
                    <a:prstGeom prst="rect">
                      <a:avLst/>
                    </a:prstGeom>
                  </pic:spPr>
                </pic:pic>
              </a:graphicData>
            </a:graphic>
          </wp:inline>
        </w:drawing>
      </w:r>
    </w:p>
    <w:p w14:paraId="1DB74AB9" w14:textId="7D18CFD2" w:rsidR="00461EC0" w:rsidRPr="0034376F" w:rsidRDefault="00461EC0" w:rsidP="00461EC0">
      <w:pPr>
        <w:jc w:val="center"/>
        <w:rPr>
          <w:rFonts w:ascii="Palatino Linotype" w:hAnsi="Palatino Linotype"/>
          <w:sz w:val="16"/>
          <w:szCs w:val="16"/>
        </w:rPr>
      </w:pPr>
      <w:r w:rsidRPr="0034376F">
        <w:rPr>
          <w:rFonts w:ascii="Palatino Linotype" w:hAnsi="Palatino Linotype"/>
          <w:b/>
          <w:bCs/>
          <w:sz w:val="16"/>
          <w:szCs w:val="16"/>
        </w:rPr>
        <w:t>Fig.5:</w:t>
      </w:r>
      <w:r w:rsidRPr="0034376F">
        <w:rPr>
          <w:rFonts w:ascii="Palatino Linotype" w:hAnsi="Palatino Linotype"/>
          <w:sz w:val="16"/>
          <w:szCs w:val="16"/>
        </w:rPr>
        <w:t xml:space="preserve"> Peak demand forecasts for Kenya </w:t>
      </w:r>
      <w:hyperlink w:anchor="_[7]_M._Bazilian," w:history="1">
        <w:r w:rsidRPr="0034376F">
          <w:rPr>
            <w:rStyle w:val="Hyperlink"/>
            <w:rFonts w:ascii="Palatino Linotype" w:hAnsi="Palatino Linotype"/>
            <w:sz w:val="16"/>
            <w:szCs w:val="16"/>
          </w:rPr>
          <w:t>[7]</w:t>
        </w:r>
      </w:hyperlink>
    </w:p>
    <w:p w14:paraId="194EC1CD" w14:textId="1B14572C" w:rsidR="00461EC0" w:rsidRDefault="00461EC0" w:rsidP="00461EC0">
      <w:pPr>
        <w:jc w:val="both"/>
        <w:rPr>
          <w:rFonts w:ascii="Palatino Linotype" w:hAnsi="Palatino Linotype"/>
          <w:sz w:val="24"/>
          <w:szCs w:val="24"/>
        </w:rPr>
      </w:pPr>
    </w:p>
    <w:p w14:paraId="7EA12C98" w14:textId="5D3CDB62" w:rsidR="00461EC0" w:rsidRDefault="001166A3" w:rsidP="00461EC0">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1166A3">
          <w:rPr>
            <w:rStyle w:val="Hyperlink"/>
            <w:rFonts w:ascii="Palatino Linotype" w:hAnsi="Palatino Linotype"/>
            <w:sz w:val="24"/>
            <w:szCs w:val="24"/>
          </w:rPr>
          <w:t xml:space="preserve">[8] </w:t>
        </w:r>
      </w:hyperlink>
      <w:r>
        <w:rPr>
          <w:rFonts w:ascii="Palatino Linotype" w:hAnsi="Palatino Linotype"/>
          <w:sz w:val="24"/>
          <w:szCs w:val="24"/>
        </w:rPr>
        <w:t xml:space="preserve">are shown several scenarios for Africa. They considered three </w:t>
      </w:r>
      <w:proofErr w:type="gramStart"/>
      <w:r>
        <w:rPr>
          <w:rFonts w:ascii="Palatino Linotype" w:hAnsi="Palatino Linotype"/>
          <w:sz w:val="24"/>
          <w:szCs w:val="24"/>
        </w:rPr>
        <w:t>type</w:t>
      </w:r>
      <w:proofErr w:type="gramEnd"/>
      <w:r>
        <w:rPr>
          <w:rFonts w:ascii="Palatino Linotype" w:hAnsi="Palatino Linotype"/>
          <w:sz w:val="24"/>
          <w:szCs w:val="24"/>
        </w:rPr>
        <w:t xml:space="preserve"> of demand: market, suppressed and social to help create three scenarios (constant access, regional </w:t>
      </w:r>
      <w:r>
        <w:rPr>
          <w:rFonts w:ascii="Palatino Linotype" w:hAnsi="Palatino Linotype"/>
          <w:sz w:val="24"/>
          <w:szCs w:val="24"/>
        </w:rPr>
        <w:lastRenderedPageBreak/>
        <w:t>target and national targets). The overall average annual electricity demand growth rate was estimated at 5.8%.</w:t>
      </w:r>
    </w:p>
    <w:p w14:paraId="1660A562" w14:textId="1B241DB4" w:rsidR="001166A3" w:rsidRDefault="001166A3" w:rsidP="00461EC0">
      <w:pPr>
        <w:jc w:val="both"/>
        <w:rPr>
          <w:rFonts w:ascii="Palatino Linotype" w:hAnsi="Palatino Linotype"/>
          <w:sz w:val="24"/>
          <w:szCs w:val="24"/>
        </w:rPr>
      </w:pPr>
      <w:r>
        <w:rPr>
          <w:rFonts w:ascii="Palatino Linotype" w:hAnsi="Palatino Linotype"/>
          <w:sz w:val="24"/>
          <w:szCs w:val="24"/>
        </w:rPr>
        <w:t xml:space="preserve">The objective of the context is to establish an infrastructure development </w:t>
      </w:r>
      <w:proofErr w:type="spellStart"/>
      <w:r>
        <w:rPr>
          <w:rFonts w:ascii="Palatino Linotype" w:hAnsi="Palatino Linotype"/>
          <w:sz w:val="24"/>
          <w:szCs w:val="24"/>
        </w:rPr>
        <w:t>programme</w:t>
      </w:r>
      <w:proofErr w:type="spellEnd"/>
      <w:r>
        <w:rPr>
          <w:rFonts w:ascii="Palatino Linotype" w:hAnsi="Palatino Linotype"/>
          <w:sz w:val="24"/>
          <w:szCs w:val="24"/>
        </w:rPr>
        <w:t xml:space="preserve"> articulated around priorities and phases and, prepare an implementation strategy and process including, in particular a priority action plan.</w:t>
      </w:r>
      <w:r w:rsidR="004B417A">
        <w:rPr>
          <w:rFonts w:ascii="Palatino Linotype" w:hAnsi="Palatino Linotype"/>
          <w:sz w:val="24"/>
          <w:szCs w:val="24"/>
        </w:rPr>
        <w:t xml:space="preserve"> The peak demand projections from initial </w:t>
      </w:r>
      <w:proofErr w:type="spellStart"/>
      <w:r w:rsidR="004B417A">
        <w:rPr>
          <w:rFonts w:ascii="Palatino Linotype" w:hAnsi="Palatino Linotype"/>
          <w:sz w:val="24"/>
          <w:szCs w:val="24"/>
        </w:rPr>
        <w:t>Programme</w:t>
      </w:r>
      <w:proofErr w:type="spellEnd"/>
      <w:r w:rsidR="004B417A">
        <w:rPr>
          <w:rFonts w:ascii="Palatino Linotype" w:hAnsi="Palatino Linotype"/>
          <w:sz w:val="24"/>
          <w:szCs w:val="24"/>
        </w:rPr>
        <w:t xml:space="preserve"> for Infrastructure Development in Africa (PIDA) shows an average 6.7% growth (with regional annual growth rates ranging from about 6-9%) over the period 2009-2040. The initial results assume that the access rate will increase from 42% in 2009 to 65% in 2030; these rates are projected to be similar in 2040.</w:t>
      </w:r>
    </w:p>
    <w:p w14:paraId="788A0FD1" w14:textId="4308690D" w:rsidR="004B417A" w:rsidRDefault="004B417A" w:rsidP="00461EC0">
      <w:pPr>
        <w:jc w:val="both"/>
        <w:rPr>
          <w:rFonts w:ascii="Palatino Linotype" w:hAnsi="Palatino Linotype"/>
          <w:sz w:val="24"/>
          <w:szCs w:val="24"/>
        </w:rPr>
      </w:pPr>
      <w:r>
        <w:rPr>
          <w:rFonts w:ascii="Palatino Linotype" w:hAnsi="Palatino Linotype"/>
          <w:sz w:val="24"/>
          <w:szCs w:val="24"/>
        </w:rPr>
        <w:t>The African Development Bank undertook a universal access scenario assessment through 2030. In Table 2 is shown the results of the capacity additions estimated. Without South Africa the total equals 102 GW, so approximately an average of 6% annual growth.</w:t>
      </w:r>
    </w:p>
    <w:p w14:paraId="4DB0CC97" w14:textId="1408C96F" w:rsidR="004B417A" w:rsidRDefault="004B417A" w:rsidP="004B417A">
      <w:pPr>
        <w:jc w:val="center"/>
        <w:rPr>
          <w:rFonts w:ascii="Palatino Linotype" w:hAnsi="Palatino Linotype"/>
          <w:sz w:val="24"/>
          <w:szCs w:val="24"/>
        </w:rPr>
      </w:pPr>
      <w:r w:rsidRPr="004B417A">
        <w:rPr>
          <w:rFonts w:ascii="Palatino Linotype" w:hAnsi="Palatino Linotype"/>
          <w:noProof/>
          <w:sz w:val="24"/>
          <w:szCs w:val="24"/>
        </w:rPr>
        <w:drawing>
          <wp:inline distT="0" distB="0" distL="0" distR="0" wp14:anchorId="302451F6" wp14:editId="7C690B67">
            <wp:extent cx="3688400" cy="1371719"/>
            <wp:effectExtent l="0" t="0" r="7620" b="0"/>
            <wp:docPr id="17767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97324" name=""/>
                    <pic:cNvPicPr/>
                  </pic:nvPicPr>
                  <pic:blipFill>
                    <a:blip r:embed="rId16"/>
                    <a:stretch>
                      <a:fillRect/>
                    </a:stretch>
                  </pic:blipFill>
                  <pic:spPr>
                    <a:xfrm>
                      <a:off x="0" y="0"/>
                      <a:ext cx="3688400" cy="1371719"/>
                    </a:xfrm>
                    <a:prstGeom prst="rect">
                      <a:avLst/>
                    </a:prstGeom>
                  </pic:spPr>
                </pic:pic>
              </a:graphicData>
            </a:graphic>
          </wp:inline>
        </w:drawing>
      </w:r>
    </w:p>
    <w:p w14:paraId="1B9D31C1" w14:textId="6A391720" w:rsidR="004B417A" w:rsidRDefault="004B417A" w:rsidP="004B417A">
      <w:pPr>
        <w:jc w:val="center"/>
        <w:rPr>
          <w:rFonts w:ascii="Palatino Linotype" w:hAnsi="Palatino Linotype"/>
          <w:sz w:val="16"/>
          <w:szCs w:val="16"/>
        </w:rPr>
      </w:pPr>
      <w:r w:rsidRPr="004B417A">
        <w:rPr>
          <w:rFonts w:ascii="Palatino Linotype" w:hAnsi="Palatino Linotype"/>
          <w:b/>
          <w:bCs/>
          <w:sz w:val="16"/>
          <w:szCs w:val="16"/>
        </w:rPr>
        <w:t>Table 2:</w:t>
      </w:r>
      <w:r w:rsidRPr="004B417A">
        <w:rPr>
          <w:rFonts w:ascii="Palatino Linotype" w:hAnsi="Palatino Linotype"/>
          <w:sz w:val="16"/>
          <w:szCs w:val="16"/>
        </w:rPr>
        <w:t xml:space="preserve"> Universal Energy Access scenario to 2030 (African Development Bank)</w:t>
      </w:r>
    </w:p>
    <w:p w14:paraId="7052054E" w14:textId="0BCD1516" w:rsidR="004B417A" w:rsidRDefault="008E0CB7" w:rsidP="008E0CB7">
      <w:pPr>
        <w:pStyle w:val="Heading3"/>
        <w:numPr>
          <w:ilvl w:val="2"/>
          <w:numId w:val="3"/>
        </w:numPr>
      </w:pPr>
      <w:r>
        <w:t>Generation Technology</w:t>
      </w:r>
    </w:p>
    <w:p w14:paraId="7E04736D" w14:textId="77777777" w:rsidR="008E0CB7" w:rsidRDefault="008E0CB7" w:rsidP="008E0CB7">
      <w:pPr>
        <w:pStyle w:val="ListParagraph"/>
        <w:ind w:left="1068"/>
      </w:pPr>
    </w:p>
    <w:p w14:paraId="16BD97F8" w14:textId="34C0E6A4" w:rsidR="004B417A" w:rsidRDefault="006E43E5" w:rsidP="004B417A">
      <w:pPr>
        <w:jc w:val="both"/>
        <w:rPr>
          <w:rFonts w:ascii="Palatino Linotype" w:hAnsi="Palatino Linotype"/>
          <w:sz w:val="24"/>
          <w:szCs w:val="24"/>
        </w:rPr>
      </w:pPr>
      <w:r>
        <w:rPr>
          <w:rFonts w:ascii="Palatino Linotype" w:hAnsi="Palatino Linotype"/>
          <w:sz w:val="24"/>
          <w:szCs w:val="24"/>
        </w:rPr>
        <w:t>Now we investigate the various projections in terms of technology and energy resources. A special attention is given to renewable energy potentials, following the sustainable energy goal propose by the United Nations, in order to give a sense of scale to the possibilities.</w:t>
      </w:r>
    </w:p>
    <w:p w14:paraId="7417D5B2" w14:textId="2D4C9DF1" w:rsidR="006E43E5" w:rsidRDefault="006E43E5" w:rsidP="004B417A">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6E43E5">
          <w:rPr>
            <w:rStyle w:val="Hyperlink"/>
            <w:rFonts w:ascii="Palatino Linotype" w:hAnsi="Palatino Linotype"/>
            <w:sz w:val="24"/>
            <w:szCs w:val="24"/>
          </w:rPr>
          <w:t>[8]</w:t>
        </w:r>
      </w:hyperlink>
      <w:r>
        <w:rPr>
          <w:rFonts w:ascii="Palatino Linotype" w:hAnsi="Palatino Linotype"/>
          <w:sz w:val="24"/>
          <w:szCs w:val="24"/>
        </w:rPr>
        <w:t xml:space="preserve"> is reported that over 900 TWh (approximately 220 GW installed capacity) of economically viable hydropower potential in Africa remains unexploited, located </w:t>
      </w:r>
      <w:proofErr w:type="spellStart"/>
      <w:r>
        <w:rPr>
          <w:rFonts w:ascii="Palatino Linotype" w:hAnsi="Palatino Linotype"/>
          <w:sz w:val="24"/>
          <w:szCs w:val="24"/>
        </w:rPr>
        <w:t>primarly</w:t>
      </w:r>
      <w:proofErr w:type="spellEnd"/>
      <w:r>
        <w:rPr>
          <w:rFonts w:ascii="Palatino Linotype" w:hAnsi="Palatino Linotype"/>
          <w:sz w:val="24"/>
          <w:szCs w:val="24"/>
        </w:rPr>
        <w:t xml:space="preserve"> in the Democratic Republic of Congo, Ethiopia, Cameroon, Angola, Madagascar, Gabon, Mozambique and Nigeria. Similarly, the Intergovernmental Panel on Climate Change (IPCC) estimates the technical hydropower potential at 1174 TWh (or 283 GW of installed capacity), only eight percent of which has been developed. </w:t>
      </w:r>
      <w:proofErr w:type="spellStart"/>
      <w:proofErr w:type="gramStart"/>
      <w:r>
        <w:rPr>
          <w:rFonts w:ascii="Palatino Linotype" w:hAnsi="Palatino Linotype"/>
          <w:sz w:val="24"/>
          <w:szCs w:val="24"/>
        </w:rPr>
        <w:t>Interestingly,this</w:t>
      </w:r>
      <w:proofErr w:type="spellEnd"/>
      <w:proofErr w:type="gramEnd"/>
      <w:r>
        <w:rPr>
          <w:rFonts w:ascii="Palatino Linotype" w:hAnsi="Palatino Linotype"/>
          <w:sz w:val="24"/>
          <w:szCs w:val="24"/>
        </w:rPr>
        <w:t xml:space="preserve"> unused potential is about ten times the current installed generating capacity in SSA if RSA is excluded. </w:t>
      </w:r>
    </w:p>
    <w:p w14:paraId="01D6EE14" w14:textId="56FB597E" w:rsidR="006E43E5" w:rsidRPr="006E43E5" w:rsidRDefault="006E43E5" w:rsidP="004B417A">
      <w:pPr>
        <w:jc w:val="both"/>
        <w:rPr>
          <w:rFonts w:ascii="Palatino Linotype" w:hAnsi="Palatino Linotype"/>
          <w:sz w:val="24"/>
          <w:szCs w:val="24"/>
        </w:rPr>
      </w:pPr>
      <w:r>
        <w:rPr>
          <w:rFonts w:ascii="Palatino Linotype" w:hAnsi="Palatino Linotype"/>
          <w:sz w:val="24"/>
          <w:szCs w:val="24"/>
        </w:rPr>
        <w:t>The International Renewable Energy Agency (IRENA) is now designing future renewable energy scenarios. The focus of their work will be on providing detailed, regional specific techn</w:t>
      </w:r>
      <w:r w:rsidR="0034376F">
        <w:rPr>
          <w:rFonts w:ascii="Palatino Linotype" w:hAnsi="Palatino Linotype"/>
          <w:sz w:val="24"/>
          <w:szCs w:val="24"/>
        </w:rPr>
        <w:t xml:space="preserve">ology information with a clear focus on renewable energy. The following Table shows that the technical potential for renewables is enormous, and largely untapped in </w:t>
      </w:r>
      <w:r w:rsidR="0034376F">
        <w:rPr>
          <w:rFonts w:ascii="Palatino Linotype" w:hAnsi="Palatino Linotype"/>
          <w:sz w:val="24"/>
          <w:szCs w:val="24"/>
        </w:rPr>
        <w:lastRenderedPageBreak/>
        <w:t>Africa. The accounting of biomass remains contentious; still, even using conservative assumptions, the potentials are significant.</w:t>
      </w:r>
    </w:p>
    <w:p w14:paraId="30B663FA" w14:textId="77777777" w:rsidR="008E0CB7" w:rsidRDefault="008E0CB7" w:rsidP="004B417A">
      <w:pPr>
        <w:jc w:val="both"/>
        <w:rPr>
          <w:rFonts w:ascii="Palatino Linotype" w:hAnsi="Palatino Linotype"/>
          <w:sz w:val="16"/>
          <w:szCs w:val="16"/>
        </w:rPr>
      </w:pPr>
    </w:p>
    <w:p w14:paraId="32E945FF" w14:textId="1BD5CAF5" w:rsidR="008E0CB7" w:rsidRDefault="0034376F" w:rsidP="0034376F">
      <w:pPr>
        <w:jc w:val="center"/>
        <w:rPr>
          <w:rFonts w:ascii="Palatino Linotype" w:hAnsi="Palatino Linotype"/>
          <w:sz w:val="16"/>
          <w:szCs w:val="16"/>
        </w:rPr>
      </w:pPr>
      <w:r w:rsidRPr="0034376F">
        <w:rPr>
          <w:rFonts w:ascii="Palatino Linotype" w:hAnsi="Palatino Linotype"/>
          <w:noProof/>
          <w:sz w:val="16"/>
          <w:szCs w:val="16"/>
        </w:rPr>
        <w:drawing>
          <wp:inline distT="0" distB="0" distL="0" distR="0" wp14:anchorId="73D7E20E" wp14:editId="3C08371C">
            <wp:extent cx="4282811" cy="1188823"/>
            <wp:effectExtent l="0" t="0" r="3810" b="0"/>
            <wp:docPr id="10594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2417" name=""/>
                    <pic:cNvPicPr/>
                  </pic:nvPicPr>
                  <pic:blipFill>
                    <a:blip r:embed="rId17"/>
                    <a:stretch>
                      <a:fillRect/>
                    </a:stretch>
                  </pic:blipFill>
                  <pic:spPr>
                    <a:xfrm>
                      <a:off x="0" y="0"/>
                      <a:ext cx="4282811" cy="1188823"/>
                    </a:xfrm>
                    <a:prstGeom prst="rect">
                      <a:avLst/>
                    </a:prstGeom>
                  </pic:spPr>
                </pic:pic>
              </a:graphicData>
            </a:graphic>
          </wp:inline>
        </w:drawing>
      </w:r>
    </w:p>
    <w:p w14:paraId="3BE50559" w14:textId="46698704" w:rsidR="008E0CB7" w:rsidRDefault="0034376F" w:rsidP="0034376F">
      <w:pPr>
        <w:jc w:val="center"/>
        <w:rPr>
          <w:rFonts w:ascii="Palatino Linotype" w:hAnsi="Palatino Linotype"/>
          <w:sz w:val="16"/>
          <w:szCs w:val="16"/>
        </w:rPr>
      </w:pPr>
      <w:r w:rsidRPr="0034376F">
        <w:rPr>
          <w:rFonts w:ascii="Palatino Linotype" w:hAnsi="Palatino Linotype"/>
          <w:b/>
          <w:bCs/>
          <w:sz w:val="16"/>
          <w:szCs w:val="16"/>
        </w:rPr>
        <w:t>Table 3:</w:t>
      </w:r>
      <w:r>
        <w:rPr>
          <w:rFonts w:ascii="Palatino Linotype" w:hAnsi="Palatino Linotype"/>
          <w:sz w:val="16"/>
          <w:szCs w:val="16"/>
        </w:rPr>
        <w:t xml:space="preserve"> Technical potential for renewable energy in Africa by region (IRENA)</w:t>
      </w:r>
    </w:p>
    <w:p w14:paraId="5867B6DB" w14:textId="618F5CDE" w:rsidR="0034376F" w:rsidRDefault="0034376F" w:rsidP="0034376F">
      <w:pPr>
        <w:jc w:val="both"/>
        <w:rPr>
          <w:rFonts w:ascii="Palatino Linotype" w:hAnsi="Palatino Linotype"/>
          <w:sz w:val="24"/>
          <w:szCs w:val="24"/>
        </w:rPr>
      </w:pPr>
      <w:r>
        <w:rPr>
          <w:rFonts w:ascii="Palatino Linotype" w:hAnsi="Palatino Linotype"/>
          <w:sz w:val="24"/>
          <w:szCs w:val="24"/>
        </w:rPr>
        <w:t>In Figure 6 is used a ternary graph to plot selected (international organization) projections in terms of electricity production in Africa by types of energy sources, namely coal and oil, renewables, and low-carbon (nuclear and gas). Such representation allows visualizing the foreseen transition in the electricity generation and corresponding technological and resources shift. The portfolio of generation types critically impacts power system design and operation (including the amount of total installed capacity required because of issues such as intermittency, ramping rates, and inertial response). All of the projections foresee a decrease, in relative terms, of carbon intensive resources in Africa in the coming two decades, including those scenarios without an explicit focus on climate change mitigation. Also, most projections feature an increase in low-carbon technologies in a first phase, before the share of renewable picks up significantly.</w:t>
      </w:r>
    </w:p>
    <w:p w14:paraId="6C5BDAB4" w14:textId="3B61A3EB" w:rsidR="0034376F" w:rsidRDefault="00A84D85" w:rsidP="00A84D85">
      <w:pPr>
        <w:jc w:val="center"/>
        <w:rPr>
          <w:rFonts w:ascii="Palatino Linotype" w:hAnsi="Palatino Linotype"/>
          <w:sz w:val="24"/>
          <w:szCs w:val="24"/>
        </w:rPr>
      </w:pPr>
      <w:r w:rsidRPr="00A84D85">
        <w:rPr>
          <w:rFonts w:ascii="Palatino Linotype" w:hAnsi="Palatino Linotype"/>
          <w:noProof/>
          <w:sz w:val="24"/>
          <w:szCs w:val="24"/>
        </w:rPr>
        <w:drawing>
          <wp:inline distT="0" distB="0" distL="0" distR="0" wp14:anchorId="2BDA3B2D" wp14:editId="4D867888">
            <wp:extent cx="3782060" cy="3086105"/>
            <wp:effectExtent l="0" t="0" r="0" b="0"/>
            <wp:docPr id="12829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1827" name=""/>
                    <pic:cNvPicPr/>
                  </pic:nvPicPr>
                  <pic:blipFill>
                    <a:blip r:embed="rId18"/>
                    <a:stretch>
                      <a:fillRect/>
                    </a:stretch>
                  </pic:blipFill>
                  <pic:spPr>
                    <a:xfrm>
                      <a:off x="0" y="0"/>
                      <a:ext cx="3787306" cy="3090386"/>
                    </a:xfrm>
                    <a:prstGeom prst="rect">
                      <a:avLst/>
                    </a:prstGeom>
                  </pic:spPr>
                </pic:pic>
              </a:graphicData>
            </a:graphic>
          </wp:inline>
        </w:drawing>
      </w:r>
    </w:p>
    <w:p w14:paraId="089B91D0" w14:textId="6723FE84" w:rsidR="0034376F" w:rsidRDefault="00A84D85" w:rsidP="00A84D85">
      <w:pPr>
        <w:jc w:val="center"/>
        <w:rPr>
          <w:rFonts w:ascii="Palatino Linotype" w:hAnsi="Palatino Linotype"/>
          <w:sz w:val="16"/>
          <w:szCs w:val="16"/>
        </w:rPr>
      </w:pPr>
      <w:r w:rsidRPr="00A84D85">
        <w:rPr>
          <w:rFonts w:ascii="Palatino Linotype" w:hAnsi="Palatino Linotype"/>
          <w:b/>
          <w:bCs/>
          <w:sz w:val="16"/>
          <w:szCs w:val="16"/>
        </w:rPr>
        <w:t>Fig.6:</w:t>
      </w:r>
      <w:r w:rsidRPr="00A84D85">
        <w:rPr>
          <w:rFonts w:ascii="Palatino Linotype" w:hAnsi="Palatino Linotype"/>
          <w:sz w:val="16"/>
          <w:szCs w:val="16"/>
        </w:rPr>
        <w:t xml:space="preserve"> Projections of electricity generation in Africa by types of by different </w:t>
      </w:r>
      <w:proofErr w:type="spellStart"/>
      <w:r w:rsidRPr="00A84D85">
        <w:rPr>
          <w:rFonts w:ascii="Palatino Linotype" w:hAnsi="Palatino Linotype"/>
          <w:sz w:val="16"/>
          <w:szCs w:val="16"/>
        </w:rPr>
        <w:t>organisations</w:t>
      </w:r>
      <w:proofErr w:type="spellEnd"/>
      <w:r w:rsidRPr="00A84D85">
        <w:rPr>
          <w:rFonts w:ascii="Palatino Linotype" w:hAnsi="Palatino Linotype"/>
          <w:sz w:val="16"/>
          <w:szCs w:val="16"/>
        </w:rPr>
        <w:t>, 2010-2030. Note: the size of the dots is proportional to the total electricity generation projected; with present estimates (filled dots), estimates in 2030 (last dot of each scenario), and intermediary estimates. Data: own compilation from IEA WEO 2010, EIA IEO 2010, and Greenpeace 2010</w:t>
      </w:r>
    </w:p>
    <w:p w14:paraId="627A23B9" w14:textId="77777777" w:rsidR="00383AB0" w:rsidRDefault="00383AB0" w:rsidP="00A84D85">
      <w:pPr>
        <w:jc w:val="center"/>
        <w:rPr>
          <w:rFonts w:ascii="Palatino Linotype" w:hAnsi="Palatino Linotype"/>
          <w:sz w:val="16"/>
          <w:szCs w:val="16"/>
        </w:rPr>
      </w:pPr>
    </w:p>
    <w:p w14:paraId="1E794510" w14:textId="5D1E53F1" w:rsidR="00383AB0" w:rsidRDefault="00D83D10" w:rsidP="00D83D10">
      <w:pPr>
        <w:pStyle w:val="Heading3"/>
        <w:numPr>
          <w:ilvl w:val="2"/>
          <w:numId w:val="3"/>
        </w:numPr>
      </w:pPr>
      <w:r>
        <w:lastRenderedPageBreak/>
        <w:t>Scenarios to 2030</w:t>
      </w:r>
    </w:p>
    <w:p w14:paraId="459D827B" w14:textId="77777777" w:rsidR="00D83D10" w:rsidRDefault="00D83D10" w:rsidP="00D83D10">
      <w:pPr>
        <w:jc w:val="both"/>
      </w:pPr>
    </w:p>
    <w:p w14:paraId="706CD4EC" w14:textId="0DDE310E" w:rsidR="00D83D10" w:rsidRDefault="00D83D10" w:rsidP="00D83D10">
      <w:pPr>
        <w:jc w:val="both"/>
        <w:rPr>
          <w:rFonts w:ascii="Palatino Linotype" w:hAnsi="Palatino Linotype"/>
          <w:sz w:val="24"/>
          <w:szCs w:val="24"/>
        </w:rPr>
      </w:pPr>
      <w:r>
        <w:rPr>
          <w:rFonts w:ascii="Palatino Linotype" w:hAnsi="Palatino Linotype"/>
          <w:sz w:val="24"/>
          <w:szCs w:val="24"/>
        </w:rPr>
        <w:t xml:space="preserve">Using simple heuristics, it has been calculated “back of the envelope” electricity generation capacity requires in SSA (excluding RSA) to 2030 under various electricity access level assumptions (see table 4). It is important to note that these scenarios are not limited to household demand, but for the entire economy. In the first two scenarios it is separated the number of people without access (electricity poor) from those with access (non-electricity poor), and each category arrives at a different level of access in 2030. In the two other scenarios the entire 2030 population is brought to a single average level of access. Of course, such results are highly stylized and would, in themselves, not properly consider issue such as: intermittency, system operation, ramping </w:t>
      </w:r>
      <w:proofErr w:type="gramStart"/>
      <w:r>
        <w:rPr>
          <w:rFonts w:ascii="Palatino Linotype" w:hAnsi="Palatino Linotype"/>
          <w:sz w:val="24"/>
          <w:szCs w:val="24"/>
        </w:rPr>
        <w:t>etc..</w:t>
      </w:r>
      <w:proofErr w:type="gramEnd"/>
    </w:p>
    <w:p w14:paraId="73B503DD" w14:textId="52494C9B" w:rsidR="00D83D10" w:rsidRDefault="00D83D10" w:rsidP="00D83D10">
      <w:pPr>
        <w:jc w:val="both"/>
        <w:rPr>
          <w:rFonts w:ascii="Palatino Linotype" w:hAnsi="Palatino Linotype"/>
          <w:sz w:val="24"/>
          <w:szCs w:val="24"/>
        </w:rPr>
      </w:pPr>
      <w:r>
        <w:rPr>
          <w:rFonts w:ascii="Palatino Linotype" w:hAnsi="Palatino Linotype"/>
          <w:sz w:val="24"/>
          <w:szCs w:val="24"/>
        </w:rPr>
        <w:t>The results of this evaluation are astonishing in term of the required growth rates and installed capacity. As an example, just to reach the Moderate Access case where the population has between 200-400 MW/</w:t>
      </w:r>
      <w:proofErr w:type="spellStart"/>
      <w:r>
        <w:rPr>
          <w:rFonts w:ascii="Palatino Linotype" w:hAnsi="Palatino Linotype"/>
          <w:sz w:val="24"/>
          <w:szCs w:val="24"/>
        </w:rPr>
        <w:t>mln</w:t>
      </w:r>
      <w:proofErr w:type="spellEnd"/>
      <w:r>
        <w:rPr>
          <w:rFonts w:ascii="Palatino Linotype" w:hAnsi="Palatino Linotype"/>
          <w:sz w:val="24"/>
          <w:szCs w:val="24"/>
        </w:rPr>
        <w:t xml:space="preserve"> requires a total of around 374 GW of installed capacity- about twelve times current levels. This implies around a 13% annual growth rate for the next 20 years as compared to 1.7% for the past 20 years. The other scenarios show that bringing access to the projected SSA (excluding RSA) population in 2030 would take approximately 500 GW to reach an average of 400 MW/</w:t>
      </w:r>
      <w:proofErr w:type="spellStart"/>
      <w:r>
        <w:rPr>
          <w:rFonts w:ascii="Palatino Linotype" w:hAnsi="Palatino Linotype"/>
          <w:sz w:val="24"/>
          <w:szCs w:val="24"/>
        </w:rPr>
        <w:t>mln</w:t>
      </w:r>
      <w:proofErr w:type="spellEnd"/>
      <w:r>
        <w:rPr>
          <w:rFonts w:ascii="Palatino Linotype" w:hAnsi="Palatino Linotype"/>
          <w:sz w:val="24"/>
          <w:szCs w:val="24"/>
        </w:rPr>
        <w:t xml:space="preserve"> (Full Access) and to reach 800 MW/</w:t>
      </w:r>
      <w:proofErr w:type="spellStart"/>
      <w:r>
        <w:rPr>
          <w:rFonts w:ascii="Palatino Linotype" w:hAnsi="Palatino Linotype"/>
          <w:sz w:val="24"/>
          <w:szCs w:val="24"/>
        </w:rPr>
        <w:t>mln</w:t>
      </w:r>
      <w:proofErr w:type="spellEnd"/>
      <w:r>
        <w:rPr>
          <w:rFonts w:ascii="Palatino Linotype" w:hAnsi="Palatino Linotype"/>
          <w:sz w:val="24"/>
          <w:szCs w:val="24"/>
        </w:rPr>
        <w:t xml:space="preserve"> (Full Enhanced Access) would double this requirement. The result assumes much higher level of access than much of the literature that focuses solely on “basic needs” at the household level. </w:t>
      </w:r>
    </w:p>
    <w:p w14:paraId="40A5DE44" w14:textId="647621A7" w:rsidR="00D83D10" w:rsidRDefault="00F44615" w:rsidP="00F44615">
      <w:pPr>
        <w:jc w:val="center"/>
        <w:rPr>
          <w:rFonts w:ascii="Palatino Linotype" w:hAnsi="Palatino Linotype"/>
          <w:sz w:val="24"/>
          <w:szCs w:val="24"/>
        </w:rPr>
      </w:pPr>
      <w:r w:rsidRPr="00F44615">
        <w:rPr>
          <w:rFonts w:ascii="Palatino Linotype" w:hAnsi="Palatino Linotype"/>
          <w:sz w:val="24"/>
          <w:szCs w:val="24"/>
        </w:rPr>
        <w:drawing>
          <wp:inline distT="0" distB="0" distL="0" distR="0" wp14:anchorId="22F5E1EE" wp14:editId="30B194B3">
            <wp:extent cx="3975100" cy="1728484"/>
            <wp:effectExtent l="0" t="0" r="0" b="0"/>
            <wp:docPr id="20598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1321" name=""/>
                    <pic:cNvPicPr/>
                  </pic:nvPicPr>
                  <pic:blipFill>
                    <a:blip r:embed="rId19"/>
                    <a:stretch>
                      <a:fillRect/>
                    </a:stretch>
                  </pic:blipFill>
                  <pic:spPr>
                    <a:xfrm>
                      <a:off x="0" y="0"/>
                      <a:ext cx="3998838" cy="1738806"/>
                    </a:xfrm>
                    <a:prstGeom prst="rect">
                      <a:avLst/>
                    </a:prstGeom>
                  </pic:spPr>
                </pic:pic>
              </a:graphicData>
            </a:graphic>
          </wp:inline>
        </w:drawing>
      </w:r>
    </w:p>
    <w:p w14:paraId="1ED09AD0" w14:textId="4948E7A3" w:rsidR="00F44615" w:rsidRDefault="00F44615" w:rsidP="00F44615">
      <w:pPr>
        <w:jc w:val="center"/>
        <w:rPr>
          <w:rFonts w:ascii="Palatino Linotype" w:hAnsi="Palatino Linotype"/>
          <w:sz w:val="16"/>
          <w:szCs w:val="16"/>
          <w:shd w:val="clear" w:color="auto" w:fill="FFFFFF"/>
        </w:rPr>
      </w:pPr>
      <w:r w:rsidRPr="00F44615">
        <w:rPr>
          <w:rFonts w:ascii="Palatino Linotype" w:hAnsi="Palatino Linotype"/>
          <w:b/>
          <w:bCs/>
          <w:sz w:val="16"/>
          <w:szCs w:val="16"/>
        </w:rPr>
        <w:t>Table 4:</w:t>
      </w:r>
      <w:r w:rsidRPr="00F44615">
        <w:rPr>
          <w:rFonts w:ascii="Palatino Linotype" w:hAnsi="Palatino Linotype"/>
          <w:sz w:val="16"/>
          <w:szCs w:val="16"/>
        </w:rPr>
        <w:t xml:space="preserve"> Estimates for installed electricity generation capacity required (in GW) in SSA (excluding RSA) under various access level (MW/</w:t>
      </w:r>
      <w:proofErr w:type="spellStart"/>
      <w:r w:rsidRPr="00F44615">
        <w:rPr>
          <w:rFonts w:ascii="Palatino Linotype" w:hAnsi="Palatino Linotype"/>
          <w:sz w:val="16"/>
          <w:szCs w:val="16"/>
        </w:rPr>
        <w:t>mln</w:t>
      </w:r>
      <w:proofErr w:type="spellEnd"/>
      <w:r w:rsidRPr="00F44615">
        <w:rPr>
          <w:rFonts w:ascii="Palatino Linotype" w:hAnsi="Palatino Linotype"/>
          <w:sz w:val="16"/>
          <w:szCs w:val="16"/>
        </w:rPr>
        <w:t>) assumptions</w:t>
      </w:r>
      <w:r w:rsidRPr="00F44615">
        <w:rPr>
          <w:rFonts w:ascii="Palatino Linotype" w:hAnsi="Palatino Linotype"/>
          <w:sz w:val="16"/>
          <w:szCs w:val="16"/>
          <w:shd w:val="clear" w:color="auto" w:fill="FFFFFF"/>
        </w:rPr>
        <w:t>.</w:t>
      </w:r>
    </w:p>
    <w:p w14:paraId="7008FFEC" w14:textId="77777777" w:rsidR="00F44615" w:rsidRDefault="00F44615" w:rsidP="00F44615">
      <w:pPr>
        <w:jc w:val="center"/>
        <w:rPr>
          <w:rFonts w:ascii="Palatino Linotype" w:hAnsi="Palatino Linotype"/>
          <w:sz w:val="16"/>
          <w:szCs w:val="16"/>
          <w:shd w:val="clear" w:color="auto" w:fill="FFFFFF"/>
        </w:rPr>
      </w:pPr>
    </w:p>
    <w:p w14:paraId="0442FBC4" w14:textId="697AAB7A" w:rsidR="00F44615" w:rsidRDefault="00F44615" w:rsidP="00F44615">
      <w:p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 xml:space="preserve">The next figure provides a simplified overview of several scenarios as well as projections. In addition to plotting the </w:t>
      </w:r>
      <w:r w:rsidRPr="00F44615">
        <w:rPr>
          <w:rFonts w:ascii="Palatino Linotype" w:hAnsi="Palatino Linotype"/>
          <w:i/>
          <w:iCs/>
          <w:sz w:val="24"/>
          <w:szCs w:val="24"/>
          <w:shd w:val="clear" w:color="auto" w:fill="FFFFFF"/>
        </w:rPr>
        <w:t>Moderating Access</w:t>
      </w:r>
      <w:r>
        <w:rPr>
          <w:rFonts w:ascii="Palatino Linotype" w:hAnsi="Palatino Linotype"/>
          <w:sz w:val="24"/>
          <w:szCs w:val="24"/>
          <w:shd w:val="clear" w:color="auto" w:fill="FFFFFF"/>
        </w:rPr>
        <w:t xml:space="preserve"> and </w:t>
      </w:r>
      <w:r w:rsidRPr="00F44615">
        <w:rPr>
          <w:rFonts w:ascii="Palatino Linotype" w:hAnsi="Palatino Linotype"/>
          <w:i/>
          <w:iCs/>
          <w:sz w:val="24"/>
          <w:szCs w:val="24"/>
          <w:shd w:val="clear" w:color="auto" w:fill="FFFFFF"/>
        </w:rPr>
        <w:t>Full Access</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scenarios from Table 4, it includes: a </w:t>
      </w:r>
      <w:r w:rsidR="00C02045" w:rsidRPr="00C02045">
        <w:rPr>
          <w:rFonts w:ascii="Palatino Linotype" w:hAnsi="Palatino Linotype"/>
          <w:i/>
          <w:iCs/>
          <w:sz w:val="24"/>
          <w:szCs w:val="24"/>
          <w:shd w:val="clear" w:color="auto" w:fill="FFFFFF"/>
        </w:rPr>
        <w:t>50% Access</w:t>
      </w:r>
      <w:r w:rsidR="00C02045">
        <w:rPr>
          <w:rFonts w:ascii="Palatino Linotype" w:hAnsi="Palatino Linotype"/>
          <w:sz w:val="24"/>
          <w:szCs w:val="24"/>
          <w:shd w:val="clear" w:color="auto" w:fill="FFFFFF"/>
        </w:rPr>
        <w:t xml:space="preserve"> scenario that assumes that 50% of the population will have access at a rate of 400 MW/</w:t>
      </w:r>
      <w:proofErr w:type="spellStart"/>
      <w:r w:rsidR="00C02045">
        <w:rPr>
          <w:rFonts w:ascii="Palatino Linotype" w:hAnsi="Palatino Linotype"/>
          <w:sz w:val="24"/>
          <w:szCs w:val="24"/>
          <w:shd w:val="clear" w:color="auto" w:fill="FFFFFF"/>
        </w:rPr>
        <w:t>mln</w:t>
      </w:r>
      <w:proofErr w:type="spellEnd"/>
      <w:r w:rsidR="00C02045">
        <w:rPr>
          <w:rFonts w:ascii="Palatino Linotype" w:hAnsi="Palatino Linotype"/>
          <w:sz w:val="24"/>
          <w:szCs w:val="24"/>
          <w:shd w:val="clear" w:color="auto" w:fill="FFFFFF"/>
        </w:rPr>
        <w:t xml:space="preserve">, along with two statistically derived projections based on historical data. </w:t>
      </w:r>
      <w:r w:rsidR="00C02045" w:rsidRPr="00C02045">
        <w:rPr>
          <w:rFonts w:ascii="Palatino Linotype" w:hAnsi="Palatino Linotype"/>
          <w:i/>
          <w:iCs/>
          <w:sz w:val="24"/>
          <w:szCs w:val="24"/>
          <w:shd w:val="clear" w:color="auto" w:fill="FFFFFF"/>
        </w:rPr>
        <w:t>GPD regression</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represents a regression analysis using GDP as the independent variable (with double exponential smoothing of historic data) and results in about 70 GW </w:t>
      </w:r>
      <w:r w:rsidR="00C02045">
        <w:rPr>
          <w:rFonts w:ascii="Palatino Linotype" w:hAnsi="Palatino Linotype"/>
          <w:sz w:val="24"/>
          <w:szCs w:val="24"/>
          <w:shd w:val="clear" w:color="auto" w:fill="FFFFFF"/>
        </w:rPr>
        <w:lastRenderedPageBreak/>
        <w:t xml:space="preserve">in 2030. The </w:t>
      </w:r>
      <w:r w:rsidR="00C02045" w:rsidRPr="00C02045">
        <w:rPr>
          <w:rFonts w:ascii="Palatino Linotype" w:hAnsi="Palatino Linotype"/>
          <w:i/>
          <w:iCs/>
          <w:sz w:val="24"/>
          <w:szCs w:val="24"/>
          <w:shd w:val="clear" w:color="auto" w:fill="FFFFFF"/>
        </w:rPr>
        <w:t>Trendline</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is a historically-based extrapolation, and projects about 43 GW in 2030. </w:t>
      </w:r>
    </w:p>
    <w:p w14:paraId="7BFC7121" w14:textId="77777777" w:rsidR="00C02045" w:rsidRDefault="00C02045" w:rsidP="00F44615">
      <w:pPr>
        <w:jc w:val="both"/>
        <w:rPr>
          <w:rFonts w:ascii="Palatino Linotype" w:hAnsi="Palatino Linotype"/>
          <w:sz w:val="24"/>
          <w:szCs w:val="24"/>
          <w:shd w:val="clear" w:color="auto" w:fill="FFFFFF"/>
        </w:rPr>
      </w:pPr>
    </w:p>
    <w:p w14:paraId="2129D7EE" w14:textId="7100ACDE" w:rsidR="00C02045" w:rsidRDefault="00C02045" w:rsidP="00C02045">
      <w:pPr>
        <w:jc w:val="center"/>
        <w:rPr>
          <w:rFonts w:ascii="Palatino Linotype" w:hAnsi="Palatino Linotype"/>
          <w:sz w:val="24"/>
          <w:szCs w:val="24"/>
        </w:rPr>
      </w:pPr>
      <w:r w:rsidRPr="00C02045">
        <w:rPr>
          <w:rFonts w:ascii="Palatino Linotype" w:hAnsi="Palatino Linotype"/>
          <w:sz w:val="24"/>
          <w:szCs w:val="24"/>
        </w:rPr>
        <w:drawing>
          <wp:inline distT="0" distB="0" distL="0" distR="0" wp14:anchorId="41F4AD85" wp14:editId="2F746DB8">
            <wp:extent cx="4467346" cy="2404745"/>
            <wp:effectExtent l="0" t="0" r="0" b="0"/>
            <wp:docPr id="15043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3882" name=""/>
                    <pic:cNvPicPr/>
                  </pic:nvPicPr>
                  <pic:blipFill>
                    <a:blip r:embed="rId20"/>
                    <a:stretch>
                      <a:fillRect/>
                    </a:stretch>
                  </pic:blipFill>
                  <pic:spPr>
                    <a:xfrm>
                      <a:off x="0" y="0"/>
                      <a:ext cx="4476387" cy="2409612"/>
                    </a:xfrm>
                    <a:prstGeom prst="rect">
                      <a:avLst/>
                    </a:prstGeom>
                  </pic:spPr>
                </pic:pic>
              </a:graphicData>
            </a:graphic>
          </wp:inline>
        </w:drawing>
      </w:r>
    </w:p>
    <w:p w14:paraId="7FE0FD5A" w14:textId="70326BA9" w:rsidR="00C02045" w:rsidRDefault="00C02045" w:rsidP="00C02045">
      <w:pPr>
        <w:jc w:val="center"/>
        <w:rPr>
          <w:rFonts w:ascii="Palatino Linotype" w:hAnsi="Palatino Linotype"/>
          <w:sz w:val="16"/>
          <w:szCs w:val="16"/>
        </w:rPr>
      </w:pPr>
      <w:r w:rsidRPr="00C02045">
        <w:rPr>
          <w:rFonts w:ascii="Palatino Linotype" w:hAnsi="Palatino Linotype"/>
          <w:b/>
          <w:bCs/>
          <w:sz w:val="16"/>
          <w:szCs w:val="16"/>
        </w:rPr>
        <w:t>Fig. 7:</w:t>
      </w:r>
      <w:r w:rsidRPr="00C02045">
        <w:rPr>
          <w:rFonts w:ascii="Palatino Linotype" w:hAnsi="Palatino Linotype"/>
          <w:sz w:val="16"/>
          <w:szCs w:val="16"/>
        </w:rPr>
        <w:t xml:space="preserve"> Scenarios and projections of installed capacity to 2030 for SSA (excluding RSA)</w:t>
      </w:r>
    </w:p>
    <w:p w14:paraId="0435A7F5" w14:textId="3D704065" w:rsidR="00C02045" w:rsidRDefault="00C02045" w:rsidP="00C02045">
      <w:pPr>
        <w:jc w:val="both"/>
        <w:rPr>
          <w:rFonts w:ascii="Palatino Linotype" w:hAnsi="Palatino Linotype"/>
          <w:sz w:val="24"/>
          <w:szCs w:val="24"/>
        </w:rPr>
      </w:pPr>
      <w:r w:rsidRPr="00C02045">
        <w:rPr>
          <w:rFonts w:ascii="Palatino Linotype" w:hAnsi="Palatino Linotype"/>
          <w:sz w:val="24"/>
          <w:szCs w:val="24"/>
        </w:rPr>
        <w:t>It is also useful to consider how to “jump-start” from historic trends to, as an example,</w:t>
      </w:r>
      <w:r>
        <w:rPr>
          <w:rFonts w:ascii="Palatino Linotype" w:hAnsi="Palatino Linotype"/>
          <w:sz w:val="24"/>
          <w:szCs w:val="24"/>
        </w:rPr>
        <w:t xml:space="preserve"> the </w:t>
      </w:r>
      <w:r w:rsidRPr="00C02045">
        <w:rPr>
          <w:rFonts w:ascii="Palatino Linotype" w:hAnsi="Palatino Linotype"/>
          <w:i/>
          <w:iCs/>
          <w:sz w:val="24"/>
          <w:szCs w:val="24"/>
        </w:rPr>
        <w:t>Low Access</w:t>
      </w:r>
      <w:r>
        <w:rPr>
          <w:rFonts w:ascii="Palatino Linotype" w:hAnsi="Palatino Linotype"/>
          <w:i/>
          <w:iCs/>
          <w:sz w:val="24"/>
          <w:szCs w:val="24"/>
        </w:rPr>
        <w:t xml:space="preserve"> </w:t>
      </w:r>
      <w:r>
        <w:rPr>
          <w:rFonts w:ascii="Palatino Linotype" w:hAnsi="Palatino Linotype"/>
          <w:sz w:val="24"/>
          <w:szCs w:val="24"/>
        </w:rPr>
        <w:t>case. A few well-designed large projects allow very high initial growth levels to help give confidence to the sector for an extende</w:t>
      </w:r>
      <w:r w:rsidR="000D6432">
        <w:rPr>
          <w:rFonts w:ascii="Palatino Linotype" w:hAnsi="Palatino Linotype"/>
          <w:sz w:val="24"/>
          <w:szCs w:val="24"/>
        </w:rPr>
        <w:t>d period of growth. For instance, the proposed Grand Inga hydroelectric project (in the Democratic Republic of Congo) could reach almost 40 GW in scale. Inga then would, theoretically, provide a significant short-term contribution to the additional capacity required. Likewise, some Nigerian projection show very high levels of short-term growth in generating plants. A few such large-scale projects might also provide the necessary impetus for transmission projects. High levels of growth in smaller or distributed generation projects would also likely support the necessary momentum.</w:t>
      </w:r>
    </w:p>
    <w:p w14:paraId="7CB9DCD8" w14:textId="77777777" w:rsidR="000D6432" w:rsidRDefault="000D6432" w:rsidP="00C02045">
      <w:pPr>
        <w:jc w:val="both"/>
        <w:rPr>
          <w:rFonts w:ascii="Palatino Linotype" w:hAnsi="Palatino Linotype"/>
          <w:sz w:val="24"/>
          <w:szCs w:val="24"/>
        </w:rPr>
      </w:pPr>
    </w:p>
    <w:p w14:paraId="00CCD034" w14:textId="50D68202" w:rsidR="000D6432" w:rsidRDefault="000D6432" w:rsidP="00C02045">
      <w:pPr>
        <w:jc w:val="both"/>
        <w:rPr>
          <w:rFonts w:ascii="Palatino Linotype" w:hAnsi="Palatino Linotype"/>
          <w:sz w:val="24"/>
          <w:szCs w:val="24"/>
        </w:rPr>
      </w:pPr>
      <w:r>
        <w:rPr>
          <w:rFonts w:ascii="Palatino Linotype" w:hAnsi="Palatino Linotype"/>
          <w:sz w:val="24"/>
          <w:szCs w:val="24"/>
        </w:rPr>
        <w:t>Finally, while it is variable to illustrate what it would mean to meet a target of 100% electrification by 2030, it is also important to acknowledge that this target seems ambitious. As noted above, 30-40 years is likely a more realistic range based on the historical evidence presented, particularly given the following considerations:</w:t>
      </w:r>
    </w:p>
    <w:p w14:paraId="369D303A" w14:textId="42F9D446"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The final segment from 90%-100% access is necessarily slower due to increasing marginal costs and technical difficulties</w:t>
      </w:r>
    </w:p>
    <w:p w14:paraId="1F40BF8E" w14:textId="41C91167"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 xml:space="preserve">In </w:t>
      </w:r>
      <w:proofErr w:type="gramStart"/>
      <w:r>
        <w:rPr>
          <w:rFonts w:ascii="Palatino Linotype" w:hAnsi="Palatino Linotype"/>
          <w:sz w:val="24"/>
          <w:szCs w:val="24"/>
        </w:rPr>
        <w:t>addition</w:t>
      </w:r>
      <w:proofErr w:type="gramEnd"/>
      <w:r>
        <w:rPr>
          <w:rFonts w:ascii="Palatino Linotype" w:hAnsi="Palatino Linotype"/>
          <w:sz w:val="24"/>
          <w:szCs w:val="24"/>
        </w:rPr>
        <w:t xml:space="preserve"> for Africa to meet the universal electrification target 47 countries would need to do simultaneously.</w:t>
      </w:r>
    </w:p>
    <w:p w14:paraId="6C23503A" w14:textId="77777777" w:rsidR="000D6432" w:rsidRDefault="000D6432" w:rsidP="000D6432">
      <w:pPr>
        <w:jc w:val="both"/>
        <w:rPr>
          <w:rFonts w:ascii="Palatino Linotype" w:hAnsi="Palatino Linotype"/>
          <w:sz w:val="24"/>
          <w:szCs w:val="24"/>
        </w:rPr>
      </w:pPr>
    </w:p>
    <w:p w14:paraId="380FBA45" w14:textId="7B7A13F6" w:rsidR="000D6432" w:rsidRDefault="000D6432" w:rsidP="000D6432">
      <w:pPr>
        <w:jc w:val="both"/>
        <w:rPr>
          <w:rFonts w:ascii="Palatino Linotype" w:hAnsi="Palatino Linotype"/>
          <w:sz w:val="24"/>
          <w:szCs w:val="24"/>
        </w:rPr>
      </w:pPr>
      <w:r>
        <w:rPr>
          <w:rFonts w:ascii="Palatino Linotype" w:hAnsi="Palatino Linotype"/>
          <w:sz w:val="24"/>
          <w:szCs w:val="24"/>
        </w:rPr>
        <w:lastRenderedPageBreak/>
        <w:t xml:space="preserve">Building on </w:t>
      </w:r>
      <w:r w:rsidRPr="000D6432">
        <w:rPr>
          <w:rFonts w:ascii="Palatino Linotype" w:hAnsi="Palatino Linotype"/>
          <w:i/>
          <w:iCs/>
          <w:sz w:val="24"/>
          <w:szCs w:val="24"/>
        </w:rPr>
        <w:t>Full Access</w:t>
      </w:r>
      <w:r>
        <w:rPr>
          <w:rFonts w:ascii="Palatino Linotype" w:hAnsi="Palatino Linotype"/>
          <w:sz w:val="24"/>
          <w:szCs w:val="24"/>
        </w:rPr>
        <w:t xml:space="preserve"> scenario, it has been briefly examined the goal “spread” evenly across the sub-regional power pool level (the Eastern Africa Power Pool (EAPP), Southern Africa Power Pool (SAPP), Western Africa Power Pool (WAPP), and the Central African Power Pool (CAPP)). </w:t>
      </w:r>
    </w:p>
    <w:p w14:paraId="238EDF8C" w14:textId="77777777" w:rsidR="00616D89" w:rsidRDefault="00616D89" w:rsidP="000D6432">
      <w:pPr>
        <w:jc w:val="both"/>
        <w:rPr>
          <w:rFonts w:ascii="Palatino Linotype" w:hAnsi="Palatino Linotype"/>
          <w:sz w:val="24"/>
          <w:szCs w:val="24"/>
        </w:rPr>
      </w:pPr>
    </w:p>
    <w:p w14:paraId="3DDD17B3" w14:textId="7D601539" w:rsidR="00616D89" w:rsidRDefault="00616D89" w:rsidP="00616D89">
      <w:pPr>
        <w:jc w:val="center"/>
        <w:rPr>
          <w:rFonts w:ascii="Palatino Linotype" w:hAnsi="Palatino Linotype"/>
          <w:sz w:val="24"/>
          <w:szCs w:val="24"/>
        </w:rPr>
      </w:pPr>
      <w:r w:rsidRPr="00616D89">
        <w:rPr>
          <w:rFonts w:ascii="Palatino Linotype" w:hAnsi="Palatino Linotype"/>
          <w:sz w:val="24"/>
          <w:szCs w:val="24"/>
        </w:rPr>
        <w:drawing>
          <wp:inline distT="0" distB="0" distL="0" distR="0" wp14:anchorId="6A1B20AB" wp14:editId="037B7C18">
            <wp:extent cx="4452362" cy="2816225"/>
            <wp:effectExtent l="0" t="0" r="0" b="0"/>
            <wp:docPr id="680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374" name=""/>
                    <pic:cNvPicPr/>
                  </pic:nvPicPr>
                  <pic:blipFill>
                    <a:blip r:embed="rId21"/>
                    <a:stretch>
                      <a:fillRect/>
                    </a:stretch>
                  </pic:blipFill>
                  <pic:spPr>
                    <a:xfrm>
                      <a:off x="0" y="0"/>
                      <a:ext cx="4460836" cy="2821585"/>
                    </a:xfrm>
                    <a:prstGeom prst="rect">
                      <a:avLst/>
                    </a:prstGeom>
                  </pic:spPr>
                </pic:pic>
              </a:graphicData>
            </a:graphic>
          </wp:inline>
        </w:drawing>
      </w:r>
    </w:p>
    <w:p w14:paraId="44ABB4A4" w14:textId="691261F5" w:rsidR="00616D89" w:rsidRDefault="00616D89" w:rsidP="00616D89">
      <w:pPr>
        <w:jc w:val="center"/>
        <w:rPr>
          <w:rFonts w:ascii="Palatino Linotype" w:hAnsi="Palatino Linotype"/>
          <w:sz w:val="16"/>
          <w:szCs w:val="16"/>
        </w:rPr>
      </w:pPr>
      <w:r w:rsidRPr="00204311">
        <w:rPr>
          <w:rFonts w:ascii="Palatino Linotype" w:hAnsi="Palatino Linotype"/>
          <w:b/>
          <w:bCs/>
          <w:sz w:val="16"/>
          <w:szCs w:val="16"/>
        </w:rPr>
        <w:t>Fig. 8:</w:t>
      </w:r>
      <w:r w:rsidRPr="00204311">
        <w:rPr>
          <w:rFonts w:ascii="Palatino Linotype" w:hAnsi="Palatino Linotype"/>
          <w:sz w:val="16"/>
          <w:szCs w:val="16"/>
        </w:rPr>
        <w:t xml:space="preserve"> Additional capacity needed to reach 400 MW/</w:t>
      </w:r>
      <w:proofErr w:type="spellStart"/>
      <w:r w:rsidRPr="00204311">
        <w:rPr>
          <w:rFonts w:ascii="Palatino Linotype" w:hAnsi="Palatino Linotype"/>
          <w:sz w:val="16"/>
          <w:szCs w:val="16"/>
        </w:rPr>
        <w:t>mln</w:t>
      </w:r>
      <w:proofErr w:type="spellEnd"/>
      <w:r w:rsidRPr="00204311">
        <w:rPr>
          <w:rFonts w:ascii="Palatino Linotype" w:hAnsi="Palatino Linotype"/>
          <w:sz w:val="16"/>
          <w:szCs w:val="16"/>
        </w:rPr>
        <w:t xml:space="preserve"> by region</w:t>
      </w:r>
    </w:p>
    <w:p w14:paraId="597B2DB7" w14:textId="3C94CEB6" w:rsidR="00204311" w:rsidRPr="00204311" w:rsidRDefault="00204311" w:rsidP="00204311">
      <w:pPr>
        <w:jc w:val="both"/>
        <w:rPr>
          <w:rFonts w:ascii="Palatino Linotype" w:hAnsi="Palatino Linotype"/>
          <w:sz w:val="24"/>
          <w:szCs w:val="24"/>
        </w:rPr>
      </w:pPr>
      <w:r w:rsidRPr="00204311">
        <w:rPr>
          <w:rFonts w:ascii="Palatino Linotype" w:hAnsi="Palatino Linotype"/>
          <w:sz w:val="24"/>
          <w:szCs w:val="24"/>
        </w:rPr>
        <w:t>Initial resu</w:t>
      </w:r>
      <w:r>
        <w:rPr>
          <w:rFonts w:ascii="Palatino Linotype" w:hAnsi="Palatino Linotype"/>
          <w:sz w:val="24"/>
          <w:szCs w:val="24"/>
        </w:rPr>
        <w:t>lts show that the WAPP has the largest total capacity in additions at 186 GW, the EAPP has 149 GW, the SAPP (excluding RSA) has 105 GW, and the CAPP has 27 GW. On an average annual basis then, SSA (excluding RSA) must add about 23 GW per year in additional capacity (EAPP: 7.4 GW, SAPP (excluding RSA): 5.2 GW, WAPP: 9.3 GW and CAPP: 1.4 GW) – equivalent to a little more than a Three Gorges Dam (22.5 GW) sized project each and every year through 2030.</w:t>
      </w:r>
    </w:p>
    <w:p w14:paraId="556D9F07" w14:textId="77777777" w:rsidR="00C02045" w:rsidRPr="00C02045" w:rsidRDefault="00C02045" w:rsidP="00C02045">
      <w:pPr>
        <w:jc w:val="both"/>
        <w:rPr>
          <w:rFonts w:ascii="Palatino Linotype" w:hAnsi="Palatino Linotype"/>
          <w:sz w:val="16"/>
          <w:szCs w:val="16"/>
        </w:rPr>
      </w:pPr>
    </w:p>
    <w:p w14:paraId="09AC55DD" w14:textId="77777777" w:rsidR="00D83D10" w:rsidRPr="00D83D10" w:rsidRDefault="00D83D10" w:rsidP="00D83D10"/>
    <w:p w14:paraId="33BE5E1C" w14:textId="3CBD9515" w:rsidR="001B4B68"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Minigrids: Definition and Characteristics</w:t>
      </w:r>
    </w:p>
    <w:p w14:paraId="0D615D22" w14:textId="77777777" w:rsidR="00204311" w:rsidRDefault="00204311" w:rsidP="00204311"/>
    <w:p w14:paraId="5E24D50D" w14:textId="77777777" w:rsidR="00204311" w:rsidRPr="00204311" w:rsidRDefault="00204311" w:rsidP="00204311"/>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ECC83EA" w:rsidR="00A11CCF" w:rsidRPr="00C70389" w:rsidRDefault="00A11CCF" w:rsidP="00A11CCF">
      <w:pPr>
        <w:pStyle w:val="Heading2"/>
        <w:rPr>
          <w:rFonts w:ascii="Arial" w:hAnsi="Arial" w:cs="Arial"/>
          <w:color w:val="auto"/>
        </w:rPr>
      </w:pPr>
      <w:r w:rsidRPr="00C70389">
        <w:rPr>
          <w:rFonts w:ascii="Arial" w:hAnsi="Arial" w:cs="Arial"/>
          <w:color w:val="auto"/>
        </w:rPr>
        <w:t>2.</w:t>
      </w:r>
      <w:r w:rsidR="00CD29BE">
        <w:rPr>
          <w:rFonts w:ascii="Arial" w:hAnsi="Arial" w:cs="Arial"/>
          <w:color w:val="auto"/>
        </w:rPr>
        <w:t>4</w:t>
      </w:r>
      <w:r w:rsidRPr="00C70389">
        <w:rPr>
          <w:rFonts w:ascii="Arial" w:hAnsi="Arial" w:cs="Arial"/>
          <w:color w:val="auto"/>
        </w:rPr>
        <w:t xml:space="preserve">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68FF302D" w:rsidR="00A11CCF" w:rsidRPr="00A11CCF" w:rsidRDefault="00CF3242" w:rsidP="00A11CCF">
      <w:pPr>
        <w:pStyle w:val="Heading2"/>
      </w:pPr>
      <w:r>
        <w:t>4</w:t>
      </w:r>
      <w:r w:rsidR="00A11CCF">
        <w:t>.4 Exploratory Data Analysis</w:t>
      </w:r>
    </w:p>
    <w:p w14:paraId="4B93985C" w14:textId="6C2796E4" w:rsidR="00150333" w:rsidRDefault="00CF3242" w:rsidP="00150333">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Results</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34791AB7" w:rsidR="00F26157" w:rsidRDefault="00EC7FD8" w:rsidP="00150333">
      <w:pPr>
        <w:pStyle w:val="Heading1"/>
      </w:pPr>
      <w:bookmarkStart w:id="6" w:name="_11._BIBLIOGRAPHY"/>
      <w:bookmarkEnd w:id="6"/>
      <w:r>
        <w:t>9</w:t>
      </w:r>
      <w:r w:rsidR="00F26157"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354EA5E2" w:rsidR="00FA38B2" w:rsidRPr="00BB0D57" w:rsidRDefault="00FA38B2" w:rsidP="00CF3242">
      <w:pPr>
        <w:pStyle w:val="Heading3"/>
        <w:rPr>
          <w:rStyle w:val="IntenseEmphasis"/>
          <w:b w:val="0"/>
          <w:bCs w:val="0"/>
        </w:rPr>
      </w:pPr>
      <w:bookmarkStart w:id="7" w:name="_[1]_International_Energy"/>
      <w:bookmarkEnd w:id="7"/>
      <w:r w:rsidRPr="00CF3242">
        <w:rPr>
          <w:rStyle w:val="IntenseEmphasis"/>
          <w:b w:val="0"/>
          <w:bCs w:val="0"/>
          <w:i w:val="0"/>
          <w:iCs w:val="0"/>
        </w:rPr>
        <w:lastRenderedPageBreak/>
        <w:t>[1] International Energy Agency (IEA)</w:t>
      </w:r>
      <w:r w:rsidR="00BB0D57">
        <w:rPr>
          <w:rStyle w:val="IntenseEmphasis"/>
          <w:b w:val="0"/>
          <w:bCs w:val="0"/>
          <w:i w:val="0"/>
          <w:iCs w:val="0"/>
        </w:rPr>
        <w:t>,</w:t>
      </w:r>
      <w:r w:rsidRPr="00CF3242">
        <w:rPr>
          <w:rStyle w:val="IntenseEmphasis"/>
          <w:b w:val="0"/>
          <w:bCs w:val="0"/>
          <w:i w:val="0"/>
          <w:iCs w:val="0"/>
        </w:rPr>
        <w:t xml:space="preserve"> (2010) </w:t>
      </w:r>
      <w:r w:rsidRPr="00BB0D57">
        <w:rPr>
          <w:rStyle w:val="IntenseEmphasis"/>
          <w:b w:val="0"/>
          <w:bCs w:val="0"/>
        </w:rPr>
        <w:t xml:space="preserve">Energy Access: How to make mod-ern energy access universal. </w:t>
      </w:r>
    </w:p>
    <w:p w14:paraId="11E821C9" w14:textId="06814CC0" w:rsidR="00F26157" w:rsidRPr="00CF3242" w:rsidRDefault="00F26157" w:rsidP="00CF3242">
      <w:pPr>
        <w:pStyle w:val="Heading3"/>
        <w:rPr>
          <w:rStyle w:val="IntenseEmphasis"/>
          <w:b w:val="0"/>
          <w:bCs w:val="0"/>
          <w:i w:val="0"/>
          <w:iCs w:val="0"/>
        </w:rPr>
      </w:pPr>
      <w:bookmarkStart w:id="8" w:name="_[2]_Increasing_Rural"/>
      <w:bookmarkEnd w:id="8"/>
      <w:r w:rsidRPr="00CF3242">
        <w:rPr>
          <w:rStyle w:val="IntenseEmphasis"/>
          <w:b w:val="0"/>
          <w:bCs w:val="0"/>
          <w:i w:val="0"/>
          <w:iCs w:val="0"/>
        </w:rPr>
        <w:t>[</w:t>
      </w:r>
      <w:r w:rsidR="00FA38B2" w:rsidRPr="00CF3242">
        <w:rPr>
          <w:rStyle w:val="IntenseEmphasis"/>
          <w:b w:val="0"/>
          <w:bCs w:val="0"/>
          <w:i w:val="0"/>
          <w:iCs w:val="0"/>
        </w:rPr>
        <w:t>2</w:t>
      </w:r>
      <w:r w:rsidRPr="00CF3242">
        <w:rPr>
          <w:rStyle w:val="IntenseEmphasis"/>
          <w:b w:val="0"/>
          <w:bCs w:val="0"/>
          <w:i w:val="0"/>
          <w:iCs w:val="0"/>
        </w:rPr>
        <w:t xml:space="preserve">] </w:t>
      </w:r>
      <w:r w:rsidR="00BB0D57">
        <w:rPr>
          <w:rStyle w:val="IntenseEmphasis"/>
          <w:b w:val="0"/>
          <w:bCs w:val="0"/>
          <w:i w:val="0"/>
          <w:iCs w:val="0"/>
        </w:rPr>
        <w:t xml:space="preserve">Knowledge Note of CIF Climate Investment Fund, (2014), </w:t>
      </w:r>
      <w:r w:rsidR="00FA38B2" w:rsidRPr="00BB0D57">
        <w:rPr>
          <w:rStyle w:val="IntenseEmphasis"/>
          <w:b w:val="0"/>
          <w:bCs w:val="0"/>
        </w:rPr>
        <w:t>Increasing Rural Energy Access through Mini-Grids</w:t>
      </w:r>
    </w:p>
    <w:p w14:paraId="437B0AA7" w14:textId="66893A8F" w:rsidR="00CF3242" w:rsidRDefault="00CF3242" w:rsidP="00BB0D57">
      <w:pPr>
        <w:pStyle w:val="Heading3"/>
      </w:pPr>
      <w:bookmarkStart w:id="9" w:name="_[3]_Subhes_C."/>
      <w:bookmarkEnd w:id="9"/>
      <w:r>
        <w:t xml:space="preserve">[3] </w:t>
      </w:r>
      <w:proofErr w:type="spellStart"/>
      <w:r w:rsidRPr="00CF3242">
        <w:t>Subhes</w:t>
      </w:r>
      <w:proofErr w:type="spellEnd"/>
      <w:r w:rsidRPr="00CF3242">
        <w:t xml:space="preserve"> C. Bhattacharyya</w:t>
      </w:r>
      <w:r>
        <w:t xml:space="preserve"> (2012), </w:t>
      </w:r>
      <w:r w:rsidRPr="00BB0D57">
        <w:rPr>
          <w:i/>
          <w:iCs/>
        </w:rPr>
        <w:t xml:space="preserve">Energy access </w:t>
      </w:r>
      <w:proofErr w:type="spellStart"/>
      <w:r w:rsidRPr="00BB0D57">
        <w:rPr>
          <w:i/>
          <w:iCs/>
        </w:rPr>
        <w:t>programmes</w:t>
      </w:r>
      <w:proofErr w:type="spellEnd"/>
      <w:r w:rsidRPr="00BB0D57">
        <w:rPr>
          <w:i/>
          <w:iCs/>
        </w:rPr>
        <w:t xml:space="preserve"> and sustainable development: A critical review and </w:t>
      </w:r>
      <w:proofErr w:type="gramStart"/>
      <w:r w:rsidRPr="00BB0D57">
        <w:rPr>
          <w:i/>
          <w:iCs/>
        </w:rPr>
        <w:t>analysis</w:t>
      </w:r>
      <w:r>
        <w:t xml:space="preserve">,  </w:t>
      </w:r>
      <w:r w:rsidR="00BB0D57">
        <w:t>Energy</w:t>
      </w:r>
      <w:proofErr w:type="gramEnd"/>
      <w:r w:rsidR="00BB0D57">
        <w:t xml:space="preserve"> for Sustainable Development Volume 16, Issue 3, September 2012, Pages 260-271</w:t>
      </w:r>
    </w:p>
    <w:p w14:paraId="7AF6BAA9" w14:textId="6E87F71B" w:rsidR="00C24EE4" w:rsidRDefault="00C24EE4" w:rsidP="00C24EE4">
      <w:pPr>
        <w:pStyle w:val="Heading3"/>
      </w:pPr>
      <w:bookmarkStart w:id="10" w:name="_[4]_SEforALL_and"/>
      <w:bookmarkEnd w:id="10"/>
      <w:r>
        <w:t xml:space="preserve">[4] </w:t>
      </w:r>
      <w:proofErr w:type="spellStart"/>
      <w:r>
        <w:t>SEforALL</w:t>
      </w:r>
      <w:proofErr w:type="spellEnd"/>
      <w:r>
        <w:t xml:space="preserve"> and Climate Policy Initiative (2019), Energizing Finance: Understanding the Landscape, Research Report</w:t>
      </w:r>
    </w:p>
    <w:p w14:paraId="4BC887C0" w14:textId="455C59ED" w:rsidR="00AE16C4" w:rsidRPr="00AE16C4" w:rsidRDefault="00AE16C4" w:rsidP="00AE16C4">
      <w:pPr>
        <w:pStyle w:val="Heading3"/>
      </w:pPr>
      <w:bookmarkStart w:id="11" w:name="_[5]_Saeid_Charani"/>
      <w:bookmarkEnd w:id="11"/>
      <w:r w:rsidRPr="00AE16C4">
        <w:t xml:space="preserve">[5] Saeid Charani </w:t>
      </w:r>
      <w:proofErr w:type="spellStart"/>
      <w:r w:rsidRPr="00AE16C4">
        <w:t>Shandiz</w:t>
      </w:r>
      <w:proofErr w:type="spellEnd"/>
      <w:r w:rsidRPr="00AE16C4">
        <w:t xml:space="preserve">, Greg </w:t>
      </w:r>
      <w:proofErr w:type="spellStart"/>
      <w:r w:rsidRPr="00AE16C4">
        <w:t>Foliente</w:t>
      </w:r>
      <w:proofErr w:type="spellEnd"/>
      <w:r w:rsidRPr="00AE16C4">
        <w:t xml:space="preserve">, Behzad </w:t>
      </w:r>
      <w:proofErr w:type="spellStart"/>
      <w:r w:rsidRPr="00AE16C4">
        <w:t>Rismanchi</w:t>
      </w:r>
      <w:proofErr w:type="spellEnd"/>
      <w:r w:rsidRPr="00AE16C4">
        <w:t>, Amanda Wachtel, Robert F. Jeffers</w:t>
      </w:r>
      <w:r>
        <w:t xml:space="preserve"> (2020)</w:t>
      </w:r>
      <w:r w:rsidRPr="00AE16C4">
        <w:t>,</w:t>
      </w:r>
      <w:r w:rsidRPr="00AE16C4">
        <w:rPr>
          <w:i/>
          <w:iCs/>
        </w:rPr>
        <w:t xml:space="preserve"> Resilience framework and metrics for energy master planning of communities</w:t>
      </w:r>
      <w:r w:rsidRPr="00AE16C4">
        <w:t>,</w:t>
      </w:r>
      <w:r>
        <w:t xml:space="preserve"> </w:t>
      </w:r>
      <w:r w:rsidRPr="00AE16C4">
        <w:t>Energy,</w:t>
      </w:r>
      <w:r>
        <w:t xml:space="preserve"> </w:t>
      </w:r>
      <w:r w:rsidRPr="00AE16C4">
        <w:t>Volume 203</w:t>
      </w:r>
    </w:p>
    <w:p w14:paraId="608EA0CC" w14:textId="26B8EBFF" w:rsidR="00150333" w:rsidRDefault="00284D5D" w:rsidP="00267264">
      <w:pPr>
        <w:pStyle w:val="Heading3"/>
      </w:pPr>
      <w:bookmarkStart w:id="12" w:name="_[6]_Hollnagel_et"/>
      <w:bookmarkEnd w:id="12"/>
      <w:r>
        <w:t xml:space="preserve">[6] </w:t>
      </w:r>
      <w:r w:rsidRPr="008957E2">
        <w:t xml:space="preserve">Hollnagel et al., </w:t>
      </w:r>
      <w:r>
        <w:t>(</w:t>
      </w:r>
      <w:r w:rsidRPr="008957E2">
        <w:t>2006</w:t>
      </w:r>
      <w:r w:rsidRPr="00284D5D">
        <w:t>), Resilience Engineering Concepts and Precepts</w:t>
      </w:r>
      <w:r>
        <w:t>, Ashgate Edition</w:t>
      </w:r>
    </w:p>
    <w:p w14:paraId="376E5988" w14:textId="0AD0139E" w:rsidR="0013436B" w:rsidRPr="0013436B" w:rsidRDefault="0013436B" w:rsidP="0013436B">
      <w:pPr>
        <w:pStyle w:val="Heading3"/>
      </w:pPr>
      <w:bookmarkStart w:id="13" w:name="_[7]_M._Bazilian,"/>
      <w:bookmarkEnd w:id="13"/>
      <w:r w:rsidRPr="0013436B">
        <w:t xml:space="preserve">[7] M. </w:t>
      </w:r>
      <w:proofErr w:type="spellStart"/>
      <w:r w:rsidRPr="0013436B">
        <w:t>Bazilian</w:t>
      </w:r>
      <w:proofErr w:type="spellEnd"/>
      <w:r w:rsidRPr="0013436B">
        <w:t>, P. Nussbaumer &amp; al., (2011),</w:t>
      </w:r>
      <w:r>
        <w:t xml:space="preserve"> </w:t>
      </w:r>
      <w:r w:rsidRPr="0013436B">
        <w:t>Energy Access Scenarios to 2030 for the Power Sector in Sub-Saharan Africa</w:t>
      </w:r>
      <w:r>
        <w:t xml:space="preserve">, Fondazione Eni Enrico Mattei </w:t>
      </w:r>
      <w:r w:rsidRPr="0013436B">
        <w:t>FEEM Working Paper No. 68.2011</w:t>
      </w:r>
    </w:p>
    <w:p w14:paraId="6CD162F3" w14:textId="53CCE479" w:rsidR="00150333" w:rsidRPr="0013436B" w:rsidRDefault="00E24ADF" w:rsidP="00E24ADF">
      <w:pPr>
        <w:pStyle w:val="Heading3"/>
      </w:pPr>
      <w:bookmarkStart w:id="14" w:name="_[8]_Anton_Eberhard,"/>
      <w:bookmarkEnd w:id="14"/>
      <w:r>
        <w:t>[8] Anton Eberhard, Katharine Gratwick, Elvira Morella, Pedro</w:t>
      </w:r>
      <w:proofErr w:type="gramStart"/>
      <w:r>
        <w:t xml:space="preserve">   (</w:t>
      </w:r>
      <w:proofErr w:type="gramEnd"/>
      <w:r>
        <w:t xml:space="preserve">2017), </w:t>
      </w:r>
      <w:r w:rsidRPr="00E24ADF">
        <w:rPr>
          <w:i/>
          <w:iCs/>
        </w:rPr>
        <w:t>Independent Power Projects in Sub-Saharan Africa: Investment trends and policy lessons,</w:t>
      </w:r>
      <w:r>
        <w:t xml:space="preserve"> Energy Policy, Volume 108, Pages 390-424</w:t>
      </w:r>
    </w:p>
    <w:sectPr w:rsidR="00150333" w:rsidRPr="0013436B" w:rsidSect="006724D1">
      <w:footerReference w:type="default" r:id="rId22"/>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BC122" w14:textId="77777777" w:rsidR="006724D1" w:rsidRPr="000449E0" w:rsidRDefault="006724D1" w:rsidP="007E433F">
      <w:pPr>
        <w:spacing w:after="0" w:line="240" w:lineRule="auto"/>
      </w:pPr>
      <w:r w:rsidRPr="000449E0">
        <w:separator/>
      </w:r>
    </w:p>
  </w:endnote>
  <w:endnote w:type="continuationSeparator" w:id="0">
    <w:p w14:paraId="7EBF9932" w14:textId="77777777" w:rsidR="006724D1" w:rsidRPr="000449E0" w:rsidRDefault="006724D1"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93E2" w14:textId="77777777" w:rsidR="006724D1" w:rsidRPr="000449E0" w:rsidRDefault="006724D1" w:rsidP="007E433F">
      <w:pPr>
        <w:spacing w:after="0" w:line="240" w:lineRule="auto"/>
      </w:pPr>
      <w:r w:rsidRPr="000449E0">
        <w:separator/>
      </w:r>
    </w:p>
  </w:footnote>
  <w:footnote w:type="continuationSeparator" w:id="0">
    <w:p w14:paraId="6BFBFDA0" w14:textId="77777777" w:rsidR="006724D1" w:rsidRPr="000449E0" w:rsidRDefault="006724D1"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3"/>
  </w:num>
  <w:num w:numId="3" w16cid:durableId="1935742350">
    <w:abstractNumId w:val="0"/>
  </w:num>
  <w:num w:numId="4" w16cid:durableId="88174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276B"/>
    <w:rsid w:val="000449E0"/>
    <w:rsid w:val="00052835"/>
    <w:rsid w:val="000A1E9D"/>
    <w:rsid w:val="000A5CEB"/>
    <w:rsid w:val="000D6432"/>
    <w:rsid w:val="001166A3"/>
    <w:rsid w:val="00122BC9"/>
    <w:rsid w:val="0013436B"/>
    <w:rsid w:val="00150333"/>
    <w:rsid w:val="001646E0"/>
    <w:rsid w:val="00174858"/>
    <w:rsid w:val="00190FD2"/>
    <w:rsid w:val="001B4B68"/>
    <w:rsid w:val="00204311"/>
    <w:rsid w:val="00267264"/>
    <w:rsid w:val="00275145"/>
    <w:rsid w:val="00284D5D"/>
    <w:rsid w:val="00307677"/>
    <w:rsid w:val="00320712"/>
    <w:rsid w:val="0034376F"/>
    <w:rsid w:val="00383AB0"/>
    <w:rsid w:val="00420D19"/>
    <w:rsid w:val="00461EC0"/>
    <w:rsid w:val="004B35A8"/>
    <w:rsid w:val="004B417A"/>
    <w:rsid w:val="004F445B"/>
    <w:rsid w:val="0053502D"/>
    <w:rsid w:val="006166A9"/>
    <w:rsid w:val="00616D89"/>
    <w:rsid w:val="0065365F"/>
    <w:rsid w:val="00666C3A"/>
    <w:rsid w:val="006724D1"/>
    <w:rsid w:val="006C04C9"/>
    <w:rsid w:val="006C1D4D"/>
    <w:rsid w:val="006E43E5"/>
    <w:rsid w:val="00760959"/>
    <w:rsid w:val="007A7142"/>
    <w:rsid w:val="007C36AB"/>
    <w:rsid w:val="007E433F"/>
    <w:rsid w:val="007F52F7"/>
    <w:rsid w:val="0087504D"/>
    <w:rsid w:val="00890D67"/>
    <w:rsid w:val="008957E2"/>
    <w:rsid w:val="008B41DB"/>
    <w:rsid w:val="008E0CB7"/>
    <w:rsid w:val="009619DA"/>
    <w:rsid w:val="009704DC"/>
    <w:rsid w:val="00A11CCF"/>
    <w:rsid w:val="00A164E3"/>
    <w:rsid w:val="00A16D5D"/>
    <w:rsid w:val="00A215D5"/>
    <w:rsid w:val="00A84D85"/>
    <w:rsid w:val="00AE16C4"/>
    <w:rsid w:val="00B17584"/>
    <w:rsid w:val="00BA394D"/>
    <w:rsid w:val="00BB0D57"/>
    <w:rsid w:val="00BB3698"/>
    <w:rsid w:val="00BB3BF9"/>
    <w:rsid w:val="00BE352F"/>
    <w:rsid w:val="00BF3AE7"/>
    <w:rsid w:val="00C02045"/>
    <w:rsid w:val="00C060D4"/>
    <w:rsid w:val="00C24EE4"/>
    <w:rsid w:val="00C70389"/>
    <w:rsid w:val="00CD29BE"/>
    <w:rsid w:val="00CF0D32"/>
    <w:rsid w:val="00CF3242"/>
    <w:rsid w:val="00D1335B"/>
    <w:rsid w:val="00D140ED"/>
    <w:rsid w:val="00D25073"/>
    <w:rsid w:val="00D568A5"/>
    <w:rsid w:val="00D83D10"/>
    <w:rsid w:val="00E24ADF"/>
    <w:rsid w:val="00E75AD7"/>
    <w:rsid w:val="00E76C48"/>
    <w:rsid w:val="00EC7FD8"/>
    <w:rsid w:val="00F11A3F"/>
    <w:rsid w:val="00F160F9"/>
    <w:rsid w:val="00F26157"/>
    <w:rsid w:val="00F41273"/>
    <w:rsid w:val="00F44615"/>
    <w:rsid w:val="00F523CB"/>
    <w:rsid w:val="00FA38B2"/>
    <w:rsid w:val="00FE03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 w:type="character" w:styleId="PlaceholderText">
    <w:name w:val="Placeholder Text"/>
    <w:basedOn w:val="DefaultParagraphFont"/>
    <w:uiPriority w:val="99"/>
    <w:semiHidden/>
    <w:rsid w:val="004B35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8840">
      <w:bodyDiv w:val="1"/>
      <w:marLeft w:val="0"/>
      <w:marRight w:val="0"/>
      <w:marTop w:val="0"/>
      <w:marBottom w:val="0"/>
      <w:divBdr>
        <w:top w:val="none" w:sz="0" w:space="0" w:color="auto"/>
        <w:left w:val="none" w:sz="0" w:space="0" w:color="auto"/>
        <w:bottom w:val="none" w:sz="0" w:space="0" w:color="auto"/>
        <w:right w:val="none" w:sz="0" w:space="0" w:color="auto"/>
      </w:divBdr>
    </w:div>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Microsoft_Word_97_-_2003_Document.doc"/><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26</Pages>
  <Words>5894</Words>
  <Characters>33602</Characters>
  <Application>Microsoft Office Word</Application>
  <DocSecurity>0</DocSecurity>
  <Lines>280</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39418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29</cp:revision>
  <dcterms:created xsi:type="dcterms:W3CDTF">2018-08-09T12:18:00Z</dcterms:created>
  <dcterms:modified xsi:type="dcterms:W3CDTF">2024-04-02T01:45:00Z</dcterms:modified>
</cp:coreProperties>
</file>