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84" w:rsidRDefault="00703C84" w:rsidP="00703C84"/>
    <w:p w:rsidR="00703C84" w:rsidRDefault="00703C84" w:rsidP="00703C84"/>
    <w:p w:rsidR="00703C84" w:rsidRPr="005A0D05" w:rsidRDefault="00703C84" w:rsidP="00703C84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Mathématiques</w:t>
      </w:r>
    </w:p>
    <w:p w:rsidR="00703C84" w:rsidRPr="00C65E5E" w:rsidRDefault="00703C84" w:rsidP="00703C84">
      <w:pPr>
        <w:tabs>
          <w:tab w:val="right" w:pos="9540"/>
        </w:tabs>
        <w:jc w:val="center"/>
        <w:rPr>
          <w:b/>
        </w:rPr>
      </w:pPr>
    </w:p>
    <w:p w:rsidR="00703C84" w:rsidRPr="005A0D05" w:rsidRDefault="00703C84" w:rsidP="00703C84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703C84" w:rsidRDefault="00703C84" w:rsidP="00703C84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703C84" w:rsidRDefault="00703C84" w:rsidP="00703C84">
      <w:pPr>
        <w:tabs>
          <w:tab w:val="right" w:pos="9540"/>
        </w:tabs>
        <w:jc w:val="center"/>
        <w:rPr>
          <w:b/>
        </w:rPr>
      </w:pPr>
    </w:p>
    <w:p w:rsidR="00703C84" w:rsidRDefault="00703C84" w:rsidP="00703C84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703C84" w:rsidRDefault="00703C84" w:rsidP="00703C84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703C84" w:rsidRDefault="00703C84" w:rsidP="00703C84">
      <w:pPr>
        <w:tabs>
          <w:tab w:val="right" w:pos="9540"/>
        </w:tabs>
        <w:jc w:val="center"/>
        <w:rPr>
          <w:i/>
        </w:rPr>
      </w:pPr>
    </w:p>
    <w:p w:rsidR="00703C84" w:rsidRDefault="00703C84" w:rsidP="00703C84">
      <w:pPr>
        <w:tabs>
          <w:tab w:val="right" w:pos="9540"/>
        </w:tabs>
      </w:pPr>
    </w:p>
    <w:p w:rsidR="00703C84" w:rsidRPr="004B7D0C" w:rsidRDefault="00703C84" w:rsidP="00703C84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4B7D0C">
        <w:rPr>
          <w:rFonts w:ascii="Comic Sans MS" w:hAnsi="Comic Sans MS"/>
          <w:b/>
          <w:u w:val="single"/>
        </w:rPr>
        <w:t>EXERCICE 1 :</w:t>
      </w:r>
    </w:p>
    <w:p w:rsidR="00703C84" w:rsidRDefault="00703C84" w:rsidP="00703C84">
      <w:pPr>
        <w:tabs>
          <w:tab w:val="right" w:pos="9540"/>
        </w:tabs>
      </w:pPr>
    </w:p>
    <w:p w:rsidR="00703C84" w:rsidRDefault="00703C84" w:rsidP="00703C84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 PDG d’une chaine de magasins effectue une enquête sur le montant des achats des clients.</w:t>
      </w:r>
    </w:p>
    <w:p w:rsidR="00703C84" w:rsidRDefault="00703C84" w:rsidP="00703C84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Pour cela, </w:t>
      </w:r>
      <w:r w:rsidRPr="004B7D0C">
        <w:rPr>
          <w:rFonts w:ascii="Comic Sans MS" w:hAnsi="Comic Sans MS"/>
          <w:sz w:val="22"/>
          <w:szCs w:val="22"/>
        </w:rPr>
        <w:t>il relève les paiements de 350 clients pas</w:t>
      </w:r>
      <w:r w:rsidR="00C55C9C">
        <w:rPr>
          <w:rFonts w:ascii="Comic Sans MS" w:hAnsi="Comic Sans MS"/>
          <w:sz w:val="22"/>
          <w:szCs w:val="22"/>
        </w:rPr>
        <w:t xml:space="preserve">sés aux caisses au cours d’une </w:t>
      </w:r>
      <w:r w:rsidRPr="004B7D0C">
        <w:rPr>
          <w:rFonts w:ascii="Comic Sans MS" w:hAnsi="Comic Sans MS"/>
          <w:sz w:val="22"/>
          <w:szCs w:val="22"/>
        </w:rPr>
        <w:t xml:space="preserve">heure. </w:t>
      </w:r>
      <w:r>
        <w:rPr>
          <w:rFonts w:ascii="Comic Sans MS" w:hAnsi="Comic Sans MS"/>
          <w:sz w:val="22"/>
          <w:szCs w:val="22"/>
        </w:rPr>
        <w:t xml:space="preserve">  </w:t>
      </w:r>
    </w:p>
    <w:p w:rsidR="00703C84" w:rsidRDefault="00703C84" w:rsidP="00703C84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703C84" w:rsidRPr="004B7D0C" w:rsidRDefault="00703C84" w:rsidP="00703C84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  <w:r w:rsidRPr="004B7D0C">
        <w:rPr>
          <w:rFonts w:ascii="Comic Sans MS" w:hAnsi="Comic Sans MS"/>
          <w:sz w:val="22"/>
          <w:szCs w:val="22"/>
        </w:rPr>
        <w:t>Le tableau ci-dessous donne la répartition des montants des achats en euros :</w:t>
      </w:r>
    </w:p>
    <w:p w:rsidR="00703C84" w:rsidRPr="004B7D0C" w:rsidRDefault="00703C84" w:rsidP="00703C84">
      <w:pPr>
        <w:rPr>
          <w:rFonts w:ascii="Comic Sans MS" w:hAnsi="Comic Sans MS"/>
          <w:sz w:val="22"/>
          <w:szCs w:val="22"/>
        </w:rPr>
      </w:pPr>
    </w:p>
    <w:tbl>
      <w:tblPr>
        <w:tblW w:w="1094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1080"/>
        <w:gridCol w:w="1080"/>
        <w:gridCol w:w="1260"/>
        <w:gridCol w:w="1260"/>
        <w:gridCol w:w="1260"/>
        <w:gridCol w:w="1372"/>
        <w:gridCol w:w="1108"/>
      </w:tblGrid>
      <w:tr w:rsidR="00703C84" w:rsidRPr="004B7D0C" w:rsidTr="006B367E">
        <w:trPr>
          <w:trHeight w:val="38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vertAlign w:val="subscript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Montants x</w:t>
            </w:r>
            <w:r w:rsidRPr="004B7D0C">
              <w:rPr>
                <w:rFonts w:ascii="Comic Sans MS" w:hAnsi="Comic Sans MS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[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0;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>2</w:t>
            </w:r>
            <w:r w:rsidRPr="004B7D0C">
              <w:rPr>
                <w:rFonts w:ascii="Comic Sans MS" w:hAnsi="Comic Sans MS"/>
                <w:sz w:val="22"/>
                <w:szCs w:val="22"/>
              </w:rPr>
              <w:t>0[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[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20;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>4</w:t>
            </w:r>
            <w:r w:rsidRPr="004B7D0C">
              <w:rPr>
                <w:rFonts w:ascii="Comic Sans MS" w:hAnsi="Comic Sans MS"/>
                <w:sz w:val="22"/>
                <w:szCs w:val="22"/>
              </w:rPr>
              <w:t>0[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[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40;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>6</w:t>
            </w:r>
            <w:r w:rsidRPr="004B7D0C">
              <w:rPr>
                <w:rFonts w:ascii="Comic Sans MS" w:hAnsi="Comic Sans MS"/>
                <w:sz w:val="22"/>
                <w:szCs w:val="22"/>
              </w:rPr>
              <w:t>0[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[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6</w:t>
            </w:r>
            <w:r w:rsidRPr="004B7D0C">
              <w:rPr>
                <w:rFonts w:ascii="Comic Sans MS" w:hAnsi="Comic Sans MS"/>
                <w:sz w:val="22"/>
                <w:szCs w:val="22"/>
              </w:rPr>
              <w:t>0</w:t>
            </w:r>
            <w:r>
              <w:rPr>
                <w:rFonts w:ascii="Comic Sans MS" w:hAnsi="Comic Sans MS"/>
                <w:sz w:val="22"/>
                <w:szCs w:val="22"/>
              </w:rPr>
              <w:t>;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>80</w:t>
            </w:r>
            <w:r w:rsidRPr="004B7D0C">
              <w:rPr>
                <w:rFonts w:ascii="Comic Sans MS" w:hAnsi="Comic Sans MS"/>
                <w:sz w:val="22"/>
                <w:szCs w:val="22"/>
              </w:rPr>
              <w:t>[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[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80</w:t>
            </w:r>
            <w:r w:rsidRPr="004B7D0C">
              <w:rPr>
                <w:rFonts w:ascii="Comic Sans MS" w:hAnsi="Comic Sans MS"/>
                <w:sz w:val="22"/>
                <w:szCs w:val="22"/>
              </w:rPr>
              <w:t>;</w:t>
            </w:r>
            <w:proofErr w:type="gramEnd"/>
            <w:r w:rsidRPr="004B7D0C">
              <w:rPr>
                <w:rFonts w:ascii="Comic Sans MS" w:hAnsi="Comic Sans MS"/>
                <w:sz w:val="22"/>
                <w:szCs w:val="22"/>
              </w:rPr>
              <w:t>100[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[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100;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>12</w:t>
            </w:r>
            <w:r w:rsidRPr="004B7D0C">
              <w:rPr>
                <w:rFonts w:ascii="Comic Sans MS" w:hAnsi="Comic Sans MS"/>
                <w:sz w:val="22"/>
                <w:szCs w:val="22"/>
              </w:rPr>
              <w:t>0[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[</w:t>
            </w:r>
            <w:proofErr w:type="gramStart"/>
            <w:r>
              <w:rPr>
                <w:rFonts w:ascii="Comic Sans MS" w:hAnsi="Comic Sans MS"/>
                <w:sz w:val="22"/>
                <w:szCs w:val="22"/>
              </w:rPr>
              <w:t>120;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>140</w:t>
            </w:r>
            <w:r w:rsidRPr="004B7D0C">
              <w:rPr>
                <w:rFonts w:ascii="Comic Sans MS" w:hAnsi="Comic Sans MS"/>
                <w:sz w:val="22"/>
                <w:szCs w:val="22"/>
              </w:rPr>
              <w:t>[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>
              <w:rPr>
                <w:rFonts w:ascii="Comic Sans MS" w:hAnsi="Comic Sans MS"/>
                <w:sz w:val="22"/>
                <w:szCs w:val="22"/>
              </w:rPr>
              <w:t>Plus de 14</w:t>
            </w:r>
            <w:r w:rsidRPr="004B7D0C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</w:tr>
      <w:tr w:rsidR="00703C84" w:rsidRPr="004B7D0C" w:rsidTr="006B367E">
        <w:trPr>
          <w:trHeight w:val="417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vertAlign w:val="subscript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Effectifs n</w:t>
            </w:r>
            <w:r w:rsidRPr="004B7D0C">
              <w:rPr>
                <w:rFonts w:ascii="Comic Sans MS" w:hAnsi="Comic Sans MS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110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40</w:t>
            </w:r>
          </w:p>
        </w:tc>
        <w:tc>
          <w:tcPr>
            <w:tcW w:w="13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1</w:t>
            </w: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3C84" w:rsidRPr="004B7D0C" w:rsidRDefault="00703C84" w:rsidP="006B367E">
            <w:pPr>
              <w:suppressAutoHyphens/>
              <w:snapToGrid w:val="0"/>
              <w:jc w:val="center"/>
              <w:rPr>
                <w:rFonts w:ascii="Comic Sans MS" w:hAnsi="Comic Sans MS"/>
                <w:sz w:val="22"/>
                <w:szCs w:val="22"/>
                <w:lang w:eastAsia="ar-SA"/>
              </w:rPr>
            </w:pPr>
            <w:r w:rsidRPr="004B7D0C">
              <w:rPr>
                <w:rFonts w:ascii="Comic Sans MS" w:hAnsi="Comic Sans MS"/>
                <w:sz w:val="22"/>
                <w:szCs w:val="22"/>
              </w:rPr>
              <w:t>2</w:t>
            </w:r>
          </w:p>
        </w:tc>
      </w:tr>
    </w:tbl>
    <w:p w:rsidR="00703C84" w:rsidRPr="004B7D0C" w:rsidRDefault="00703C84" w:rsidP="00703C84">
      <w:pPr>
        <w:rPr>
          <w:rFonts w:ascii="Comic Sans MS" w:hAnsi="Comic Sans MS"/>
          <w:sz w:val="22"/>
          <w:szCs w:val="22"/>
          <w:lang w:eastAsia="ar-SA"/>
        </w:rPr>
      </w:pPr>
    </w:p>
    <w:p w:rsidR="00C55C9C" w:rsidRDefault="00703C84" w:rsidP="00703C84">
      <w:pPr>
        <w:numPr>
          <w:ilvl w:val="0"/>
          <w:numId w:val="1"/>
        </w:numPr>
        <w:tabs>
          <w:tab w:val="left" w:pos="1065"/>
        </w:tabs>
        <w:suppressAutoHyphens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Dresser le tableau des </w:t>
      </w:r>
      <w:r w:rsidRPr="004B7D0C">
        <w:rPr>
          <w:rFonts w:ascii="Comic Sans MS" w:hAnsi="Comic Sans MS"/>
          <w:sz w:val="22"/>
          <w:szCs w:val="22"/>
        </w:rPr>
        <w:t>effectifs cumulés croissants</w:t>
      </w:r>
      <w:r>
        <w:rPr>
          <w:rFonts w:ascii="Comic Sans MS" w:hAnsi="Comic Sans MS"/>
          <w:sz w:val="22"/>
          <w:szCs w:val="22"/>
        </w:rPr>
        <w:t xml:space="preserve"> et des fréquences cumulées croissantes arrondies au millième.</w:t>
      </w:r>
      <w:r w:rsidRPr="004B7D0C">
        <w:rPr>
          <w:rFonts w:ascii="Comic Sans MS" w:hAnsi="Comic Sans MS"/>
          <w:sz w:val="22"/>
          <w:szCs w:val="22"/>
        </w:rPr>
        <w:t xml:space="preserve"> </w:t>
      </w:r>
    </w:p>
    <w:p w:rsidR="00C55C9C" w:rsidRDefault="00C55C9C" w:rsidP="00C55C9C">
      <w:pPr>
        <w:suppressAutoHyphens/>
        <w:ind w:left="1065"/>
        <w:rPr>
          <w:rFonts w:ascii="Comic Sans MS" w:hAnsi="Comic Sans MS"/>
          <w:sz w:val="22"/>
          <w:szCs w:val="22"/>
        </w:rPr>
      </w:pPr>
      <w:bookmarkStart w:id="0" w:name="_GoBack"/>
      <w:bookmarkEnd w:id="0"/>
    </w:p>
    <w:p w:rsidR="00703C84" w:rsidRDefault="00703C84" w:rsidP="00703C84">
      <w:pPr>
        <w:numPr>
          <w:ilvl w:val="0"/>
          <w:numId w:val="1"/>
        </w:numPr>
        <w:tabs>
          <w:tab w:val="left" w:pos="1065"/>
        </w:tabs>
        <w:suppressAutoHyphens/>
        <w:rPr>
          <w:rFonts w:ascii="Comic Sans MS" w:hAnsi="Comic Sans MS"/>
          <w:sz w:val="22"/>
          <w:szCs w:val="22"/>
        </w:rPr>
      </w:pPr>
      <w:r w:rsidRPr="004B7D0C">
        <w:rPr>
          <w:rFonts w:ascii="Comic Sans MS" w:hAnsi="Comic Sans MS"/>
          <w:sz w:val="22"/>
          <w:szCs w:val="22"/>
        </w:rPr>
        <w:t>Tracer le polygone des effectifs cumulés croissants (on convient de remplacer la dernière classe par une classe ayant la même amplitude que la classe adjacente).</w:t>
      </w:r>
      <w:r>
        <w:rPr>
          <w:rFonts w:ascii="Comic Sans MS" w:hAnsi="Comic Sans MS"/>
          <w:sz w:val="22"/>
          <w:szCs w:val="22"/>
        </w:rPr>
        <w:t xml:space="preserve"> Unités : 1cm pour 10 en abscisses et 1 cm pour 25 clients en ordonnées</w:t>
      </w:r>
    </w:p>
    <w:p w:rsidR="00703C84" w:rsidRDefault="00703C84" w:rsidP="00703C84">
      <w:pPr>
        <w:tabs>
          <w:tab w:val="left" w:pos="1065"/>
        </w:tabs>
        <w:suppressAutoHyphens/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numPr>
          <w:ilvl w:val="0"/>
          <w:numId w:val="1"/>
        </w:numPr>
        <w:tabs>
          <w:tab w:val="left" w:pos="1065"/>
        </w:tabs>
        <w:suppressAutoHyphens/>
        <w:rPr>
          <w:rFonts w:ascii="Comic Sans MS" w:hAnsi="Comic Sans MS"/>
          <w:sz w:val="22"/>
          <w:szCs w:val="22"/>
        </w:rPr>
      </w:pPr>
      <w:r w:rsidRPr="004B7D0C">
        <w:rPr>
          <w:rFonts w:ascii="Comic Sans MS" w:hAnsi="Comic Sans MS"/>
          <w:sz w:val="22"/>
          <w:szCs w:val="22"/>
        </w:rPr>
        <w:t>Déterminer graphiquement une valeur approchée de la médiane.</w:t>
      </w:r>
    </w:p>
    <w:p w:rsidR="00703C84" w:rsidRDefault="00703C84" w:rsidP="00703C84">
      <w:pPr>
        <w:suppressAutoHyphens/>
        <w:rPr>
          <w:rFonts w:ascii="Comic Sans MS" w:hAnsi="Comic Sans MS"/>
          <w:sz w:val="22"/>
          <w:szCs w:val="22"/>
        </w:rPr>
      </w:pPr>
    </w:p>
    <w:p w:rsidR="00703C84" w:rsidRPr="0033170A" w:rsidRDefault="00703C84" w:rsidP="00703C84">
      <w:pPr>
        <w:numPr>
          <w:ilvl w:val="0"/>
          <w:numId w:val="1"/>
        </w:numPr>
        <w:tabs>
          <w:tab w:val="left" w:pos="1065"/>
        </w:tabs>
        <w:suppressAutoHyphens/>
        <w:rPr>
          <w:rFonts w:ascii="Comic Sans MS" w:hAnsi="Comic Sans MS"/>
          <w:sz w:val="22"/>
          <w:szCs w:val="22"/>
        </w:rPr>
      </w:pPr>
      <w:r w:rsidRPr="004B7D0C">
        <w:rPr>
          <w:rFonts w:ascii="Comic Sans MS" w:hAnsi="Comic Sans MS"/>
          <w:sz w:val="22"/>
          <w:szCs w:val="22"/>
        </w:rPr>
        <w:t>Déterminer, par le calcul, une valeur approchée, arrondie à 10</w:t>
      </w:r>
      <w:r w:rsidRPr="004B7D0C">
        <w:rPr>
          <w:rFonts w:ascii="Comic Sans MS" w:hAnsi="Comic Sans MS"/>
          <w:sz w:val="22"/>
          <w:szCs w:val="22"/>
          <w:vertAlign w:val="superscript"/>
        </w:rPr>
        <w:t>-2</w:t>
      </w:r>
      <w:r w:rsidRPr="004B7D0C">
        <w:rPr>
          <w:rFonts w:ascii="Comic Sans MS" w:hAnsi="Comic Sans MS"/>
          <w:sz w:val="22"/>
          <w:szCs w:val="22"/>
        </w:rPr>
        <w:t xml:space="preserve"> près, de la médiane. </w:t>
      </w:r>
      <w:r w:rsidRPr="004B7D0C">
        <w:rPr>
          <w:rFonts w:ascii="Comic Sans MS" w:hAnsi="Comic Sans MS"/>
          <w:i/>
          <w:sz w:val="22"/>
          <w:szCs w:val="22"/>
        </w:rPr>
        <w:t>Le détail du raisonnement est demandé.</w:t>
      </w:r>
    </w:p>
    <w:p w:rsidR="00703C84" w:rsidRDefault="00703C84" w:rsidP="00703C84">
      <w:pPr>
        <w:suppressAutoHyphens/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numPr>
          <w:ilvl w:val="0"/>
          <w:numId w:val="1"/>
        </w:numPr>
        <w:tabs>
          <w:tab w:val="left" w:pos="1065"/>
        </w:tabs>
        <w:suppressAutoHyphens/>
        <w:rPr>
          <w:rFonts w:ascii="Comic Sans MS" w:hAnsi="Comic Sans MS"/>
          <w:sz w:val="22"/>
          <w:szCs w:val="22"/>
        </w:rPr>
      </w:pPr>
      <w:r w:rsidRPr="004B7D0C">
        <w:rPr>
          <w:rFonts w:ascii="Comic Sans MS" w:hAnsi="Comic Sans MS"/>
          <w:sz w:val="22"/>
          <w:szCs w:val="22"/>
        </w:rPr>
        <w:t>Déterminer, à l’unité près, le pourcentage d’achats d’u</w:t>
      </w:r>
      <w:r>
        <w:rPr>
          <w:rFonts w:ascii="Comic Sans MS" w:hAnsi="Comic Sans MS"/>
          <w:sz w:val="22"/>
          <w:szCs w:val="22"/>
        </w:rPr>
        <w:t>n montant est supérieur à 30 euros et strictement inférieur à 100</w:t>
      </w:r>
      <w:r w:rsidRPr="004B7D0C">
        <w:rPr>
          <w:rFonts w:ascii="Comic Sans MS" w:hAnsi="Comic Sans MS"/>
          <w:sz w:val="22"/>
          <w:szCs w:val="22"/>
        </w:rPr>
        <w:t xml:space="preserve"> euros.</w:t>
      </w:r>
    </w:p>
    <w:p w:rsidR="00703C84" w:rsidRDefault="00703C84" w:rsidP="00703C84">
      <w:pPr>
        <w:suppressAutoHyphens/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4B7D0C">
        <w:rPr>
          <w:rFonts w:ascii="Comic Sans MS" w:hAnsi="Comic Sans MS"/>
          <w:sz w:val="22"/>
          <w:szCs w:val="22"/>
        </w:rPr>
        <w:t>Déterminer la moyenne et l’écart type (à 10</w:t>
      </w:r>
      <w:r w:rsidRPr="004B7D0C">
        <w:rPr>
          <w:rFonts w:ascii="Comic Sans MS" w:hAnsi="Comic Sans MS"/>
          <w:sz w:val="22"/>
          <w:szCs w:val="22"/>
          <w:vertAlign w:val="superscript"/>
        </w:rPr>
        <w:t>-2</w:t>
      </w:r>
      <w:r w:rsidRPr="004B7D0C">
        <w:rPr>
          <w:rFonts w:ascii="Comic Sans MS" w:hAnsi="Comic Sans MS"/>
          <w:sz w:val="22"/>
          <w:szCs w:val="22"/>
        </w:rPr>
        <w:t xml:space="preserve"> près) de cette série statistique. </w:t>
      </w:r>
    </w:p>
    <w:p w:rsidR="00703C84" w:rsidRPr="004B7D0C" w:rsidRDefault="00703C84" w:rsidP="00703C84">
      <w:pPr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numPr>
          <w:ilvl w:val="0"/>
          <w:numId w:val="1"/>
        </w:numPr>
        <w:tabs>
          <w:tab w:val="left" w:pos="1065"/>
        </w:tabs>
        <w:suppressAutoHyphens/>
        <w:rPr>
          <w:rFonts w:ascii="Comic Sans MS" w:hAnsi="Comic Sans MS"/>
          <w:sz w:val="22"/>
          <w:szCs w:val="22"/>
        </w:rPr>
      </w:pPr>
      <w:r w:rsidRPr="004B7D0C">
        <w:rPr>
          <w:rFonts w:ascii="Comic Sans MS" w:hAnsi="Comic Sans MS"/>
          <w:sz w:val="22"/>
          <w:szCs w:val="22"/>
        </w:rPr>
        <w:t>Donner l’intervalle [</w:t>
      </w:r>
      <w:r w:rsidRPr="004B7D0C">
        <w:rPr>
          <w:rFonts w:ascii="Comic Sans MS" w:hAnsi="Comic Sans MS"/>
          <w:position w:val="-11"/>
          <w:sz w:val="22"/>
          <w:szCs w:val="22"/>
          <w:lang w:eastAsia="ar-SA"/>
        </w:rPr>
        <w:object w:dxaOrig="345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3.25pt" o:ole="" filled="t">
            <v:fill color2="black"/>
            <v:imagedata r:id="rId7" o:title=""/>
          </v:shape>
          <o:OLEObject Type="Embed" ProgID="Equation.3" ShapeID="_x0000_i1025" DrawAspect="Content" ObjectID="_1570545941" r:id="rId8"/>
        </w:object>
      </w:r>
      <w:r>
        <w:rPr>
          <w:rFonts w:ascii="Comic Sans MS" w:hAnsi="Comic Sans MS"/>
          <w:sz w:val="22"/>
          <w:szCs w:val="22"/>
          <w:lang w:eastAsia="ar-SA"/>
        </w:rPr>
        <w:t>puis estimer graphiquement le pourcentage de personnes dont le montant des achats est dans cet intervalle.</w:t>
      </w:r>
    </w:p>
    <w:p w:rsidR="00703C84" w:rsidRPr="004B7D0C" w:rsidRDefault="00703C84" w:rsidP="00703C84">
      <w:pPr>
        <w:tabs>
          <w:tab w:val="left" w:pos="1065"/>
        </w:tabs>
        <w:suppressAutoHyphens/>
        <w:ind w:left="705"/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tabs>
          <w:tab w:val="right" w:pos="9540"/>
        </w:tabs>
      </w:pPr>
    </w:p>
    <w:p w:rsidR="00703C84" w:rsidRDefault="00703C84" w:rsidP="00703C84">
      <w:pPr>
        <w:tabs>
          <w:tab w:val="right" w:pos="9540"/>
        </w:tabs>
      </w:pPr>
    </w:p>
    <w:p w:rsidR="00703C84" w:rsidRDefault="00703C84" w:rsidP="00703C84">
      <w:pPr>
        <w:tabs>
          <w:tab w:val="right" w:pos="9540"/>
        </w:tabs>
      </w:pPr>
    </w:p>
    <w:p w:rsidR="00703C84" w:rsidRDefault="00703C84" w:rsidP="00703C84">
      <w:pPr>
        <w:tabs>
          <w:tab w:val="right" w:pos="9540"/>
        </w:tabs>
      </w:pPr>
    </w:p>
    <w:p w:rsidR="00703C84" w:rsidRPr="008A35A4" w:rsidRDefault="00703C84" w:rsidP="00703C84"/>
    <w:p w:rsidR="00703C84" w:rsidRPr="008A35A4" w:rsidRDefault="00703C84" w:rsidP="00703C84"/>
    <w:p w:rsidR="00703C84" w:rsidRPr="008A35A4" w:rsidRDefault="00703C84" w:rsidP="00703C84"/>
    <w:p w:rsidR="00703C84" w:rsidRPr="008A35A4" w:rsidRDefault="00703C84" w:rsidP="00703C84"/>
    <w:p w:rsidR="00703C84" w:rsidRPr="004B7D0C" w:rsidRDefault="00703C84" w:rsidP="00703C84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Pr="004B7D0C">
        <w:rPr>
          <w:rFonts w:ascii="Comic Sans MS" w:hAnsi="Comic Sans MS"/>
          <w:b/>
          <w:u w:val="single"/>
        </w:rPr>
        <w:t> :</w:t>
      </w:r>
    </w:p>
    <w:p w:rsidR="00703C84" w:rsidRDefault="00703C84" w:rsidP="00703C84">
      <w:pPr>
        <w:rPr>
          <w:rFonts w:ascii="Comic Sans MS" w:hAnsi="Comic Sans MS"/>
          <w:sz w:val="20"/>
          <w:szCs w:val="20"/>
        </w:rPr>
      </w:pP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Etudier le signe des expressions suivantes</w:t>
      </w: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</w:p>
    <w:p w:rsidR="00703C84" w:rsidRPr="00703C84" w:rsidRDefault="00703C84" w:rsidP="00703C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1. </w:t>
      </w:r>
      <w:r w:rsidRPr="00703C84">
        <w:rPr>
          <w:rFonts w:ascii="Comic Sans MS" w:hAnsi="Comic Sans MS"/>
          <w:position w:val="-10"/>
          <w:sz w:val="22"/>
          <w:szCs w:val="22"/>
        </w:rPr>
        <w:object w:dxaOrig="2060" w:dyaOrig="360">
          <v:shape id="_x0000_i1026" type="#_x0000_t75" style="width:102.75pt;height:18pt" o:ole="">
            <v:imagedata r:id="rId9" o:title=""/>
          </v:shape>
          <o:OLEObject Type="Embed" ProgID="Equation.3" ShapeID="_x0000_i1026" DrawAspect="Content" ObjectID="_1570545942" r:id="rId10"/>
        </w:object>
      </w: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2. </w:t>
      </w:r>
      <w:r w:rsidRPr="00701FC5">
        <w:rPr>
          <w:position w:val="-10"/>
        </w:rPr>
        <w:object w:dxaOrig="3040" w:dyaOrig="360">
          <v:shape id="_x0000_i1027" type="#_x0000_t75" style="width:152.25pt;height:18pt" o:ole="">
            <v:imagedata r:id="rId11" o:title=""/>
          </v:shape>
          <o:OLEObject Type="Embed" ProgID="Equation.3" ShapeID="_x0000_i1027" DrawAspect="Content" ObjectID="_1570545943" r:id="rId12"/>
        </w:object>
      </w: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3. </w:t>
      </w:r>
      <w:r w:rsidRPr="00BA6E28">
        <w:rPr>
          <w:rFonts w:ascii="Comic Sans MS" w:hAnsi="Comic Sans MS"/>
          <w:position w:val="-24"/>
        </w:rPr>
        <w:object w:dxaOrig="2000" w:dyaOrig="660">
          <v:shape id="_x0000_i1028" type="#_x0000_t75" style="width:99.75pt;height:33pt" o:ole="">
            <v:imagedata r:id="rId13" o:title=""/>
          </v:shape>
          <o:OLEObject Type="Embed" ProgID="Equation.3" ShapeID="_x0000_i1028" DrawAspect="Content" ObjectID="_1570545944" r:id="rId14"/>
        </w:object>
      </w: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</w:p>
    <w:p w:rsidR="00703C84" w:rsidRDefault="00703C84" w:rsidP="00703C84">
      <w:pPr>
        <w:rPr>
          <w:rFonts w:ascii="Comic Sans MS" w:hAnsi="Comic Sans MS"/>
        </w:rPr>
      </w:pPr>
      <w:r>
        <w:rPr>
          <w:rFonts w:ascii="Comic Sans MS" w:hAnsi="Comic Sans MS"/>
          <w:sz w:val="22"/>
          <w:szCs w:val="22"/>
        </w:rPr>
        <w:t xml:space="preserve">4. </w:t>
      </w:r>
      <w:r w:rsidRPr="00701FC5">
        <w:rPr>
          <w:rFonts w:ascii="Comic Sans MS" w:hAnsi="Comic Sans MS"/>
          <w:position w:val="-24"/>
        </w:rPr>
        <w:object w:dxaOrig="2160" w:dyaOrig="620">
          <v:shape id="_x0000_i1029" type="#_x0000_t75" style="width:107.25pt;height:30.75pt" o:ole="">
            <v:imagedata r:id="rId15" o:title=""/>
          </v:shape>
          <o:OLEObject Type="Embed" ProgID="Equation.3" ShapeID="_x0000_i1029" DrawAspect="Content" ObjectID="_1570545945" r:id="rId16"/>
        </w:object>
      </w:r>
    </w:p>
    <w:p w:rsidR="00703C84" w:rsidRDefault="00703C84" w:rsidP="00703C84">
      <w:pPr>
        <w:rPr>
          <w:rFonts w:ascii="Comic Sans MS" w:hAnsi="Comic Sans MS"/>
        </w:rPr>
      </w:pPr>
    </w:p>
    <w:p w:rsidR="00703C84" w:rsidRDefault="00703C84" w:rsidP="00703C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</w:rPr>
        <w:t xml:space="preserve">5. </w:t>
      </w:r>
      <w:r w:rsidRPr="00701FC5">
        <w:rPr>
          <w:position w:val="-24"/>
        </w:rPr>
        <w:object w:dxaOrig="1920" w:dyaOrig="620">
          <v:shape id="_x0000_i1030" type="#_x0000_t75" style="width:96pt;height:30.75pt" o:ole="">
            <v:imagedata r:id="rId17" o:title=""/>
          </v:shape>
          <o:OLEObject Type="Embed" ProgID="Equation.3" ShapeID="_x0000_i1030" DrawAspect="Content" ObjectID="_1570545946" r:id="rId18"/>
        </w:object>
      </w:r>
    </w:p>
    <w:p w:rsidR="00703C84" w:rsidRPr="00703C84" w:rsidRDefault="00703C84" w:rsidP="00703C84">
      <w:pPr>
        <w:rPr>
          <w:rFonts w:ascii="Comic Sans MS" w:hAnsi="Comic Sans MS"/>
          <w:sz w:val="20"/>
          <w:szCs w:val="20"/>
        </w:rPr>
      </w:pPr>
    </w:p>
    <w:p w:rsidR="00703C84" w:rsidRDefault="00703C84" w:rsidP="00703C84">
      <w:pPr>
        <w:jc w:val="center"/>
      </w:pPr>
    </w:p>
    <w:p w:rsidR="00703C84" w:rsidRPr="008A35A4" w:rsidRDefault="00703C84" w:rsidP="00703C84">
      <w:pPr>
        <w:jc w:val="center"/>
      </w:pPr>
    </w:p>
    <w:p w:rsidR="00703C84" w:rsidRPr="00703C84" w:rsidRDefault="00703C84" w:rsidP="00703C84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703C84">
        <w:rPr>
          <w:rFonts w:ascii="Comic Sans MS" w:hAnsi="Comic Sans MS"/>
          <w:b/>
          <w:u w:val="single"/>
        </w:rPr>
        <w:t> :</w:t>
      </w:r>
    </w:p>
    <w:p w:rsidR="00703C84" w:rsidRPr="00703C84" w:rsidRDefault="00703C84" w:rsidP="00703C84"/>
    <w:p w:rsidR="00703C84" w:rsidRPr="00703C84" w:rsidRDefault="00703C84" w:rsidP="00703C84"/>
    <w:p w:rsidR="00703C84" w:rsidRDefault="00703C84" w:rsidP="00703C84">
      <w:pPr>
        <w:numPr>
          <w:ilvl w:val="0"/>
          <w:numId w:val="2"/>
        </w:numPr>
        <w:rPr>
          <w:rFonts w:ascii="Comic Sans MS" w:hAnsi="Comic Sans MS"/>
          <w:color w:val="000000"/>
          <w:sz w:val="22"/>
          <w:szCs w:val="22"/>
        </w:rPr>
      </w:pPr>
      <w:r w:rsidRPr="00703C84">
        <w:rPr>
          <w:rFonts w:ascii="Comic Sans MS" w:hAnsi="Comic Sans MS"/>
          <w:color w:val="000000"/>
          <w:sz w:val="22"/>
          <w:szCs w:val="22"/>
        </w:rPr>
        <w:t xml:space="preserve">Factoriser le polynôme suivant : </w:t>
      </w:r>
    </w:p>
    <w:p w:rsidR="00703C84" w:rsidRDefault="00703C84" w:rsidP="00703C84">
      <w:pPr>
        <w:ind w:left="540"/>
        <w:rPr>
          <w:rFonts w:ascii="Comic Sans MS" w:hAnsi="Comic Sans MS"/>
          <w:color w:val="000000"/>
          <w:sz w:val="22"/>
          <w:szCs w:val="22"/>
        </w:rPr>
      </w:pPr>
    </w:p>
    <w:p w:rsidR="00703C84" w:rsidRDefault="00703C84" w:rsidP="00703C84">
      <w:pPr>
        <w:ind w:left="540"/>
        <w:rPr>
          <w:rFonts w:ascii="Comic Sans MS" w:hAnsi="Comic Sans MS"/>
          <w:sz w:val="22"/>
          <w:szCs w:val="22"/>
        </w:rPr>
      </w:pPr>
      <w:r w:rsidRPr="00703C84">
        <w:rPr>
          <w:position w:val="-10"/>
        </w:rPr>
        <w:object w:dxaOrig="2760" w:dyaOrig="360">
          <v:shape id="_x0000_i1031" type="#_x0000_t75" style="width:138pt;height:18pt" o:ole="">
            <v:imagedata r:id="rId19" o:title=""/>
          </v:shape>
          <o:OLEObject Type="Embed" ProgID="Equation.3" ShapeID="_x0000_i1031" DrawAspect="Content" ObjectID="_1570545947" r:id="rId20"/>
        </w:object>
      </w:r>
    </w:p>
    <w:p w:rsidR="00703C84" w:rsidRPr="00703C84" w:rsidRDefault="00703C84" w:rsidP="00703C84">
      <w:pPr>
        <w:rPr>
          <w:rFonts w:ascii="Comic Sans MS" w:hAnsi="Comic Sans MS"/>
          <w:color w:val="000000"/>
          <w:sz w:val="22"/>
          <w:szCs w:val="22"/>
        </w:rPr>
      </w:pPr>
    </w:p>
    <w:p w:rsidR="00703C84" w:rsidRPr="00703C84" w:rsidRDefault="00703C84" w:rsidP="00703C84">
      <w:pPr>
        <w:numPr>
          <w:ilvl w:val="0"/>
          <w:numId w:val="2"/>
        </w:numPr>
        <w:rPr>
          <w:rFonts w:ascii="Comic Sans MS" w:hAnsi="Comic Sans MS"/>
          <w:color w:val="000000"/>
          <w:sz w:val="22"/>
          <w:szCs w:val="22"/>
        </w:rPr>
      </w:pPr>
      <w:r w:rsidRPr="00703C84">
        <w:rPr>
          <w:rFonts w:ascii="Comic Sans MS" w:hAnsi="Comic Sans MS"/>
          <w:color w:val="000000"/>
          <w:sz w:val="22"/>
          <w:szCs w:val="22"/>
        </w:rPr>
        <w:t xml:space="preserve">Etudier le signe de </w:t>
      </w:r>
      <w:r w:rsidRPr="00703C84">
        <w:rPr>
          <w:rFonts w:ascii="Comic Sans MS" w:hAnsi="Comic Sans MS"/>
          <w:position w:val="-10"/>
          <w:sz w:val="22"/>
          <w:szCs w:val="22"/>
        </w:rPr>
        <w:object w:dxaOrig="520" w:dyaOrig="320">
          <v:shape id="_x0000_i1032" type="#_x0000_t75" style="width:26.25pt;height:15.75pt" o:ole="">
            <v:imagedata r:id="rId21" o:title=""/>
          </v:shape>
          <o:OLEObject Type="Embed" ProgID="Equation.3" ShapeID="_x0000_i1032" DrawAspect="Content" ObjectID="_1570545948" r:id="rId22"/>
        </w:object>
      </w:r>
      <w:r w:rsidRPr="00703C84">
        <w:rPr>
          <w:rFonts w:ascii="Comic Sans MS" w:hAnsi="Comic Sans MS"/>
          <w:sz w:val="22"/>
          <w:szCs w:val="22"/>
        </w:rPr>
        <w:t xml:space="preserve"> et en déduire les solutions de</w:t>
      </w:r>
      <w:r>
        <w:t xml:space="preserve"> </w:t>
      </w:r>
      <w:r w:rsidRPr="00703C84">
        <w:rPr>
          <w:position w:val="-10"/>
        </w:rPr>
        <w:object w:dxaOrig="520" w:dyaOrig="320">
          <v:shape id="_x0000_i1033" type="#_x0000_t75" style="width:26.25pt;height:15.75pt" o:ole="">
            <v:imagedata r:id="rId23" o:title=""/>
          </v:shape>
          <o:OLEObject Type="Embed" ProgID="Equation.3" ShapeID="_x0000_i1033" DrawAspect="Content" ObjectID="_1570545949" r:id="rId24"/>
        </w:object>
      </w:r>
      <w:r w:rsidRPr="00703C84">
        <w:rPr>
          <w:rFonts w:ascii="Comic Sans MS" w:hAnsi="Comic Sans MS"/>
          <w:color w:val="000000"/>
          <w:sz w:val="22"/>
          <w:szCs w:val="22"/>
        </w:rPr>
        <w:t xml:space="preserve"> &gt; 0</w:t>
      </w:r>
      <w:r w:rsidRPr="00703C84">
        <w:rPr>
          <w:rFonts w:ascii="Comic Sans MS" w:hAnsi="Comic Sans MS"/>
          <w:color w:val="000000"/>
          <w:position w:val="-10"/>
          <w:sz w:val="22"/>
          <w:szCs w:val="22"/>
        </w:rPr>
        <w:object w:dxaOrig="180" w:dyaOrig="340">
          <v:shape id="_x0000_i1034" type="#_x0000_t75" style="width:9pt;height:17.25pt" o:ole="">
            <v:imagedata r:id="rId25" o:title=""/>
          </v:shape>
          <o:OLEObject Type="Embed" ProgID="Equation.3" ShapeID="_x0000_i1034" DrawAspect="Content" ObjectID="_1570545950" r:id="rId26"/>
        </w:object>
      </w:r>
    </w:p>
    <w:p w:rsidR="00BD4E8E" w:rsidRDefault="00BD4E8E"/>
    <w:sectPr w:rsidR="00BD4E8E" w:rsidSect="00C65E5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B21" w:rsidRDefault="00265B21" w:rsidP="00703C84">
      <w:r>
        <w:separator/>
      </w:r>
    </w:p>
  </w:endnote>
  <w:endnote w:type="continuationSeparator" w:id="0">
    <w:p w:rsidR="00265B21" w:rsidRDefault="00265B21" w:rsidP="0070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65B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65B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65B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B21" w:rsidRDefault="00265B21" w:rsidP="00703C84">
      <w:r>
        <w:separator/>
      </w:r>
    </w:p>
  </w:footnote>
  <w:footnote w:type="continuationSeparator" w:id="0">
    <w:p w:rsidR="00265B21" w:rsidRDefault="00265B21" w:rsidP="0070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65B2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452.95pt;height:226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5A0D05" w:rsidRDefault="00265B21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52.95pt;height:226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703C84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10A8">
      <w:tab/>
    </w:r>
    <w:r w:rsidR="004310A8" w:rsidRPr="005A0D05">
      <w:rPr>
        <w:rFonts w:ascii="Comic Sans MS" w:hAnsi="Comic Sans MS"/>
        <w:b/>
      </w:rPr>
      <w:t xml:space="preserve">Classe : </w:t>
    </w:r>
    <w:r w:rsidR="00703C84">
      <w:rPr>
        <w:rFonts w:ascii="Comic Sans MS" w:hAnsi="Comic Sans MS"/>
        <w:b/>
      </w:rPr>
      <w:t xml:space="preserve">TS 1 </w:t>
    </w:r>
  </w:p>
  <w:p w:rsidR="00C65E5E" w:rsidRPr="005A0D05" w:rsidRDefault="004310A8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703C84">
      <w:rPr>
        <w:rFonts w:ascii="Comic Sans MS" w:hAnsi="Comic Sans MS"/>
        <w:b/>
      </w:rPr>
      <w:t>6 Novembre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265B2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452.95pt;height:226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</w:lvl>
  </w:abstractNum>
  <w:abstractNum w:abstractNumId="1" w15:restartNumberingAfterBreak="0">
    <w:nsid w:val="1EED100E"/>
    <w:multiLevelType w:val="hybridMultilevel"/>
    <w:tmpl w:val="201086D2"/>
    <w:lvl w:ilvl="0" w:tplc="040C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7980D18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84"/>
    <w:rsid w:val="00265B21"/>
    <w:rsid w:val="004310A8"/>
    <w:rsid w:val="00703C84"/>
    <w:rsid w:val="00AC5B71"/>
    <w:rsid w:val="00BD4E8E"/>
    <w:rsid w:val="00C5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9164A1E"/>
  <w15:chartTrackingRefBased/>
  <w15:docId w15:val="{AC723806-08BF-4C45-BC48-FA634FB9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03C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03C8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703C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03C84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2</cp:revision>
  <dcterms:created xsi:type="dcterms:W3CDTF">2017-10-18T12:02:00Z</dcterms:created>
  <dcterms:modified xsi:type="dcterms:W3CDTF">2017-10-26T15:59:00Z</dcterms:modified>
</cp:coreProperties>
</file>