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A5F"/>
          <w:sz w:val="64"/>
          <w:szCs w:val="64"/>
        </w:rPr>
        <w:t xml:space="preserve">BIBLE DU PROJET</w:t>
      </w:r>
    </w:p>
    <w:p>
      <w:pPr>
        <w:spacing w:before="200"/>
        <w:jc w:val="center"/>
      </w:pPr>
      <w:r>
        <w:rPr>
          <w:b/>
          <w:bCs/>
          <w:color w:val="B8860B"/>
          <w:sz w:val="96"/>
          <w:szCs w:val="96"/>
        </w:rPr>
        <w:t xml:space="preserve">KORAYA</w:t>
      </w:r>
    </w:p>
    <w:p>
      <w:pPr>
        <w:spacing w:before="300"/>
        <w:jc w:val="center"/>
      </w:pPr>
      <w:r>
        <w:rPr>
          <w:i/>
          <w:iCs/>
          <w:color w:val="666666"/>
          <w:sz w:val="28"/>
          <w:szCs w:val="28"/>
        </w:rPr>
        <w:t xml:space="preserve">Plateforme SaaS modulaire de digitalisation des opérations internes</w:t>
      </w:r>
    </w:p>
    <w:p>
      <w:pPr>
        <w:spacing w:before="600"/>
        <w:jc w:val="center"/>
      </w:pPr>
      <w:r>
        <w:rPr>
          <w:sz w:val="24"/>
          <w:szCs w:val="24"/>
        </w:rPr>
        <w:t xml:space="preserve">MVP — Module Gestion du Parc Informatique (Asset Management)</w:t>
      </w:r>
    </w:p>
    <w:p>
      <w:pPr>
        <w:spacing w:before="800"/>
        <w:jc w:val="center"/>
      </w:pPr>
      <w:r>
        <w:rPr>
          <w:b/>
          <w:bCs/>
          <w:sz w:val="24"/>
          <w:szCs w:val="24"/>
        </w:rPr>
        <w:t xml:space="preserve">Version 1.0</w:t>
      </w:r>
    </w:p>
    <w:p>
      <w:pPr>
        <w:spacing w:before="100"/>
        <w:jc w:val="center"/>
      </w:pPr>
      <w:r>
        <w:rPr>
          <w:sz w:val="24"/>
          <w:szCs w:val="24"/>
        </w:rPr>
        <w:t xml:space="preserve">Septembre 2026</w:t>
      </w:r>
    </w:p>
    <w:p>
      <w:pPr>
        <w:spacing w:before="100"/>
        <w:jc w:val="center"/>
      </w:pPr>
      <w:r>
        <w:rPr>
          <w:i/>
          <w:iCs/>
          <w:color w:val="666666"/>
          <w:sz w:val="20"/>
          <w:szCs w:val="20"/>
        </w:rPr>
        <w:t xml:space="preserve">Refonte complète — remplace la Bible v2.0 (architecture multi-tenant, obsolète)</w:t>
      </w:r>
    </w:p>
    <w:p>
      <w:r>
        <w:br w:type="page"/>
      </w:r>
    </w:p>
    <w:p>
      <w:pPr>
        <w:pStyle w:val="Heading1"/>
        <w:pageBreakBefore/>
        <w:spacing w:after="200" w:before="400"/>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t xml:space="preserve">1. Vision produit</w:t>
      </w:r>
    </w:p>
    <w:p>
      <w:pPr>
        <w:spacing w:after="160"/>
      </w:pPr>
      <w:r>
        <w:t xml:space="preserve">Ce document constitue la bible technique et fonctionnelle du projet Koraya. Il consolide les décisions d'architecture, de modélisation et de roadmap actées après le pivot de septembre 2026, qui abandonne l'architecture multi-tenant initiale au profit d'une architecture mono-tenant, plus simple et alignée sur le mode de déploiement réel du groupe.</w:t>
      </w:r>
    </w:p>
    <w:p>
      <w:pPr>
        <w:pStyle w:val="Heading2"/>
        <w:spacing w:after="150" w:before="300"/>
      </w:pPr>
      <w:r>
        <w:t xml:space="preserve">1.1 Objectif global</w:t>
      </w:r>
    </w:p>
    <w:p>
      <w:pPr>
        <w:spacing w:after="160"/>
      </w:pPr>
      <w:r>
        <w:t xml:space="preserve">Construire une plateforme SaaS modulaire d'entreprise destinée à un usage interne, permettant de :</w:t>
      </w:r>
    </w:p>
    <w:p>
      <w:pPr>
        <w:pStyle w:val="ListParagraph"/>
        <w:numPr>
          <w:ilvl w:val="0"/>
          <w:numId w:val="1"/>
        </w:numPr>
        <w:spacing w:after="80"/>
      </w:pPr>
      <w:r>
        <w:t xml:space="preserve">Centraliser les opérations internes de l'entreprise</w:t>
      </w:r>
    </w:p>
    <w:p>
      <w:pPr>
        <w:pStyle w:val="ListParagraph"/>
        <w:numPr>
          <w:ilvl w:val="0"/>
          <w:numId w:val="1"/>
        </w:numPr>
        <w:spacing w:after="80"/>
      </w:pPr>
      <w:r>
        <w:t xml:space="preserve">Digitaliser les processus métiers historiquement gérés sur Excel ou papier</w:t>
      </w:r>
    </w:p>
    <w:p>
      <w:pPr>
        <w:pStyle w:val="ListParagraph"/>
        <w:numPr>
          <w:ilvl w:val="0"/>
          <w:numId w:val="1"/>
        </w:numPr>
        <w:spacing w:after="80"/>
      </w:pPr>
      <w:r>
        <w:t xml:space="preserve">Améliorer la traçabilité et la productivité des équipes</w:t>
      </w:r>
    </w:p>
    <w:p>
      <w:pPr>
        <w:pStyle w:val="ListParagraph"/>
        <w:numPr>
          <w:ilvl w:val="0"/>
          <w:numId w:val="1"/>
        </w:numPr>
        <w:spacing w:after="80"/>
      </w:pPr>
      <w:r>
        <w:t xml:space="preserve">Connecter à terme les services transverses (IT, RH, Logistique, Finance, QSE)</w:t>
      </w:r>
    </w:p>
    <w:p>
      <w:pPr>
        <w:pStyle w:val="Heading2"/>
        <w:spacing w:after="150" w:before="300"/>
      </w:pPr>
      <w:r>
        <w:t xml:space="preserve">1.2 Périmètre du MVP</w:t>
      </w:r>
    </w:p>
    <w:p>
      <w:pPr>
        <w:spacing w:after="160"/>
      </w:pPr>
      <w:r>
        <w:t xml:space="preserve">Le périmètre du MVP est centré sur le module Gestion du Parc Informatique (Asset Management), qui remplace le module Support Utilisateur comme première brique livrée. Le module Support (tickets) reste prévu, mais en second temps. Les autres modules (Stock, RH, GED, Missions) restent en roadmap lointaine.</w:t>
      </w:r>
    </w:p>
    <w:p>
      <w:pPr>
        <w:pStyle w:val="Heading2"/>
        <w:spacing w:after="150" w:before="300"/>
      </w:pPr>
      <w:r>
        <w:t xml:space="preserve">1.3 Positionnement stratégique</w:t>
      </w:r>
    </w:p>
    <w:p>
      <w:pPr>
        <w:spacing w:after="160"/>
      </w:pPr>
      <w:r>
        <w:t xml:space="preserve">Koraya n'est pas un simple outil d'inventaire. C'est une plateforme intégrée, conçue pour porter à terme l'ensemble des processus opérationnels internes, avec une architecture volontairement simplifiée : un client = un déploiement indépendant, sans complexité multi-tenant dans le code.</w:t>
      </w:r>
    </w:p>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shd w:fill="FFF8E7" w:val="clear"/>
            <w:tcMar>
              <w:top w:type="dxa" w:w="150"/>
              <w:left w:type="dxa" w:w="200"/>
              <w:bottom w:type="dxa" w:w="150"/>
              <w:right w:type="dxa" w:w="200"/>
            </w:tcMar>
          </w:tcPr>
          <w:p>
            <w:pPr>
              <w:spacing w:after="80"/>
            </w:pPr>
            <w:r>
              <w:rPr>
                <w:b/>
                <w:bCs/>
              </w:rPr>
              <w:t xml:space="preserve">🔄 Pourquoi ce pivot ?</w:t>
            </w:r>
          </w:p>
          <w:p>
            <w:r>
              <w:t xml:space="preserve">La v2.0 de la Bible portait une architecture multi-tenant (discriminator column, tenant_id, plan plateforme) pensée pour héberger plusieurs filiales dans une seule base de données. Ce choix ajoutait une complexité significative (isolation stricte à tester, risques de fuite de données entre tenants) pour un bénéfice qui ne correspond pas au mode de croissance réel envisagé : chaque client aura son propre déploiement Railway, avec sa propre base. L'isolation se fait donc au niveau infrastructure, pas au niveau code applicatif.</w:t>
            </w:r>
          </w:p>
        </w:tc>
      </w:tr>
    </w:tbl>
    <w:p>
      <w:pPr>
        <w:spacing w:after="200"/>
      </w:pPr>
    </w:p>
    <w:p>
      <w:pPr>
        <w:pStyle w:val="Heading1"/>
        <w:pageBreakBefore/>
        <w:spacing w:after="200" w:before="400"/>
      </w:pPr>
      <w:r>
        <w:t xml:space="preserve">2. Architecture générale</w:t>
      </w:r>
    </w:p>
    <w:p>
      <w:pPr>
        <w:pStyle w:val="Heading2"/>
        <w:spacing w:after="150" w:before="300"/>
      </w:pPr>
      <w:r>
        <w:t xml:space="preserve">2.1 Principe : un déploiement = un client</w:t>
      </w:r>
    </w:p>
    <w:p>
      <w:pPr>
        <w:spacing w:after="160"/>
      </w:pPr>
      <w:r>
        <w:t xml:space="preserve">Contrairement à la v2.0, Koraya n'implémente aucune notion de tenant dans le code. Chaque client du groupe (ou futur client externe) dispose de :</w:t>
      </w:r>
    </w:p>
    <w:p>
      <w:pPr>
        <w:pStyle w:val="ListParagraph"/>
        <w:numPr>
          <w:ilvl w:val="0"/>
          <w:numId w:val="1"/>
        </w:numPr>
        <w:spacing w:after="80"/>
      </w:pPr>
      <w:r>
        <w:t xml:space="preserve">Son propre déploiement Railway (backend + frontend)</w:t>
      </w:r>
    </w:p>
    <w:p>
      <w:pPr>
        <w:pStyle w:val="ListParagraph"/>
        <w:numPr>
          <w:ilvl w:val="0"/>
          <w:numId w:val="1"/>
        </w:numPr>
        <w:spacing w:after="80"/>
      </w:pPr>
      <w:r>
        <w:t xml:space="preserve">Sa propre base de données PostgreSQL</w:t>
      </w:r>
    </w:p>
    <w:p>
      <w:pPr>
        <w:pStyle w:val="ListParagraph"/>
        <w:numPr>
          <w:ilvl w:val="0"/>
          <w:numId w:val="1"/>
        </w:numPr>
        <w:spacing w:after="80"/>
      </w:pPr>
      <w:r>
        <w:t xml:space="preserve">Son propre nom de domaine / sous-domaine</w:t>
      </w:r>
    </w:p>
    <w:p>
      <w:pPr>
        <w:spacing w:after="160"/>
      </w:pPr>
      <w:r>
        <w:t xml:space="preserve">Cette approche élimine le risque n°1 identifié dans la Bible v2.0 (fuite de données entre filiales) et simplifie radicalement le code : plus de discriminator column, plus de tenant_id, plus de configuration Hibernate multi-tenant.</w:t>
      </w:r>
    </w:p>
    <w:p>
      <w:pPr>
        <w:pStyle w:val="Heading2"/>
        <w:spacing w:after="150" w:before="300"/>
      </w:pPr>
      <w:r>
        <w:t xml:space="preserve">2.2 Schéma d'architecture modulaire</w:t>
      </w:r>
    </w:p>
    <w:p>
      <w:pPr>
        <w:shd w:fill="F5F5F5" w:val="clear"/>
        <w:spacing w:after="0"/>
      </w:pPr>
      <w:r>
        <w:rPr>
          <w:rFonts w:ascii="Consolas" w:cs="Consolas" w:eastAsia="Consolas" w:hAnsi="Consolas"/>
          <w:sz w:val="18"/>
          <w:szCs w:val="18"/>
        </w:rPr>
        <w:t xml:space="preserve">Koraya (par déploiement client)</w:t>
      </w:r>
    </w:p>
    <w:p>
      <w:pPr>
        <w:shd w:fill="F5F5F5" w:val="clear"/>
        <w:spacing w:after="0"/>
      </w:pPr>
      <w:r>
        <w:rPr>
          <w:rFonts w:ascii="Consolas" w:cs="Consolas" w:eastAsia="Consolas" w:hAnsi="Consolas"/>
          <w:sz w:val="18"/>
          <w:szCs w:val="18"/>
        </w:rPr>
        <w:t xml:space="preserve">├── Core (socle applicatif)</w:t>
      </w:r>
    </w:p>
    <w:p>
      <w:pPr>
        <w:shd w:fill="F5F5F5" w:val="clear"/>
        <w:spacing w:after="0"/>
      </w:pPr>
      <w:r>
        <w:rPr>
          <w:rFonts w:ascii="Consolas" w:cs="Consolas" w:eastAsia="Consolas" w:hAnsi="Consolas"/>
          <w:sz w:val="18"/>
          <w:szCs w:val="18"/>
        </w:rPr>
        <w:t xml:space="preserve">│   ├── Authentification (email + password, BCrypt)</w:t>
      </w:r>
    </w:p>
    <w:p>
      <w:pPr>
        <w:shd w:fill="F5F5F5" w:val="clear"/>
        <w:spacing w:after="0"/>
      </w:pPr>
      <w:r>
        <w:rPr>
          <w:rFonts w:ascii="Consolas" w:cs="Consolas" w:eastAsia="Consolas" w:hAnsi="Consolas"/>
          <w:sz w:val="18"/>
          <w:szCs w:val="18"/>
        </w:rPr>
        <w:t xml:space="preserve">│   ├── Gestion des utilisateurs</w:t>
      </w:r>
    </w:p>
    <w:p>
      <w:pPr>
        <w:shd w:fill="F5F5F5" w:val="clear"/>
        <w:spacing w:after="0"/>
      </w:pPr>
      <w:r>
        <w:rPr>
          <w:rFonts w:ascii="Consolas" w:cs="Consolas" w:eastAsia="Consolas" w:hAnsi="Consolas"/>
          <w:sz w:val="18"/>
          <w:szCs w:val="18"/>
        </w:rPr>
        <w:t xml:space="preserve">│   ├── Rôles &amp; permissions</w:t>
      </w:r>
    </w:p>
    <w:p>
      <w:pPr>
        <w:shd w:fill="F5F5F5" w:val="clear"/>
        <w:spacing w:after="0"/>
      </w:pPr>
      <w:r>
        <w:rPr>
          <w:rFonts w:ascii="Consolas" w:cs="Consolas" w:eastAsia="Consolas" w:hAnsi="Consolas"/>
          <w:sz w:val="18"/>
          <w:szCs w:val="18"/>
        </w:rPr>
        <w:t xml:space="preserve">│   ├── Organisation (Site, Department, JobTitle)</w:t>
      </w:r>
    </w:p>
    <w:p>
      <w:pPr>
        <w:shd w:fill="F5F5F5" w:val="clear"/>
        <w:spacing w:after="0"/>
      </w:pPr>
      <w:r>
        <w:rPr>
          <w:rFonts w:ascii="Consolas" w:cs="Consolas" w:eastAsia="Consolas" w:hAnsi="Consolas"/>
          <w:sz w:val="18"/>
          <w:szCs w:val="18"/>
        </w:rPr>
        <w:t xml:space="preserve">│   ├── Domaines email autorisés</w:t>
      </w:r>
    </w:p>
    <w:p>
      <w:pPr>
        <w:shd w:fill="F5F5F5" w:val="clear"/>
        <w:spacing w:after="0"/>
      </w:pPr>
      <w:r>
        <w:rPr>
          <w:rFonts w:ascii="Consolas" w:cs="Consolas" w:eastAsia="Consolas" w:hAnsi="Consolas"/>
          <w:sz w:val="18"/>
          <w:szCs w:val="18"/>
        </w:rPr>
        <w:t xml:space="preserve">│   ├── Système d'email (outbox async)</w:t>
      </w:r>
    </w:p>
    <w:p>
      <w:pPr>
        <w:shd w:fill="F5F5F5" w:val="clear"/>
        <w:spacing w:after="0"/>
      </w:pPr>
      <w:r>
        <w:rPr>
          <w:rFonts w:ascii="Consolas" w:cs="Consolas" w:eastAsia="Consolas" w:hAnsi="Consolas"/>
          <w:sz w:val="18"/>
          <w:szCs w:val="18"/>
        </w:rPr>
        <w:t xml:space="preserve">│   ├── Audit &amp; Logs</w:t>
      </w:r>
    </w:p>
    <w:p>
      <w:pPr>
        <w:shd w:fill="F5F5F5" w:val="clear"/>
        <w:spacing w:after="0"/>
      </w:pPr>
      <w:r>
        <w:rPr>
          <w:rFonts w:ascii="Consolas" w:cs="Consolas" w:eastAsia="Consolas" w:hAnsi="Consolas"/>
          <w:sz w:val="18"/>
          <w:szCs w:val="18"/>
        </w:rPr>
        <w:t xml:space="preserve">│   └── Génération de documents PDF</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Modules métier</w:t>
      </w:r>
    </w:p>
    <w:p>
      <w:pPr>
        <w:shd w:fill="F5F5F5" w:val="clear"/>
        <w:spacing w:after="0"/>
      </w:pPr>
      <w:r>
        <w:rPr>
          <w:rFonts w:ascii="Consolas" w:cs="Consolas" w:eastAsia="Consolas" w:hAnsi="Consolas"/>
          <w:sz w:val="18"/>
          <w:szCs w:val="18"/>
        </w:rPr>
        <w:t xml:space="preserve">    ├── Gestion du Parc Informatique — Asset Management (MVP) ✓</w:t>
      </w:r>
    </w:p>
    <w:p>
      <w:pPr>
        <w:shd w:fill="F5F5F5" w:val="clear"/>
        <w:spacing w:after="0"/>
      </w:pPr>
      <w:r>
        <w:rPr>
          <w:rFonts w:ascii="Consolas" w:cs="Consolas" w:eastAsia="Consolas" w:hAnsi="Consolas"/>
          <w:sz w:val="18"/>
          <w:szCs w:val="18"/>
        </w:rPr>
        <w:t xml:space="preserve">    ├── Support Utilisateur (Phase 2)</w:t>
      </w:r>
    </w:p>
    <w:p>
      <w:pPr>
        <w:shd w:fill="F5F5F5" w:val="clear"/>
        <w:spacing w:after="0"/>
      </w:pPr>
      <w:r>
        <w:rPr>
          <w:rFonts w:ascii="Consolas" w:cs="Consolas" w:eastAsia="Consolas" w:hAnsi="Consolas"/>
          <w:sz w:val="18"/>
          <w:szCs w:val="18"/>
        </w:rPr>
        <w:t xml:space="preserve">    ├── Reporting &amp; KPI (Phase 2)</w:t>
      </w:r>
    </w:p>
    <w:p>
      <w:pPr>
        <w:shd w:fill="F5F5F5" w:val="clear"/>
        <w:spacing w:after="0"/>
      </w:pPr>
      <w:r>
        <w:rPr>
          <w:rFonts w:ascii="Consolas" w:cs="Consolas" w:eastAsia="Consolas" w:hAnsi="Consolas"/>
          <w:sz w:val="18"/>
          <w:szCs w:val="18"/>
        </w:rPr>
        <w:t xml:space="preserve">    ├── Stock (Futur)</w:t>
      </w:r>
    </w:p>
    <w:p>
      <w:pPr>
        <w:shd w:fill="F5F5F5" w:val="clear"/>
        <w:spacing w:after="0"/>
      </w:pPr>
      <w:r>
        <w:rPr>
          <w:rFonts w:ascii="Consolas" w:cs="Consolas" w:eastAsia="Consolas" w:hAnsi="Consolas"/>
          <w:sz w:val="18"/>
          <w:szCs w:val="18"/>
        </w:rPr>
        <w:t xml:space="preserve">    ├── RH (Futur)</w:t>
      </w:r>
    </w:p>
    <w:p>
      <w:pPr>
        <w:shd w:fill="F5F5F5" w:val="clear"/>
        <w:spacing w:after="0"/>
      </w:pPr>
      <w:r>
        <w:rPr>
          <w:rFonts w:ascii="Consolas" w:cs="Consolas" w:eastAsia="Consolas" w:hAnsi="Consolas"/>
          <w:sz w:val="18"/>
          <w:szCs w:val="18"/>
        </w:rPr>
        <w:t xml:space="preserve">    └── GED (Futur)</w:t>
      </w:r>
    </w:p>
    <w:p>
      <w:pPr>
        <w:spacing w:after="200"/>
      </w:pPr>
    </w:p>
    <w:p>
      <w:pPr>
        <w:pStyle w:val="Heading2"/>
        <w:spacing w:after="150" w:before="300"/>
      </w:pPr>
      <w:r>
        <w:t xml:space="preserve">2.3 Facturation et gestion multi-clients</w:t>
      </w:r>
    </w:p>
    <w:p>
      <w:pPr>
        <w:spacing w:after="160"/>
      </w:pPr>
      <w:r>
        <w:t xml:space="preserve">La gestion commerciale (facturation, suivi des clients, cycle de vie des abonnements) n'est PAS intégrée au code produit de Koraya. Elle est prise en charge par un outil séparé et découplé (feuille de suivi, CRM léger ou outil dédié), en dehors de l'architecture applicative. Cela évite de réintroduire par la bande une complexité de type "plan plateforme" dans le produit.</w:t>
      </w:r>
    </w:p>
    <w:p>
      <w:pPr>
        <w:pStyle w:val="Heading2"/>
        <w:spacing w:after="150" w:before="300"/>
      </w:pPr>
      <w:r>
        <w:t xml:space="preserve">2.4 Stack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A5F" w:val="clear"/>
            <w:tcMar>
              <w:top w:type="dxa" w:w="100"/>
              <w:left w:type="dxa" w:w="120"/>
              <w:bottom w:type="dxa" w:w="100"/>
              <w:right w:type="dxa" w:w="120"/>
            </w:tcMar>
            <w:vAlign w:val="center"/>
          </w:tcPr>
          <w:p>
            <w:r>
              <w:rPr>
                <w:b/>
                <w:bCs/>
                <w:color w:val="FFFFFF"/>
                <w:sz w:val="20"/>
                <w:szCs w:val="20"/>
              </w:rPr>
              <w:t xml:space="preserve">Couche</w:t>
            </w:r>
          </w:p>
        </w:tc>
        <w:tc>
          <w:tcPr>
            <w:tcW w:type="dxa" w:w="6950"/>
            <w:shd w:fill="1F3A5F" w:val="clear"/>
            <w:tcMar>
              <w:top w:type="dxa" w:w="100"/>
              <w:left w:type="dxa" w:w="120"/>
              <w:bottom w:type="dxa" w:w="100"/>
              <w:right w:type="dxa" w:w="120"/>
            </w:tcMar>
            <w:vAlign w:val="center"/>
          </w:tcPr>
          <w:p>
            <w:r>
              <w:rPr>
                <w:b/>
                <w:bCs/>
                <w:color w:val="FFFFFF"/>
                <w:sz w:val="20"/>
                <w:szCs w:val="20"/>
              </w:rPr>
              <w:t xml:space="preserve">Technologie retenue</w:t>
            </w:r>
          </w:p>
        </w:tc>
      </w:tr>
      <w:tr>
        <w:tc>
          <w:tcPr>
            <w:tcW w:type="dxa" w:w="2400"/>
            <w:shd w:fill="FFFFFF" w:val="clear"/>
            <w:tcMar>
              <w:top w:type="dxa" w:w="90"/>
              <w:left w:type="dxa" w:w="120"/>
              <w:bottom w:type="dxa" w:w="90"/>
              <w:right w:type="dxa" w:w="120"/>
            </w:tcMar>
            <w:vAlign w:val="center"/>
          </w:tcPr>
          <w:p>
            <w:r>
              <w:rPr>
                <w:sz w:val="20"/>
                <w:szCs w:val="20"/>
              </w:rPr>
              <w:t xml:space="preserve">Backend</w:t>
            </w:r>
          </w:p>
        </w:tc>
        <w:tc>
          <w:tcPr>
            <w:tcW w:type="dxa" w:w="6950"/>
            <w:shd w:fill="FFFFFF" w:val="clear"/>
            <w:tcMar>
              <w:top w:type="dxa" w:w="90"/>
              <w:left w:type="dxa" w:w="120"/>
              <w:bottom w:type="dxa" w:w="90"/>
              <w:right w:type="dxa" w:w="120"/>
            </w:tcMar>
            <w:vAlign w:val="center"/>
          </w:tcPr>
          <w:p>
            <w:r>
              <w:rPr>
                <w:sz w:val="20"/>
                <w:szCs w:val="20"/>
              </w:rPr>
              <w:t xml:space="preserve">Spring Boot 3.3.0, Java 21, module unique (pas de multi-module Maven)</w:t>
            </w:r>
          </w:p>
        </w:tc>
      </w:tr>
      <w:tr>
        <w:tc>
          <w:tcPr>
            <w:tcW w:type="dxa" w:w="2400"/>
            <w:shd w:fill="F2F2F2" w:val="clear"/>
            <w:tcMar>
              <w:top w:type="dxa" w:w="90"/>
              <w:left w:type="dxa" w:w="120"/>
              <w:bottom w:type="dxa" w:w="90"/>
              <w:right w:type="dxa" w:w="120"/>
            </w:tcMar>
            <w:vAlign w:val="center"/>
          </w:tcPr>
          <w:p>
            <w:r>
              <w:rPr>
                <w:sz w:val="20"/>
                <w:szCs w:val="20"/>
              </w:rPr>
              <w:t xml:space="preserve">Base de données</w:t>
            </w:r>
          </w:p>
        </w:tc>
        <w:tc>
          <w:tcPr>
            <w:tcW w:type="dxa" w:w="6950"/>
            <w:shd w:fill="F2F2F2" w:val="clear"/>
            <w:tcMar>
              <w:top w:type="dxa" w:w="90"/>
              <w:left w:type="dxa" w:w="120"/>
              <w:bottom w:type="dxa" w:w="90"/>
              <w:right w:type="dxa" w:w="120"/>
            </w:tcMar>
            <w:vAlign w:val="center"/>
          </w:tcPr>
          <w:p>
            <w:r>
              <w:rPr>
                <w:sz w:val="20"/>
                <w:szCs w:val="20"/>
              </w:rPr>
              <w:t xml:space="preserve">PostgreSQL 15, un schéma par déploiement client</w:t>
            </w:r>
          </w:p>
        </w:tc>
      </w:tr>
      <w:tr>
        <w:tc>
          <w:tcPr>
            <w:tcW w:type="dxa" w:w="2400"/>
            <w:shd w:fill="FFFFFF" w:val="clear"/>
            <w:tcMar>
              <w:top w:type="dxa" w:w="90"/>
              <w:left w:type="dxa" w:w="120"/>
              <w:bottom w:type="dxa" w:w="90"/>
              <w:right w:type="dxa" w:w="120"/>
            </w:tcMar>
            <w:vAlign w:val="center"/>
          </w:tcPr>
          <w:p>
            <w:r>
              <w:rPr>
                <w:sz w:val="20"/>
                <w:szCs w:val="20"/>
              </w:rPr>
              <w:t xml:space="preserve">ORM</w:t>
            </w:r>
          </w:p>
        </w:tc>
        <w:tc>
          <w:tcPr>
            <w:tcW w:type="dxa" w:w="6950"/>
            <w:shd w:fill="FFFFFF" w:val="clear"/>
            <w:tcMar>
              <w:top w:type="dxa" w:w="90"/>
              <w:left w:type="dxa" w:w="120"/>
              <w:bottom w:type="dxa" w:w="90"/>
              <w:right w:type="dxa" w:w="120"/>
            </w:tcMar>
            <w:vAlign w:val="center"/>
          </w:tcPr>
          <w:p>
            <w:r>
              <w:rPr>
                <w:sz w:val="20"/>
                <w:szCs w:val="20"/>
              </w:rPr>
              <w:t xml:space="preserve">Hibernate 6, sans configuration multi-tenant</w:t>
            </w:r>
          </w:p>
        </w:tc>
      </w:tr>
      <w:tr>
        <w:tc>
          <w:tcPr>
            <w:tcW w:type="dxa" w:w="2400"/>
            <w:shd w:fill="F2F2F2" w:val="clear"/>
            <w:tcMar>
              <w:top w:type="dxa" w:w="90"/>
              <w:left w:type="dxa" w:w="120"/>
              <w:bottom w:type="dxa" w:w="90"/>
              <w:right w:type="dxa" w:w="120"/>
            </w:tcMar>
            <w:vAlign w:val="center"/>
          </w:tcPr>
          <w:p>
            <w:r>
              <w:rPr>
                <w:sz w:val="20"/>
                <w:szCs w:val="20"/>
              </w:rPr>
              <w:t xml:space="preserve">Authentification</w:t>
            </w:r>
          </w:p>
        </w:tc>
        <w:tc>
          <w:tcPr>
            <w:tcW w:type="dxa" w:w="6950"/>
            <w:shd w:fill="F2F2F2" w:val="clear"/>
            <w:tcMar>
              <w:top w:type="dxa" w:w="90"/>
              <w:left w:type="dxa" w:w="120"/>
              <w:bottom w:type="dxa" w:w="90"/>
              <w:right w:type="dxa" w:w="120"/>
            </w:tcMar>
            <w:vAlign w:val="center"/>
          </w:tcPr>
          <w:p>
            <w:r>
              <w:rPr>
                <w:sz w:val="20"/>
                <w:szCs w:val="20"/>
              </w:rPr>
              <w:t xml:space="preserve">Email + mot de passe (BCrypt) — principal. OTP par email — option future pour actions sensibles ("sudo mode")</w:t>
            </w:r>
          </w:p>
        </w:tc>
      </w:tr>
      <w:tr>
        <w:tc>
          <w:tcPr>
            <w:tcW w:type="dxa" w:w="2400"/>
            <w:shd w:fill="FFFFFF" w:val="clear"/>
            <w:tcMar>
              <w:top w:type="dxa" w:w="90"/>
              <w:left w:type="dxa" w:w="120"/>
              <w:bottom w:type="dxa" w:w="90"/>
              <w:right w:type="dxa" w:w="120"/>
            </w:tcMar>
            <w:vAlign w:val="center"/>
          </w:tcPr>
          <w:p>
            <w:r>
              <w:rPr>
                <w:sz w:val="20"/>
                <w:szCs w:val="20"/>
              </w:rPr>
              <w:t xml:space="preserve">Migrations DB</w:t>
            </w:r>
          </w:p>
        </w:tc>
        <w:tc>
          <w:tcPr>
            <w:tcW w:type="dxa" w:w="6950"/>
            <w:shd w:fill="FFFFFF" w:val="clear"/>
            <w:tcMar>
              <w:top w:type="dxa" w:w="90"/>
              <w:left w:type="dxa" w:w="120"/>
              <w:bottom w:type="dxa" w:w="90"/>
              <w:right w:type="dxa" w:w="120"/>
            </w:tcMar>
            <w:vAlign w:val="center"/>
          </w:tcPr>
          <w:p>
            <w:r>
              <w:rPr>
                <w:sz w:val="20"/>
                <w:szCs w:val="20"/>
              </w:rPr>
              <w:t xml:space="preserve">Liquibase</w:t>
            </w:r>
          </w:p>
        </w:tc>
      </w:tr>
      <w:tr>
        <w:tc>
          <w:tcPr>
            <w:tcW w:type="dxa" w:w="2400"/>
            <w:shd w:fill="F2F2F2" w:val="clear"/>
            <w:tcMar>
              <w:top w:type="dxa" w:w="90"/>
              <w:left w:type="dxa" w:w="120"/>
              <w:bottom w:type="dxa" w:w="90"/>
              <w:right w:type="dxa" w:w="120"/>
            </w:tcMar>
            <w:vAlign w:val="center"/>
          </w:tcPr>
          <w:p>
            <w:r>
              <w:rPr>
                <w:sz w:val="20"/>
                <w:szCs w:val="20"/>
              </w:rPr>
              <w:t xml:space="preserve">Templates email</w:t>
            </w:r>
          </w:p>
        </w:tc>
        <w:tc>
          <w:tcPr>
            <w:tcW w:type="dxa" w:w="6950"/>
            <w:shd w:fill="F2F2F2" w:val="clear"/>
            <w:tcMar>
              <w:top w:type="dxa" w:w="90"/>
              <w:left w:type="dxa" w:w="120"/>
              <w:bottom w:type="dxa" w:w="90"/>
              <w:right w:type="dxa" w:w="120"/>
            </w:tcMar>
            <w:vAlign w:val="center"/>
          </w:tcPr>
          <w:p>
            <w:r>
              <w:rPr>
                <w:sz w:val="20"/>
                <w:szCs w:val="20"/>
              </w:rPr>
              <w:t xml:space="preserve">Thymeleaf</w:t>
            </w:r>
          </w:p>
        </w:tc>
      </w:tr>
      <w:tr>
        <w:tc>
          <w:tcPr>
            <w:tcW w:type="dxa" w:w="2400"/>
            <w:shd w:fill="FFFFFF" w:val="clear"/>
            <w:tcMar>
              <w:top w:type="dxa" w:w="90"/>
              <w:left w:type="dxa" w:w="120"/>
              <w:bottom w:type="dxa" w:w="90"/>
              <w:right w:type="dxa" w:w="120"/>
            </w:tcMar>
            <w:vAlign w:val="center"/>
          </w:tcPr>
          <w:p>
            <w:r>
              <w:rPr>
                <w:sz w:val="20"/>
                <w:szCs w:val="20"/>
              </w:rPr>
              <w:t xml:space="preserve">Frontend</w:t>
            </w:r>
          </w:p>
        </w:tc>
        <w:tc>
          <w:tcPr>
            <w:tcW w:type="dxa" w:w="6950"/>
            <w:shd w:fill="FFFFFF" w:val="clear"/>
            <w:tcMar>
              <w:top w:type="dxa" w:w="90"/>
              <w:left w:type="dxa" w:w="120"/>
              <w:bottom w:type="dxa" w:w="90"/>
              <w:right w:type="dxa" w:w="120"/>
            </w:tcMar>
            <w:vAlign w:val="center"/>
          </w:tcPr>
          <w:p>
            <w:r>
              <w:rPr>
                <w:sz w:val="20"/>
                <w:szCs w:val="20"/>
              </w:rPr>
              <w:t xml:space="preserve">Next.js 14+ (App Router), TailwindCSS v3, Axios</w:t>
            </w:r>
          </w:p>
        </w:tc>
      </w:tr>
      <w:tr>
        <w:tc>
          <w:tcPr>
            <w:tcW w:type="dxa" w:w="2400"/>
            <w:shd w:fill="F2F2F2" w:val="clear"/>
            <w:tcMar>
              <w:top w:type="dxa" w:w="90"/>
              <w:left w:type="dxa" w:w="120"/>
              <w:bottom w:type="dxa" w:w="90"/>
              <w:right w:type="dxa" w:w="120"/>
            </w:tcMar>
            <w:vAlign w:val="center"/>
          </w:tcPr>
          <w:p>
            <w:r>
              <w:rPr>
                <w:sz w:val="20"/>
                <w:szCs w:val="20"/>
              </w:rPr>
              <w:t xml:space="preserve">Identifiants</w:t>
            </w:r>
          </w:p>
        </w:tc>
        <w:tc>
          <w:tcPr>
            <w:tcW w:type="dxa" w:w="6950"/>
            <w:shd w:fill="F2F2F2" w:val="clear"/>
            <w:tcMar>
              <w:top w:type="dxa" w:w="90"/>
              <w:left w:type="dxa" w:w="120"/>
              <w:bottom w:type="dxa" w:w="90"/>
              <w:right w:type="dxa" w:w="120"/>
            </w:tcMar>
            <w:vAlign w:val="center"/>
          </w:tcPr>
          <w:p>
            <w:r>
              <w:rPr>
                <w:sz w:val="20"/>
                <w:szCs w:val="20"/>
              </w:rPr>
              <w:t xml:space="preserve">UUID v7 (ordonné dans le temps, performant en index)</w:t>
            </w:r>
          </w:p>
        </w:tc>
      </w:tr>
      <w:tr>
        <w:tc>
          <w:tcPr>
            <w:tcW w:type="dxa" w:w="2400"/>
            <w:shd w:fill="FFFFFF" w:val="clear"/>
            <w:tcMar>
              <w:top w:type="dxa" w:w="90"/>
              <w:left w:type="dxa" w:w="120"/>
              <w:bottom w:type="dxa" w:w="90"/>
              <w:right w:type="dxa" w:w="120"/>
            </w:tcMar>
            <w:vAlign w:val="center"/>
          </w:tcPr>
          <w:p>
            <w:r>
              <w:rPr>
                <w:sz w:val="20"/>
                <w:szCs w:val="20"/>
              </w:rPr>
              <w:t xml:space="preserve">Génération PDF</w:t>
            </w:r>
          </w:p>
        </w:tc>
        <w:tc>
          <w:tcPr>
            <w:tcW w:type="dxa" w:w="6950"/>
            <w:shd w:fill="FFFFFF" w:val="clear"/>
            <w:tcMar>
              <w:top w:type="dxa" w:w="90"/>
              <w:left w:type="dxa" w:w="120"/>
              <w:bottom w:type="dxa" w:w="90"/>
              <w:right w:type="dxa" w:w="120"/>
            </w:tcMar>
            <w:vAlign w:val="center"/>
          </w:tcPr>
          <w:p>
            <w:r>
              <w:rPr>
                <w:sz w:val="20"/>
                <w:szCs w:val="20"/>
              </w:rPr>
              <w:t xml:space="preserve">Génération de la Fiche de dotation avec signatures</w:t>
            </w:r>
          </w:p>
        </w:tc>
      </w:tr>
      <w:tr>
        <w:tc>
          <w:tcPr>
            <w:tcW w:type="dxa" w:w="2400"/>
            <w:shd w:fill="F2F2F2" w:val="clear"/>
            <w:tcMar>
              <w:top w:type="dxa" w:w="90"/>
              <w:left w:type="dxa" w:w="120"/>
              <w:bottom w:type="dxa" w:w="90"/>
              <w:right w:type="dxa" w:w="120"/>
            </w:tcMar>
            <w:vAlign w:val="center"/>
          </w:tcPr>
          <w:p>
            <w:r>
              <w:rPr>
                <w:sz w:val="20"/>
                <w:szCs w:val="20"/>
              </w:rPr>
              <w:t xml:space="preserve">Email provider</w:t>
            </w:r>
          </w:p>
        </w:tc>
        <w:tc>
          <w:tcPr>
            <w:tcW w:type="dxa" w:w="6950"/>
            <w:shd w:fill="F2F2F2" w:val="clear"/>
            <w:tcMar>
              <w:top w:type="dxa" w:w="90"/>
              <w:left w:type="dxa" w:w="120"/>
              <w:bottom w:type="dxa" w:w="90"/>
              <w:right w:type="dxa" w:w="120"/>
            </w:tcMar>
            <w:vAlign w:val="center"/>
          </w:tcPr>
          <w:p>
            <w:r>
              <w:rPr>
                <w:sz w:val="20"/>
                <w:szCs w:val="20"/>
              </w:rPr>
              <w:t xml:space="preserve">Office 365 (SMTP), configuration à finaliser — Mailhog en local</w:t>
            </w:r>
          </w:p>
        </w:tc>
      </w:tr>
      <w:tr>
        <w:tc>
          <w:tcPr>
            <w:tcW w:type="dxa" w:w="2400"/>
            <w:shd w:fill="FFFFFF" w:val="clear"/>
            <w:tcMar>
              <w:top w:type="dxa" w:w="90"/>
              <w:left w:type="dxa" w:w="120"/>
              <w:bottom w:type="dxa" w:w="90"/>
              <w:right w:type="dxa" w:w="120"/>
            </w:tcMar>
            <w:vAlign w:val="center"/>
          </w:tcPr>
          <w:p>
            <w:r>
              <w:rPr>
                <w:sz w:val="20"/>
                <w:szCs w:val="20"/>
              </w:rPr>
              <w:t xml:space="preserve">Déploiement</w:t>
            </w:r>
          </w:p>
        </w:tc>
        <w:tc>
          <w:tcPr>
            <w:tcW w:type="dxa" w:w="6950"/>
            <w:shd w:fill="FFFFFF" w:val="clear"/>
            <w:tcMar>
              <w:top w:type="dxa" w:w="90"/>
              <w:left w:type="dxa" w:w="120"/>
              <w:bottom w:type="dxa" w:w="90"/>
              <w:right w:type="dxa" w:w="120"/>
            </w:tcMar>
            <w:vAlign w:val="center"/>
          </w:tcPr>
          <w:p>
            <w:r>
              <w:rPr>
                <w:sz w:val="20"/>
                <w:szCs w:val="20"/>
              </w:rPr>
              <w:t xml:space="preserve">Railway — un service backend + un service frontend + PostgreSQL par client</w:t>
            </w:r>
          </w:p>
        </w:tc>
      </w:tr>
    </w:tbl>
    <w:p>
      <w:pPr>
        <w:spacing w:after="200"/>
      </w:pPr>
    </w:p>
    <w:p>
      <w:pPr>
        <w:pStyle w:val="Heading1"/>
        <w:pageBreakBefore/>
        <w:spacing w:after="200" w:before="400"/>
      </w:pPr>
      <w:r>
        <w:t xml:space="preserve">3. Modèle organisationnel</w:t>
      </w:r>
    </w:p>
    <w:p>
      <w:pPr>
        <w:pStyle w:val="Heading2"/>
        <w:spacing w:after="150" w:before="300"/>
      </w:pPr>
      <w:r>
        <w:t xml:space="preserve">3.1 Hiérarchie</w:t>
      </w:r>
    </w:p>
    <w:p>
      <w:pPr>
        <w:shd w:fill="F5F5F5" w:val="clear"/>
        <w:spacing w:after="0"/>
      </w:pPr>
      <w:r>
        <w:rPr>
          <w:rFonts w:ascii="Consolas" w:cs="Consolas" w:eastAsia="Consolas" w:hAnsi="Consolas"/>
          <w:sz w:val="18"/>
          <w:szCs w:val="18"/>
        </w:rPr>
        <w:t xml:space="preserve">Site (ex: Agence Dakar, ADT Chantier)</w:t>
      </w:r>
    </w:p>
    <w:p>
      <w:pPr>
        <w:shd w:fill="F5F5F5" w:val="clear"/>
        <w:spacing w:after="0"/>
      </w:pPr>
      <w:r>
        <w:rPr>
          <w:rFonts w:ascii="Consolas" w:cs="Consolas" w:eastAsia="Consolas" w:hAnsi="Consolas"/>
          <w:sz w:val="18"/>
          <w:szCs w:val="18"/>
        </w:rPr>
        <w:t xml:space="preserve">└── Department (ex: IT, RH, Comptabilité, Logistique)</w:t>
      </w:r>
    </w:p>
    <w:p>
      <w:pPr>
        <w:shd w:fill="F5F5F5" w:val="clear"/>
        <w:spacing w:after="0"/>
      </w:pPr>
      <w:r>
        <w:rPr>
          <w:rFonts w:ascii="Consolas" w:cs="Consolas" w:eastAsia="Consolas" w:hAnsi="Consolas"/>
          <w:sz w:val="18"/>
          <w:szCs w:val="18"/>
        </w:rPr>
        <w:t xml:space="preserve">    └── User (employé rattaché à un site, un département, un poste)</w:t>
      </w:r>
    </w:p>
    <w:p>
      <w:pPr>
        <w:spacing w:after="200"/>
      </w:pPr>
    </w:p>
    <w:p>
      <w:pPr>
        <w:pStyle w:val="Heading2"/>
        <w:spacing w:after="150" w:before="300"/>
      </w:pPr>
      <w:r>
        <w:t xml:space="preserve">3.2 Modélisation des entités</w:t>
      </w:r>
    </w:p>
    <w:p>
      <w:pPr>
        <w:pStyle w:val="Heading3"/>
        <w:spacing w:after="100" w:before="200"/>
      </w:pPr>
      <w:r>
        <w:t xml:space="preserve">Site</w:t>
      </w:r>
    </w:p>
    <w:p>
      <w:pPr>
        <w:pStyle w:val="ListParagraph"/>
        <w:numPr>
          <w:ilvl w:val="0"/>
          <w:numId w:val="1"/>
        </w:numPr>
        <w:spacing w:after="80"/>
      </w:pPr>
      <w:r>
        <w:t xml:space="preserve">id (UUID v7)</w:t>
      </w:r>
    </w:p>
    <w:p>
      <w:pPr>
        <w:pStyle w:val="ListParagraph"/>
        <w:numPr>
          <w:ilvl w:val="0"/>
          <w:numId w:val="1"/>
        </w:numPr>
        <w:spacing w:after="80"/>
      </w:pPr>
      <w:r>
        <w:t xml:space="preserve">name (ex: "Agence Dakar", "ADT Chantier")</w:t>
      </w:r>
    </w:p>
    <w:p>
      <w:pPr>
        <w:pStyle w:val="ListParagraph"/>
        <w:numPr>
          <w:ilvl w:val="0"/>
          <w:numId w:val="1"/>
        </w:numPr>
        <w:spacing w:after="80"/>
      </w:pPr>
      <w:r>
        <w:t xml:space="preserve">address (optionnel)</w:t>
      </w:r>
    </w:p>
    <w:p>
      <w:pPr>
        <w:pStyle w:val="ListParagraph"/>
        <w:numPr>
          <w:ilvl w:val="0"/>
          <w:numId w:val="1"/>
        </w:numPr>
        <w:spacing w:after="80"/>
      </w:pPr>
      <w:r>
        <w:t xml:space="preserve">is_active</w:t>
      </w:r>
    </w:p>
    <w:p>
      <w:pPr>
        <w:pStyle w:val="Heading3"/>
        <w:spacing w:after="100" w:before="200"/>
      </w:pPr>
      <w:r>
        <w:t xml:space="preserve">Department</w:t>
      </w:r>
    </w:p>
    <w:p>
      <w:pPr>
        <w:pStyle w:val="ListParagraph"/>
        <w:numPr>
          <w:ilvl w:val="0"/>
          <w:numId w:val="1"/>
        </w:numPr>
        <w:spacing w:after="80"/>
      </w:pPr>
      <w:r>
        <w:t xml:space="preserve">id (UUID v7)</w:t>
      </w:r>
    </w:p>
    <w:p>
      <w:pPr>
        <w:pStyle w:val="ListParagraph"/>
        <w:numPr>
          <w:ilvl w:val="0"/>
          <w:numId w:val="1"/>
        </w:numPr>
        <w:spacing w:after="80"/>
      </w:pPr>
      <w:r>
        <w:t xml:space="preserve">name (ex: "IT", "RH", "Comptabilité")</w:t>
      </w:r>
    </w:p>
    <w:p>
      <w:pPr>
        <w:pStyle w:val="ListParagraph"/>
        <w:numPr>
          <w:ilvl w:val="0"/>
          <w:numId w:val="1"/>
        </w:numPr>
        <w:spacing w:after="80"/>
      </w:pPr>
      <w:r>
        <w:t xml:space="preserve">site_id (FK Site, nullable si département transverse)</w:t>
      </w:r>
    </w:p>
    <w:p>
      <w:pPr>
        <w:pStyle w:val="ListParagraph"/>
        <w:numPr>
          <w:ilvl w:val="0"/>
          <w:numId w:val="1"/>
        </w:numPr>
        <w:spacing w:after="80"/>
      </w:pPr>
      <w:r>
        <w:t xml:space="preserve">is_active</w:t>
      </w:r>
    </w:p>
    <w:p>
      <w:pPr>
        <w:pStyle w:val="Heading3"/>
        <w:spacing w:after="100" w:before="200"/>
      </w:pPr>
      <w:r>
        <w:t xml:space="preserve">JobTitle (poste occupé)</w:t>
      </w:r>
    </w:p>
    <w:p>
      <w:pPr>
        <w:spacing w:after="160"/>
      </w:pPr>
      <w:r>
        <w:t xml:space="preserve">Liste extensible à la volée : l'utilisateur choisit un poste existant dans une liste proposée, ou en saisit un nouveau qui est alors ajouté à la base pour les prochaines saisies (comportement de type "combobox créatif").</w:t>
      </w:r>
    </w:p>
    <w:p>
      <w:pPr>
        <w:pStyle w:val="ListParagraph"/>
        <w:numPr>
          <w:ilvl w:val="0"/>
          <w:numId w:val="1"/>
        </w:numPr>
        <w:spacing w:after="80"/>
      </w:pPr>
      <w:r>
        <w:t xml:space="preserve">id (UUID v7)</w:t>
      </w:r>
    </w:p>
    <w:p>
      <w:pPr>
        <w:pStyle w:val="ListParagraph"/>
        <w:numPr>
          <w:ilvl w:val="0"/>
          <w:numId w:val="1"/>
        </w:numPr>
        <w:spacing w:after="80"/>
      </w:pPr>
      <w:r>
        <w:t xml:space="preserve">title (ex: "Chargé Support IT", "Comptable", "Chauffeur")</w:t>
      </w:r>
    </w:p>
    <w:p>
      <w:pPr>
        <w:pStyle w:val="ListParagraph"/>
        <w:numPr>
          <w:ilvl w:val="0"/>
          <w:numId w:val="1"/>
        </w:numPr>
        <w:spacing w:after="80"/>
      </w:pPr>
      <w:r>
        <w:t xml:space="preserve">is_active</w:t>
      </w:r>
    </w:p>
    <w:p>
      <w:pPr>
        <w:pStyle w:val="ListParagraph"/>
        <w:numPr>
          <w:ilvl w:val="0"/>
          <w:numId w:val="1"/>
        </w:numPr>
        <w:spacing w:after="80"/>
      </w:pPr>
      <w:r>
        <w:t xml:space="preserve">created_at, created_by</w:t>
      </w:r>
    </w:p>
    <w:p>
      <w:pPr>
        <w:pStyle w:val="Heading3"/>
        <w:spacing w:after="100" w:before="200"/>
      </w:pPr>
      <w:r>
        <w:t xml:space="preserve">AllowedEmailDomain</w:t>
      </w:r>
    </w:p>
    <w:p>
      <w:pPr>
        <w:spacing w:after="160"/>
      </w:pPr>
      <w:r>
        <w:t xml:space="preserve">Whitelist applicative des domaines email autorisés à créer un compte utilisateur. Pas de notion de tenant : la liste est globale au déploiement.</w:t>
      </w:r>
    </w:p>
    <w:p>
      <w:pPr>
        <w:pStyle w:val="ListParagraph"/>
        <w:numPr>
          <w:ilvl w:val="0"/>
          <w:numId w:val="1"/>
        </w:numPr>
        <w:spacing w:after="80"/>
      </w:pPr>
      <w:r>
        <w:t xml:space="preserve">id (UUID v7)</w:t>
      </w:r>
    </w:p>
    <w:p>
      <w:pPr>
        <w:pStyle w:val="ListParagraph"/>
        <w:numPr>
          <w:ilvl w:val="0"/>
          <w:numId w:val="1"/>
        </w:numPr>
        <w:spacing w:after="80"/>
      </w:pPr>
      <w:r>
        <w:t xml:space="preserve">domain (ex: "pfo-africa.com", "pfoafrica-senegal.com", stocké sans le @)</w:t>
      </w:r>
    </w:p>
    <w:p>
      <w:pPr>
        <w:pStyle w:val="ListParagraph"/>
        <w:numPr>
          <w:ilvl w:val="0"/>
          <w:numId w:val="1"/>
        </w:numPr>
        <w:spacing w:after="80"/>
      </w:pPr>
      <w:r>
        <w:t xml:space="preserve">is_active</w:t>
      </w:r>
    </w:p>
    <w:p>
      <w:pPr>
        <w:pStyle w:val="ListParagraph"/>
        <w:numPr>
          <w:ilvl w:val="0"/>
          <w:numId w:val="1"/>
        </w:numPr>
        <w:spacing w:after="80"/>
      </w:pPr>
      <w:r>
        <w:t xml:space="preserve">created_at, created_by</w:t>
      </w:r>
    </w:p>
    <w:p>
      <w:pPr>
        <w:pStyle w:val="Heading3"/>
        <w:spacing w:after="100" w:before="200"/>
      </w:pPr>
      <w:r>
        <w:t xml:space="preserve">User (app_user)</w:t>
      </w:r>
    </w:p>
    <w:p>
      <w:pPr>
        <w:pStyle w:val="ListParagraph"/>
        <w:numPr>
          <w:ilvl w:val="0"/>
          <w:numId w:val="1"/>
        </w:numPr>
        <w:spacing w:after="80"/>
      </w:pPr>
      <w:r>
        <w:t xml:space="preserve">id (UUID v7)</w:t>
      </w:r>
    </w:p>
    <w:p>
      <w:pPr>
        <w:pStyle w:val="ListParagraph"/>
        <w:numPr>
          <w:ilvl w:val="0"/>
          <w:numId w:val="1"/>
        </w:numPr>
        <w:spacing w:after="80"/>
      </w:pPr>
      <w:r>
        <w:t xml:space="preserve">email (unique — composé de alias + @ + domain sélectionné, voir 3.3)</w:t>
      </w:r>
    </w:p>
    <w:p>
      <w:pPr>
        <w:pStyle w:val="ListParagraph"/>
        <w:numPr>
          <w:ilvl w:val="0"/>
          <w:numId w:val="1"/>
        </w:numPr>
        <w:spacing w:after="80"/>
      </w:pPr>
      <w:r>
        <w:t xml:space="preserve">password_hash (BCrypt)</w:t>
      </w:r>
    </w:p>
    <w:p>
      <w:pPr>
        <w:pStyle w:val="ListParagraph"/>
        <w:numPr>
          <w:ilvl w:val="0"/>
          <w:numId w:val="1"/>
        </w:numPr>
        <w:spacing w:after="80"/>
      </w:pPr>
      <w:r>
        <w:t xml:space="preserve">full_name</w:t>
      </w:r>
    </w:p>
    <w:p>
      <w:pPr>
        <w:pStyle w:val="ListParagraph"/>
        <w:numPr>
          <w:ilvl w:val="0"/>
          <w:numId w:val="1"/>
        </w:numPr>
        <w:spacing w:after="80"/>
      </w:pPr>
      <w:r>
        <w:t xml:space="preserve">role (ADMIN | MANAGER | AGENT | USER)</w:t>
      </w:r>
    </w:p>
    <w:p>
      <w:pPr>
        <w:pStyle w:val="ListParagraph"/>
        <w:numPr>
          <w:ilvl w:val="0"/>
          <w:numId w:val="1"/>
        </w:numPr>
        <w:spacing w:after="80"/>
      </w:pPr>
      <w:r>
        <w:t xml:space="preserve">site_id (FK Site)</w:t>
      </w:r>
    </w:p>
    <w:p>
      <w:pPr>
        <w:pStyle w:val="ListParagraph"/>
        <w:numPr>
          <w:ilvl w:val="0"/>
          <w:numId w:val="1"/>
        </w:numPr>
        <w:spacing w:after="80"/>
      </w:pPr>
      <w:r>
        <w:t xml:space="preserve">department_id (FK Department, nullable)</w:t>
      </w:r>
    </w:p>
    <w:p>
      <w:pPr>
        <w:pStyle w:val="ListParagraph"/>
        <w:numPr>
          <w:ilvl w:val="0"/>
          <w:numId w:val="1"/>
        </w:numPr>
        <w:spacing w:after="80"/>
      </w:pPr>
      <w:r>
        <w:t xml:space="preserve">job_title_id (FK JobTitle, nullable)</w:t>
      </w:r>
    </w:p>
    <w:p>
      <w:pPr>
        <w:pStyle w:val="ListParagraph"/>
        <w:numPr>
          <w:ilvl w:val="0"/>
          <w:numId w:val="1"/>
        </w:numPr>
        <w:spacing w:after="80"/>
      </w:pPr>
      <w:r>
        <w:t xml:space="preserve">phone_number (nullable)</w:t>
      </w:r>
    </w:p>
    <w:p>
      <w:pPr>
        <w:pStyle w:val="ListParagraph"/>
        <w:numPr>
          <w:ilvl w:val="0"/>
          <w:numId w:val="1"/>
        </w:numPr>
        <w:spacing w:after="80"/>
      </w:pPr>
      <w:r>
        <w:t xml:space="preserve">is_active</w:t>
      </w:r>
    </w:p>
    <w:p>
      <w:pPr>
        <w:pStyle w:val="ListParagraph"/>
        <w:numPr>
          <w:ilvl w:val="0"/>
          <w:numId w:val="1"/>
        </w:numPr>
        <w:spacing w:after="80"/>
      </w:pPr>
      <w:r>
        <w:t xml:space="preserve">last_login_at</w:t>
      </w:r>
    </w:p>
    <w:p>
      <w:pPr>
        <w:pStyle w:val="ListParagraph"/>
        <w:numPr>
          <w:ilvl w:val="0"/>
          <w:numId w:val="1"/>
        </w:numPr>
        <w:spacing w:after="80"/>
      </w:pPr>
      <w:r>
        <w:t xml:space="preserve">created_at, created_by</w:t>
      </w:r>
    </w:p>
    <w:p>
      <w:pPr>
        <w:pStyle w:val="Heading2"/>
        <w:spacing w:after="150" w:before="300"/>
      </w:pPr>
      <w:r>
        <w:t xml:space="preserve">3.3 UX de saisie de l'email à la création d'un utilisateur</w:t>
      </w:r>
    </w:p>
    <w:p>
      <w:pPr>
        <w:spacing w:after="160"/>
      </w:pPr>
      <w:r>
        <w:t xml:space="preserve">Pour éviter la ressaisie complète d'une adresse email longue, le formulaire de création d'un User propose :</w:t>
      </w:r>
    </w:p>
    <w:p>
      <w:pPr>
        <w:pStyle w:val="ListParagraph"/>
        <w:numPr>
          <w:ilvl w:val="0"/>
          <w:numId w:val="1"/>
        </w:numPr>
        <w:spacing w:after="80"/>
      </w:pPr>
      <w:r>
        <w:t xml:space="preserve">Un champ alias en texte libre (ex: "saint-pierre.kassi")</w:t>
      </w:r>
    </w:p>
    <w:p>
      <w:pPr>
        <w:pStyle w:val="ListParagraph"/>
        <w:numPr>
          <w:ilvl w:val="0"/>
          <w:numId w:val="1"/>
        </w:numPr>
        <w:spacing w:after="80"/>
      </w:pPr>
      <w:r>
        <w:t xml:space="preserve">Un select en face, listant les AllowedEmailDomain actifs (ex: "@pfoafrica-senegal.com")</w:t>
      </w:r>
    </w:p>
    <w:p>
      <w:pPr>
        <w:spacing w:after="160"/>
      </w:pPr>
      <w:r>
        <w:t xml:space="preserve">Le backend concatène les deux au moment de l'enregistrement : </w:t>
      </w:r>
    </w:p>
    <w:p>
      <w:pPr>
        <w:shd w:fill="F5F5F5" w:val="clear"/>
        <w:spacing w:after="0"/>
      </w:pPr>
      <w:r>
        <w:rPr>
          <w:rFonts w:ascii="Consolas" w:cs="Consolas" w:eastAsia="Consolas" w:hAnsi="Consolas"/>
          <w:sz w:val="18"/>
          <w:szCs w:val="18"/>
        </w:rPr>
        <w:t xml:space="preserve">alias + "@" + domain  →  saint-pierre.kassi@pfoafrica-senegal.com</w:t>
      </w:r>
    </w:p>
    <w:p>
      <w:pPr>
        <w:spacing w:after="200"/>
      </w:pPr>
    </w:p>
    <w:p>
      <w:pPr>
        <w:spacing w:after="160"/>
      </w:pPr>
      <w:r>
        <w:t xml:space="preserve">Validation : alias sans espace ni caractère @, format recommandé prenom.nom, unicité de l'email final vérifiée en base.</w:t>
      </w:r>
    </w:p>
    <w:p>
      <w:pPr>
        <w:pStyle w:val="Heading2"/>
        <w:spacing w:after="150" w:before="300"/>
      </w:pPr>
      <w:r>
        <w:t xml:space="preserve">3.4 Matrice des rôles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A5F" w:val="clear"/>
            <w:tcMar>
              <w:top w:type="dxa" w:w="100"/>
              <w:left w:type="dxa" w:w="120"/>
              <w:bottom w:type="dxa" w:w="100"/>
              <w:right w:type="dxa" w:w="120"/>
            </w:tcMar>
            <w:vAlign w:val="center"/>
          </w:tcPr>
          <w:p>
            <w:r>
              <w:rPr>
                <w:b/>
                <w:bCs/>
                <w:color w:val="FFFFFF"/>
                <w:sz w:val="20"/>
                <w:szCs w:val="20"/>
              </w:rPr>
              <w:t xml:space="preserve">Rôle</w:t>
            </w:r>
          </w:p>
        </w:tc>
        <w:tc>
          <w:tcPr>
            <w:tcW w:type="dxa" w:w="7550"/>
            <w:shd w:fill="1F3A5F" w:val="clear"/>
            <w:tcMar>
              <w:top w:type="dxa" w:w="100"/>
              <w:left w:type="dxa" w:w="120"/>
              <w:bottom w:type="dxa" w:w="100"/>
              <w:right w:type="dxa" w:w="120"/>
            </w:tcMar>
            <w:vAlign w:val="center"/>
          </w:tcPr>
          <w:p>
            <w:r>
              <w:rPr>
                <w:b/>
                <w:bCs/>
                <w:color w:val="FFFFFF"/>
                <w:sz w:val="20"/>
                <w:szCs w:val="20"/>
              </w:rPr>
              <w:t xml:space="preserve">Permissions principales</w:t>
            </w:r>
          </w:p>
        </w:tc>
      </w:tr>
      <w:tr>
        <w:tc>
          <w:tcPr>
            <w:tcW w:type="dxa" w:w="1800"/>
            <w:shd w:fill="FFFFFF" w:val="clear"/>
            <w:tcMar>
              <w:top w:type="dxa" w:w="90"/>
              <w:left w:type="dxa" w:w="120"/>
              <w:bottom w:type="dxa" w:w="90"/>
              <w:right w:type="dxa" w:w="120"/>
            </w:tcMar>
            <w:vAlign w:val="center"/>
          </w:tcPr>
          <w:p>
            <w:r>
              <w:rPr>
                <w:sz w:val="20"/>
                <w:szCs w:val="20"/>
              </w:rPr>
              <w:t xml:space="preserve">ADMIN</w:t>
            </w:r>
          </w:p>
        </w:tc>
        <w:tc>
          <w:tcPr>
            <w:tcW w:type="dxa" w:w="7550"/>
            <w:shd w:fill="FFFFFF" w:val="clear"/>
            <w:tcMar>
              <w:top w:type="dxa" w:w="90"/>
              <w:left w:type="dxa" w:w="120"/>
              <w:bottom w:type="dxa" w:w="90"/>
              <w:right w:type="dxa" w:w="120"/>
            </w:tcMar>
            <w:vAlign w:val="center"/>
          </w:tcPr>
          <w:p>
            <w:r>
              <w:rPr>
                <w:sz w:val="20"/>
                <w:szCs w:val="20"/>
              </w:rPr>
              <w:t xml:space="preserve">Accès complet : gestion des users, sites, départements, postes, domaines autorisés, actifs, configuration générale.</w:t>
            </w:r>
          </w:p>
        </w:tc>
      </w:tr>
      <w:tr>
        <w:tc>
          <w:tcPr>
            <w:tcW w:type="dxa" w:w="1800"/>
            <w:shd w:fill="F2F2F2" w:val="clear"/>
            <w:tcMar>
              <w:top w:type="dxa" w:w="90"/>
              <w:left w:type="dxa" w:w="120"/>
              <w:bottom w:type="dxa" w:w="90"/>
              <w:right w:type="dxa" w:w="120"/>
            </w:tcMar>
            <w:vAlign w:val="center"/>
          </w:tcPr>
          <w:p>
            <w:r>
              <w:rPr>
                <w:sz w:val="20"/>
                <w:szCs w:val="20"/>
              </w:rPr>
              <w:t xml:space="preserve">MANAGER</w:t>
            </w:r>
          </w:p>
        </w:tc>
        <w:tc>
          <w:tcPr>
            <w:tcW w:type="dxa" w:w="7550"/>
            <w:shd w:fill="F2F2F2" w:val="clear"/>
            <w:tcMar>
              <w:top w:type="dxa" w:w="90"/>
              <w:left w:type="dxa" w:w="120"/>
              <w:bottom w:type="dxa" w:w="90"/>
              <w:right w:type="dxa" w:w="120"/>
            </w:tcMar>
            <w:vAlign w:val="center"/>
          </w:tcPr>
          <w:p>
            <w:r>
              <w:rPr>
                <w:sz w:val="20"/>
                <w:szCs w:val="20"/>
              </w:rPr>
              <w:t xml:space="preserve">Visibilité étendue sur son périmètre (site/département). Pensé pour une montée en charge future (ex: module Support).</w:t>
            </w:r>
          </w:p>
        </w:tc>
      </w:tr>
      <w:tr>
        <w:tc>
          <w:tcPr>
            <w:tcW w:type="dxa" w:w="1800"/>
            <w:shd w:fill="FFFFFF" w:val="clear"/>
            <w:tcMar>
              <w:top w:type="dxa" w:w="90"/>
              <w:left w:type="dxa" w:w="120"/>
              <w:bottom w:type="dxa" w:w="90"/>
              <w:right w:type="dxa" w:w="120"/>
            </w:tcMar>
            <w:vAlign w:val="center"/>
          </w:tcPr>
          <w:p>
            <w:r>
              <w:rPr>
                <w:sz w:val="20"/>
                <w:szCs w:val="20"/>
              </w:rPr>
              <w:t xml:space="preserve">AGENT</w:t>
            </w:r>
          </w:p>
        </w:tc>
        <w:tc>
          <w:tcPr>
            <w:tcW w:type="dxa" w:w="7550"/>
            <w:shd w:fill="FFFFFF" w:val="clear"/>
            <w:tcMar>
              <w:top w:type="dxa" w:w="90"/>
              <w:left w:type="dxa" w:w="120"/>
              <w:bottom w:type="dxa" w:w="90"/>
              <w:right w:type="dxa" w:w="120"/>
            </w:tcMar>
            <w:vAlign w:val="center"/>
          </w:tcPr>
          <w:p>
            <w:r>
              <w:rPr>
                <w:sz w:val="20"/>
                <w:szCs w:val="20"/>
              </w:rPr>
              <w:t xml:space="preserve">Technicien IT : gère les actifs (création, affectation, changement de statut, maintenance).</w:t>
            </w:r>
          </w:p>
        </w:tc>
      </w:tr>
      <w:tr>
        <w:tc>
          <w:tcPr>
            <w:tcW w:type="dxa" w:w="1800"/>
            <w:shd w:fill="F2F2F2" w:val="clear"/>
            <w:tcMar>
              <w:top w:type="dxa" w:w="90"/>
              <w:left w:type="dxa" w:w="120"/>
              <w:bottom w:type="dxa" w:w="90"/>
              <w:right w:type="dxa" w:w="120"/>
            </w:tcMar>
            <w:vAlign w:val="center"/>
          </w:tcPr>
          <w:p>
            <w:r>
              <w:rPr>
                <w:sz w:val="20"/>
                <w:szCs w:val="20"/>
              </w:rPr>
              <w:t xml:space="preserve">USER</w:t>
            </w:r>
          </w:p>
        </w:tc>
        <w:tc>
          <w:tcPr>
            <w:tcW w:type="dxa" w:w="7550"/>
            <w:shd w:fill="F2F2F2" w:val="clear"/>
            <w:tcMar>
              <w:top w:type="dxa" w:w="90"/>
              <w:left w:type="dxa" w:w="120"/>
              <w:bottom w:type="dxa" w:w="90"/>
              <w:right w:type="dxa" w:w="120"/>
            </w:tcMar>
            <w:vAlign w:val="center"/>
          </w:tcPr>
          <w:p>
            <w:r>
              <w:rPr>
                <w:sz w:val="20"/>
                <w:szCs w:val="20"/>
              </w:rPr>
              <w:t xml:space="preserve">Employé standard : consulte son propre matériel dôté, ses fiches de dotation.</w:t>
            </w:r>
          </w:p>
        </w:tc>
      </w:tr>
    </w:tbl>
    <w:p>
      <w:pPr>
        <w:spacing w:after="200"/>
      </w:pPr>
    </w:p>
    <w:p>
      <w:pPr>
        <w:pStyle w:val="Heading1"/>
        <w:pageBreakBefore/>
        <w:spacing w:after="200" w:before="400"/>
      </w:pPr>
      <w:r>
        <w:t xml:space="preserve">4. Authentification et sécurité</w:t>
      </w:r>
    </w:p>
    <w:p>
      <w:pPr>
        <w:pStyle w:val="Heading2"/>
        <w:spacing w:after="150" w:before="300"/>
      </w:pPr>
      <w:r>
        <w:t xml:space="preserve">4.1 Choix retenu : email + mot de passe</w:t>
      </w:r>
    </w:p>
    <w:p>
      <w:pPr>
        <w:spacing w:after="160"/>
      </w:pPr>
      <w:r>
        <w:t xml:space="preserve">Contrairement à la v2.0 (OTP sans mot de passe), Koraya adopte l'email + mot de passe (hashé BCrypt) comme mécanisme PRINCIPAL de connexion.</w:t>
      </w:r>
    </w:p>
    <w:tbl>
      <w:tblPr>
        <w:tblW w:type="pct" w:w="100%"/>
        <w:tblBorders>
          <w:top w:val="single" w:color="B8860B" w:sz="6"/>
          <w:left w:val="single" w:color="B8860B" w:sz="6"/>
          <w:bottom w:val="single" w:color="B8860B" w:sz="6"/>
          <w:right w:val="single" w:color="B8860B" w:sz="6"/>
          <w:insideH w:val="single" w:color="auto" w:sz="4"/>
          <w:insideV w:val="single" w:color="auto" w:sz="4"/>
        </w:tblBorders>
      </w:tblPr>
      <w:tblGrid>
        <w:gridCol w:w="100"/>
      </w:tblGrid>
      <w:tr>
        <w:tc>
          <w:tcPr>
            <w:shd w:fill="FFF8E7" w:val="clear"/>
            <w:tcMar>
              <w:top w:type="dxa" w:w="150"/>
              <w:left w:type="dxa" w:w="200"/>
              <w:bottom w:type="dxa" w:w="150"/>
              <w:right w:type="dxa" w:w="200"/>
            </w:tcMar>
          </w:tcPr>
          <w:p>
            <w:pPr>
              <w:spacing w:after="80"/>
            </w:pPr>
            <w:r>
              <w:rPr>
                <w:b/>
                <w:bCs/>
              </w:rPr>
              <w:t xml:space="preserve">⚠️ Pourquoi pas l'OTP en primaire ?</w:t>
            </w:r>
          </w:p>
          <w:p>
            <w:r>
              <w:t xml:space="preserve">L'authentification OTP par email nécessite un serveur SMTP fiable et disponible en continu. Actuellement, la configuration Office 365 SMTP n'est pas encore stabilisée en production (seul Mailhog est utilisé en local). Faire reposer la SEULE porte d'entrée de l'application sur l'envoi d'email créerait un point de défaillance critique : en cas de panne SMTP, plus personne ne peut se connecter, y compris les administrateurs. Le mot de passe reste donc le mécanisme principal, robuste et indépendant de l'infrastructure email.</w:t>
            </w:r>
          </w:p>
        </w:tc>
      </w:tr>
    </w:tbl>
    <w:p>
      <w:pPr>
        <w:spacing w:after="200"/>
      </w:pPr>
    </w:p>
    <w:p>
      <w:pPr>
        <w:pStyle w:val="Heading2"/>
        <w:spacing w:after="150" w:before="300"/>
      </w:pPr>
      <w:r>
        <w:t xml:space="preserve">4.2 OTP : option future pour actions sensibles</w:t>
      </w:r>
    </w:p>
    <w:p>
      <w:pPr>
        <w:spacing w:after="160"/>
      </w:pPr>
      <w:r>
        <w:t xml:space="preserve">Une fois l'intégration Office 365 SMTP stabilisée, l'OTP sera réintroduit, non pas comme mécanisme de connexion, mais comme confirmation d'actions sensibles ("sudo mode", inspiré de GitHub) :</w:t>
      </w:r>
    </w:p>
    <w:p>
      <w:pPr>
        <w:pStyle w:val="ListParagraph"/>
        <w:numPr>
          <w:ilvl w:val="0"/>
          <w:numId w:val="1"/>
        </w:numPr>
        <w:spacing w:after="80"/>
      </w:pPr>
      <w:r>
        <w:t xml:space="preserve">Suppression d'un utilisateur</w:t>
      </w:r>
    </w:p>
    <w:p>
      <w:pPr>
        <w:pStyle w:val="ListParagraph"/>
        <w:numPr>
          <w:ilvl w:val="0"/>
          <w:numId w:val="1"/>
        </w:numPr>
        <w:spacing w:after="80"/>
      </w:pPr>
      <w:r>
        <w:t xml:space="preserve">Modification des domaines email autorisés</w:t>
      </w:r>
    </w:p>
    <w:p>
      <w:pPr>
        <w:pStyle w:val="ListParagraph"/>
        <w:numPr>
          <w:ilvl w:val="0"/>
          <w:numId w:val="1"/>
        </w:numPr>
        <w:spacing w:after="80"/>
      </w:pPr>
      <w:r>
        <w:t xml:space="preserve">Export massif de données</w:t>
      </w:r>
    </w:p>
    <w:p>
      <w:pPr>
        <w:pStyle w:val="ListParagraph"/>
        <w:numPr>
          <w:ilvl w:val="0"/>
          <w:numId w:val="1"/>
        </w:numPr>
        <w:spacing w:after="80"/>
      </w:pPr>
      <w:r>
        <w:t xml:space="preserve">Modifications critiques de configuration</w:t>
      </w:r>
    </w:p>
    <w:p>
      <w:pPr>
        <w:pStyle w:val="Heading2"/>
        <w:spacing w:after="150" w:before="300"/>
      </w:pPr>
      <w:r>
        <w:t xml:space="preserve">4.3 Domaines email autorisés</w:t>
      </w:r>
    </w:p>
    <w:p>
      <w:pPr>
        <w:spacing w:after="160"/>
      </w:pPr>
      <w:r>
        <w:t xml:space="preserve">À la création d'un compte, l'email de l'utilisateur (alias + domaine sélectionné) doit appartenir à un AllowedEmailDomain actif. Garde-fous à respecter :</w:t>
      </w:r>
    </w:p>
    <w:p>
      <w:pPr>
        <w:pStyle w:val="ListParagraph"/>
        <w:numPr>
          <w:ilvl w:val="0"/>
          <w:numId w:val="1"/>
        </w:numPr>
        <w:spacing w:after="80"/>
      </w:pPr>
      <w:r>
        <w:t xml:space="preserve">Au moins un domaine actif obligatoire dans le système</w:t>
      </w:r>
    </w:p>
    <w:p>
      <w:pPr>
        <w:pStyle w:val="ListParagraph"/>
        <w:numPr>
          <w:ilvl w:val="0"/>
          <w:numId w:val="1"/>
        </w:numPr>
        <w:spacing w:after="80"/>
      </w:pPr>
      <w:r>
        <w:t xml:space="preserve">Toute modification de la liste des domaines est tracée en audit_log</w:t>
      </w:r>
    </w:p>
    <w:p>
      <w:pPr>
        <w:pStyle w:val="ListParagraph"/>
        <w:numPr>
          <w:ilvl w:val="0"/>
          <w:numId w:val="1"/>
        </w:numPr>
        <w:spacing w:after="80"/>
      </w:pPr>
      <w:r>
        <w:t xml:space="preserve">Désactiver un domaine n'affecte pas les comptes déjà créés (ils restent en base mais un nouveau compte ne peut plus l'utiliser)</w:t>
      </w:r>
    </w:p>
    <w:p>
      <w:pPr>
        <w:pStyle w:val="Heading2"/>
        <w:spacing w:after="150" w:before="300"/>
      </w:pPr>
      <w:r>
        <w:t xml:space="preserve">4.4 Sécurité applicative</w:t>
      </w:r>
    </w:p>
    <w:p>
      <w:pPr>
        <w:pStyle w:val="ListParagraph"/>
        <w:numPr>
          <w:ilvl w:val="0"/>
          <w:numId w:val="1"/>
        </w:numPr>
        <w:spacing w:after="80"/>
      </w:pPr>
      <w:r>
        <w:t xml:space="preserve">Mots de passe hashés BCrypt, jamais stockés en clair</w:t>
      </w:r>
    </w:p>
    <w:p>
      <w:pPr>
        <w:pStyle w:val="ListParagraph"/>
        <w:numPr>
          <w:ilvl w:val="0"/>
          <w:numId w:val="1"/>
        </w:numPr>
        <w:spacing w:after="80"/>
      </w:pPr>
      <w:r>
        <w:t xml:space="preserve">JWT après authentification réussie (access token courte durée, refresh token longue durée)</w:t>
      </w:r>
    </w:p>
    <w:p>
      <w:pPr>
        <w:pStyle w:val="ListParagraph"/>
        <w:numPr>
          <w:ilvl w:val="0"/>
          <w:numId w:val="1"/>
        </w:numPr>
        <w:spacing w:after="80"/>
      </w:pPr>
      <w:r>
        <w:t xml:space="preserve">SecurityConfig Spring Security : endpoints publics limités (health check, login), reste protégé par JWT</w:t>
      </w:r>
    </w:p>
    <w:p>
      <w:pPr>
        <w:pStyle w:val="ListParagraph"/>
        <w:numPr>
          <w:ilvl w:val="0"/>
          <w:numId w:val="1"/>
        </w:numPr>
        <w:spacing w:after="80"/>
      </w:pPr>
      <w:r>
        <w:t xml:space="preserve">Audit log sur les actions sensibles (création/suppression d'utilisateur, modification des domaines, changements de statut d'actif)</w:t>
      </w:r>
    </w:p>
    <w:p>
      <w:pPr>
        <w:spacing w:after="200"/>
      </w:pPr>
    </w:p>
    <w:p>
      <w:pPr>
        <w:pStyle w:val="Heading1"/>
        <w:pageBreakBefore/>
        <w:spacing w:after="200" w:before="400"/>
      </w:pPr>
      <w:r>
        <w:t xml:space="preserve">5. Module Gestion du Parc Informatique (Asset Management)</w:t>
      </w:r>
    </w:p>
    <w:p>
      <w:pPr>
        <w:pStyle w:val="Heading2"/>
        <w:spacing w:after="150" w:before="300"/>
      </w:pPr>
      <w:r>
        <w:t xml:space="preserve">5.1 Contexte</w:t>
      </w:r>
    </w:p>
    <w:p>
      <w:pPr>
        <w:spacing w:after="160"/>
      </w:pPr>
      <w:r>
        <w:t xml:space="preserve">Ce module remplace l'ancien fichier de suivi Excel INVENTAIRE_MATERIEL.xlsm utilisé par PFO Africa Sénégal, qui gérait manuellement le parc informatique de deux sites (Agence Dakar, ADT Chantier). Il devient le premier module livré de Koraya, avant le module Support.</w:t>
      </w:r>
    </w:p>
    <w:p>
      <w:pPr>
        <w:pStyle w:val="Heading2"/>
        <w:spacing w:after="150" w:before="300"/>
      </w:pPr>
      <w:r>
        <w:t xml:space="preserve">5.2 Objectifs</w:t>
      </w:r>
    </w:p>
    <w:p>
      <w:pPr>
        <w:pStyle w:val="ListParagraph"/>
        <w:numPr>
          <w:ilvl w:val="0"/>
          <w:numId w:val="1"/>
        </w:numPr>
        <w:spacing w:after="80"/>
      </w:pPr>
      <w:r>
        <w:t xml:space="preserve">Centraliser l'ensemble du matériel informatique de l'entreprise</w:t>
      </w:r>
    </w:p>
    <w:p>
      <w:pPr>
        <w:pStyle w:val="ListParagraph"/>
        <w:numPr>
          <w:ilvl w:val="0"/>
          <w:numId w:val="1"/>
        </w:numPr>
        <w:spacing w:after="80"/>
      </w:pPr>
      <w:r>
        <w:t xml:space="preserve">Suivre l'affectation du matériel aux collaborateurs dans le temps</w:t>
      </w:r>
    </w:p>
    <w:p>
      <w:pPr>
        <w:pStyle w:val="ListParagraph"/>
        <w:numPr>
          <w:ilvl w:val="0"/>
          <w:numId w:val="1"/>
        </w:numPr>
        <w:spacing w:after="80"/>
      </w:pPr>
      <w:r>
        <w:t xml:space="preserve">Tracer les changements de statut d'un actif (service, panne, stock, réforme...)</w:t>
      </w:r>
    </w:p>
    <w:p>
      <w:pPr>
        <w:pStyle w:val="ListParagraph"/>
        <w:numPr>
          <w:ilvl w:val="0"/>
          <w:numId w:val="1"/>
        </w:numPr>
        <w:spacing w:after="80"/>
      </w:pPr>
      <w:r>
        <w:t xml:space="preserve">Générer un document signé (Fiche de dotation) à chaque remise de matériel</w:t>
      </w:r>
    </w:p>
    <w:p>
      <w:pPr>
        <w:pStyle w:val="ListParagraph"/>
        <w:numPr>
          <w:ilvl w:val="0"/>
          <w:numId w:val="1"/>
        </w:numPr>
        <w:spacing w:after="80"/>
      </w:pPr>
      <w:r>
        <w:t xml:space="preserve">Servir de socle pour de futurs indicateurs (taux de pannes, coût du parc, fin de garantie)</w:t>
      </w:r>
    </w:p>
    <w:p>
      <w:pPr>
        <w:pStyle w:val="Heading2"/>
        <w:spacing w:after="150" w:before="300"/>
      </w:pPr>
      <w:r>
        <w:t xml:space="preserve">5.3 Modélisation des entités</w:t>
      </w:r>
    </w:p>
    <w:p>
      <w:pPr>
        <w:pStyle w:val="Heading3"/>
        <w:spacing w:after="100" w:before="200"/>
      </w:pPr>
      <w:r>
        <w:t xml:space="preserve">AssetCategory</w:t>
      </w:r>
    </w:p>
    <w:p>
      <w:pPr>
        <w:spacing w:after="160"/>
      </w:pPr>
      <w:r>
        <w:t xml:space="preserve">Catégories seedées au démarrage, reprises du fichier Excel existant :</w:t>
      </w:r>
    </w:p>
    <w:p>
      <w:pPr>
        <w:pStyle w:val="ListParagraph"/>
        <w:numPr>
          <w:ilvl w:val="0"/>
          <w:numId w:val="1"/>
        </w:numPr>
        <w:spacing w:after="80"/>
      </w:pPr>
      <w:r>
        <w:t xml:space="preserve">Ordinateur</w:t>
      </w:r>
    </w:p>
    <w:p>
      <w:pPr>
        <w:pStyle w:val="ListParagraph"/>
        <w:numPr>
          <w:ilvl w:val="0"/>
          <w:numId w:val="1"/>
        </w:numPr>
        <w:spacing w:after="80"/>
      </w:pPr>
      <w:r>
        <w:t xml:space="preserve">Téléphone</w:t>
      </w:r>
    </w:p>
    <w:p>
      <w:pPr>
        <w:pStyle w:val="ListParagraph"/>
        <w:numPr>
          <w:ilvl w:val="0"/>
          <w:numId w:val="1"/>
        </w:numPr>
        <w:spacing w:after="80"/>
      </w:pPr>
      <w:r>
        <w:t xml:space="preserve">SIM</w:t>
      </w:r>
    </w:p>
    <w:p>
      <w:pPr>
        <w:pStyle w:val="ListParagraph"/>
        <w:numPr>
          <w:ilvl w:val="0"/>
          <w:numId w:val="1"/>
        </w:numPr>
        <w:spacing w:after="80"/>
      </w:pPr>
      <w:r>
        <w:t xml:space="preserve">Écran externe</w:t>
      </w:r>
    </w:p>
    <w:p>
      <w:pPr>
        <w:pStyle w:val="ListParagraph"/>
        <w:numPr>
          <w:ilvl w:val="0"/>
          <w:numId w:val="1"/>
        </w:numPr>
        <w:spacing w:after="80"/>
      </w:pPr>
      <w:r>
        <w:t xml:space="preserve">Kit Clavier + Souris</w:t>
      </w:r>
    </w:p>
    <w:p>
      <w:pPr>
        <w:pStyle w:val="ListParagraph"/>
        <w:numPr>
          <w:ilvl w:val="0"/>
          <w:numId w:val="1"/>
        </w:numPr>
        <w:spacing w:after="80"/>
      </w:pPr>
      <w:r>
        <w:t xml:space="preserve">Imprimante</w:t>
      </w:r>
    </w:p>
    <w:p>
      <w:pPr>
        <w:pStyle w:val="ListParagraph"/>
        <w:numPr>
          <w:ilvl w:val="0"/>
          <w:numId w:val="1"/>
        </w:numPr>
        <w:spacing w:after="80"/>
      </w:pPr>
      <w:r>
        <w:t xml:space="preserve">NAS</w:t>
      </w:r>
    </w:p>
    <w:p>
      <w:pPr>
        <w:pStyle w:val="ListParagraph"/>
        <w:numPr>
          <w:ilvl w:val="0"/>
          <w:numId w:val="1"/>
        </w:numPr>
        <w:spacing w:after="80"/>
      </w:pPr>
      <w:r>
        <w:t xml:space="preserve">Autre</w:t>
      </w:r>
    </w:p>
    <w:p>
      <w:pPr>
        <w:pStyle w:val="Heading3"/>
        <w:spacing w:after="100" w:before="200"/>
      </w:pPr>
      <w:r>
        <w:t xml:space="preserve">Asset</w:t>
      </w:r>
    </w:p>
    <w:p>
      <w:pPr>
        <w:pStyle w:val="ListParagraph"/>
        <w:numPr>
          <w:ilvl w:val="0"/>
          <w:numId w:val="1"/>
        </w:numPr>
        <w:spacing w:after="80"/>
      </w:pPr>
      <w:r>
        <w:t xml:space="preserve">id (UUID v7)</w:t>
      </w:r>
    </w:p>
    <w:p>
      <w:pPr>
        <w:pStyle w:val="ListParagraph"/>
        <w:numPr>
          <w:ilvl w:val="0"/>
          <w:numId w:val="1"/>
        </w:numPr>
        <w:spacing w:after="80"/>
      </w:pPr>
      <w:r>
        <w:t xml:space="preserve">asset_tag (référence interne unique, ex: "PC-0042")</w:t>
      </w:r>
    </w:p>
    <w:p>
      <w:pPr>
        <w:pStyle w:val="ListParagraph"/>
        <w:numPr>
          <w:ilvl w:val="0"/>
          <w:numId w:val="1"/>
        </w:numPr>
        <w:spacing w:after="80"/>
      </w:pPr>
      <w:r>
        <w:t xml:space="preserve">category_id (FK AssetCategory)</w:t>
      </w:r>
    </w:p>
    <w:p>
      <w:pPr>
        <w:pStyle w:val="ListParagraph"/>
        <w:numPr>
          <w:ilvl w:val="0"/>
          <w:numId w:val="1"/>
        </w:numPr>
        <w:spacing w:after="80"/>
      </w:pPr>
      <w:r>
        <w:t xml:space="preserve">brand, model, serial_number</w:t>
      </w:r>
    </w:p>
    <w:p>
      <w:pPr>
        <w:pStyle w:val="ListParagraph"/>
        <w:numPr>
          <w:ilvl w:val="0"/>
          <w:numId w:val="1"/>
        </w:numPr>
        <w:spacing w:after="80"/>
      </w:pPr>
      <w:r>
        <w:t xml:space="preserve">acquisition_date</w:t>
      </w:r>
    </w:p>
    <w:p>
      <w:pPr>
        <w:pStyle w:val="ListParagraph"/>
        <w:numPr>
          <w:ilvl w:val="0"/>
          <w:numId w:val="1"/>
        </w:numPr>
        <w:spacing w:after="80"/>
      </w:pPr>
      <w:r>
        <w:t xml:space="preserve">bl_number (numéro de bon de livraison)</w:t>
      </w:r>
    </w:p>
    <w:p>
      <w:pPr>
        <w:pStyle w:val="ListParagraph"/>
        <w:numPr>
          <w:ilvl w:val="0"/>
          <w:numId w:val="1"/>
        </w:numPr>
        <w:spacing w:after="80"/>
      </w:pPr>
      <w:r>
        <w:t xml:space="preserve">invoice_number (numéro de facture)</w:t>
      </w:r>
    </w:p>
    <w:p>
      <w:pPr>
        <w:pStyle w:val="ListParagraph"/>
        <w:numPr>
          <w:ilvl w:val="0"/>
          <w:numId w:val="1"/>
        </w:numPr>
        <w:spacing w:after="80"/>
      </w:pPr>
      <w:r>
        <w:t xml:space="preserve">status (EN_SERVICE | HORS_SERVICE | EN_STOCK | REAFFECTE | EN_MAINTENANCE | REFORME)</w:t>
      </w:r>
    </w:p>
    <w:p>
      <w:pPr>
        <w:pStyle w:val="ListParagraph"/>
        <w:numPr>
          <w:ilvl w:val="0"/>
          <w:numId w:val="1"/>
        </w:numPr>
        <w:spacing w:after="80"/>
      </w:pPr>
      <w:r>
        <w:t xml:space="preserve">site_id (FK Site)</w:t>
      </w:r>
    </w:p>
    <w:p>
      <w:pPr>
        <w:pStyle w:val="ListParagraph"/>
        <w:numPr>
          <w:ilvl w:val="0"/>
          <w:numId w:val="1"/>
        </w:numPr>
        <w:spacing w:after="80"/>
      </w:pPr>
      <w:r>
        <w:t xml:space="preserve">current_user_id (FK User, nullable — nullable pour le matériel partagé ou en stock)</w:t>
      </w:r>
    </w:p>
    <w:p>
      <w:pPr>
        <w:pStyle w:val="ListParagraph"/>
        <w:numPr>
          <w:ilvl w:val="0"/>
          <w:numId w:val="1"/>
        </w:numPr>
        <w:spacing w:after="80"/>
      </w:pPr>
      <w:r>
        <w:t xml:space="preserve">phone_number (nullable, spécifique aux lignes SIM/téléphone)</w:t>
      </w:r>
    </w:p>
    <w:p>
      <w:pPr>
        <w:pStyle w:val="ListParagraph"/>
        <w:numPr>
          <w:ilvl w:val="0"/>
          <w:numId w:val="1"/>
        </w:numPr>
        <w:spacing w:after="80"/>
      </w:pPr>
      <w:r>
        <w:t xml:space="preserve">notes</w:t>
      </w:r>
    </w:p>
    <w:p>
      <w:pPr>
        <w:pStyle w:val="Heading3"/>
        <w:spacing w:after="100" w:before="200"/>
      </w:pPr>
      <w:r>
        <w:t xml:space="preserve">AssetAssignmentHistory</w:t>
      </w:r>
    </w:p>
    <w:p>
      <w:pPr>
        <w:spacing w:after="160"/>
      </w:pPr>
      <w:r>
        <w:t xml:space="preserve">Historise chaque affectation et restitution d'un actif à un utilisateur.</w:t>
      </w:r>
    </w:p>
    <w:p>
      <w:pPr>
        <w:pStyle w:val="ListParagraph"/>
        <w:numPr>
          <w:ilvl w:val="0"/>
          <w:numId w:val="1"/>
        </w:numPr>
        <w:spacing w:after="80"/>
      </w:pPr>
      <w:r>
        <w:t xml:space="preserve">id (UUID v7)</w:t>
      </w:r>
    </w:p>
    <w:p>
      <w:pPr>
        <w:pStyle w:val="ListParagraph"/>
        <w:numPr>
          <w:ilvl w:val="0"/>
          <w:numId w:val="1"/>
        </w:numPr>
        <w:spacing w:after="80"/>
      </w:pPr>
      <w:r>
        <w:t xml:space="preserve">asset_id (FK Asset)</w:t>
      </w:r>
    </w:p>
    <w:p>
      <w:pPr>
        <w:pStyle w:val="ListParagraph"/>
        <w:numPr>
          <w:ilvl w:val="0"/>
          <w:numId w:val="1"/>
        </w:numPr>
        <w:spacing w:after="80"/>
      </w:pPr>
      <w:r>
        <w:t xml:space="preserve">user_id (FK User)</w:t>
      </w:r>
    </w:p>
    <w:p>
      <w:pPr>
        <w:pStyle w:val="ListParagraph"/>
        <w:numPr>
          <w:ilvl w:val="0"/>
          <w:numId w:val="1"/>
        </w:numPr>
        <w:spacing w:after="80"/>
      </w:pPr>
      <w:r>
        <w:t xml:space="preserve">assigned_at, returned_at (nullable tant que non restitué)</w:t>
      </w:r>
    </w:p>
    <w:p>
      <w:pPr>
        <w:pStyle w:val="ListParagraph"/>
        <w:numPr>
          <w:ilvl w:val="0"/>
          <w:numId w:val="1"/>
        </w:numPr>
        <w:spacing w:after="80"/>
      </w:pPr>
      <w:r>
        <w:t xml:space="preserve">assigned_by (FK User, qui a réalisé l'affectation)</w:t>
      </w:r>
    </w:p>
    <w:p>
      <w:pPr>
        <w:pStyle w:val="ListParagraph"/>
        <w:numPr>
          <w:ilvl w:val="0"/>
          <w:numId w:val="1"/>
        </w:numPr>
        <w:spacing w:after="80"/>
      </w:pPr>
      <w:r>
        <w:t xml:space="preserve">condition_on_assign, condition_on_return (état constaté du matériel)</w:t>
      </w:r>
    </w:p>
    <w:p>
      <w:pPr>
        <w:pStyle w:val="ListParagraph"/>
        <w:numPr>
          <w:ilvl w:val="0"/>
          <w:numId w:val="1"/>
        </w:numPr>
        <w:spacing w:after="80"/>
      </w:pPr>
      <w:r>
        <w:t xml:space="preserve">notes</w:t>
      </w:r>
    </w:p>
    <w:p>
      <w:pPr>
        <w:pStyle w:val="Heading3"/>
        <w:spacing w:after="100" w:before="200"/>
      </w:pPr>
      <w:r>
        <w:t xml:space="preserve">AssetStatusHistory</w:t>
      </w:r>
    </w:p>
    <w:p>
      <w:pPr>
        <w:spacing w:after="160"/>
      </w:pPr>
      <w:r>
        <w:t xml:space="preserve">Historise chaque changement de statut d'un actif, pour audit et traçabilité.</w:t>
      </w:r>
    </w:p>
    <w:p>
      <w:pPr>
        <w:pStyle w:val="ListParagraph"/>
        <w:numPr>
          <w:ilvl w:val="0"/>
          <w:numId w:val="1"/>
        </w:numPr>
        <w:spacing w:after="80"/>
      </w:pPr>
      <w:r>
        <w:t xml:space="preserve">id (UUID v7)</w:t>
      </w:r>
    </w:p>
    <w:p>
      <w:pPr>
        <w:pStyle w:val="ListParagraph"/>
        <w:numPr>
          <w:ilvl w:val="0"/>
          <w:numId w:val="1"/>
        </w:numPr>
        <w:spacing w:after="80"/>
      </w:pPr>
      <w:r>
        <w:t xml:space="preserve">asset_id (FK Asset)</w:t>
      </w:r>
    </w:p>
    <w:p>
      <w:pPr>
        <w:pStyle w:val="ListParagraph"/>
        <w:numPr>
          <w:ilvl w:val="0"/>
          <w:numId w:val="1"/>
        </w:numPr>
        <w:spacing w:after="80"/>
      </w:pPr>
      <w:r>
        <w:t xml:space="preserve">old_status, new_status</w:t>
      </w:r>
    </w:p>
    <w:p>
      <w:pPr>
        <w:pStyle w:val="ListParagraph"/>
        <w:numPr>
          <w:ilvl w:val="0"/>
          <w:numId w:val="1"/>
        </w:numPr>
        <w:spacing w:after="80"/>
      </w:pPr>
      <w:r>
        <w:t xml:space="preserve">changed_at, changed_by (FK User)</w:t>
      </w:r>
    </w:p>
    <w:p>
      <w:pPr>
        <w:pStyle w:val="ListParagraph"/>
        <w:numPr>
          <w:ilvl w:val="0"/>
          <w:numId w:val="1"/>
        </w:numPr>
        <w:spacing w:after="80"/>
      </w:pPr>
      <w:r>
        <w:t xml:space="preserve">reason</w:t>
      </w:r>
    </w:p>
    <w:p>
      <w:pPr>
        <w:pStyle w:val="Heading2"/>
        <w:spacing w:after="150" w:before="300"/>
      </w:pPr>
      <w:r>
        <w:t xml:space="preserve">5.4 États possibles d'un actif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A5F" w:val="clear"/>
            <w:tcMar>
              <w:top w:type="dxa" w:w="100"/>
              <w:left w:type="dxa" w:w="120"/>
              <w:bottom w:type="dxa" w:w="100"/>
              <w:right w:type="dxa" w:w="120"/>
            </w:tcMar>
            <w:vAlign w:val="center"/>
          </w:tcPr>
          <w:p>
            <w:r>
              <w:rPr>
                <w:b/>
                <w:bCs/>
                <w:color w:val="FFFFFF"/>
                <w:sz w:val="20"/>
                <w:szCs w:val="20"/>
              </w:rPr>
              <w:t xml:space="preserve">État</w:t>
            </w:r>
          </w:p>
        </w:tc>
        <w:tc>
          <w:tcPr>
            <w:tcW w:type="dxa" w:w="6950"/>
            <w:shd w:fill="1F3A5F"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400"/>
            <w:shd w:fill="FFFFFF" w:val="clear"/>
            <w:tcMar>
              <w:top w:type="dxa" w:w="90"/>
              <w:left w:type="dxa" w:w="120"/>
              <w:bottom w:type="dxa" w:w="90"/>
              <w:right w:type="dxa" w:w="120"/>
            </w:tcMar>
            <w:vAlign w:val="center"/>
          </w:tcPr>
          <w:p>
            <w:r>
              <w:rPr>
                <w:sz w:val="20"/>
                <w:szCs w:val="20"/>
              </w:rPr>
              <w:t xml:space="preserve">EN_SERVICE</w:t>
            </w:r>
          </w:p>
        </w:tc>
        <w:tc>
          <w:tcPr>
            <w:tcW w:type="dxa" w:w="6950"/>
            <w:shd w:fill="FFFFFF" w:val="clear"/>
            <w:tcMar>
              <w:top w:type="dxa" w:w="90"/>
              <w:left w:type="dxa" w:w="120"/>
              <w:bottom w:type="dxa" w:w="90"/>
              <w:right w:type="dxa" w:w="120"/>
            </w:tcMar>
            <w:vAlign w:val="center"/>
          </w:tcPr>
          <w:p>
            <w:r>
              <w:rPr>
                <w:sz w:val="20"/>
                <w:szCs w:val="20"/>
              </w:rPr>
              <w:t xml:space="preserve">Actif en cours d'utilisation par un collaborateur ou un service.</w:t>
            </w:r>
          </w:p>
        </w:tc>
      </w:tr>
      <w:tr>
        <w:tc>
          <w:tcPr>
            <w:tcW w:type="dxa" w:w="2400"/>
            <w:shd w:fill="F2F2F2" w:val="clear"/>
            <w:tcMar>
              <w:top w:type="dxa" w:w="90"/>
              <w:left w:type="dxa" w:w="120"/>
              <w:bottom w:type="dxa" w:w="90"/>
              <w:right w:type="dxa" w:w="120"/>
            </w:tcMar>
            <w:vAlign w:val="center"/>
          </w:tcPr>
          <w:p>
            <w:r>
              <w:rPr>
                <w:sz w:val="20"/>
                <w:szCs w:val="20"/>
              </w:rPr>
              <w:t xml:space="preserve">HORS_SERVICE</w:t>
            </w:r>
          </w:p>
        </w:tc>
        <w:tc>
          <w:tcPr>
            <w:tcW w:type="dxa" w:w="6950"/>
            <w:shd w:fill="F2F2F2" w:val="clear"/>
            <w:tcMar>
              <w:top w:type="dxa" w:w="90"/>
              <w:left w:type="dxa" w:w="120"/>
              <w:bottom w:type="dxa" w:w="90"/>
              <w:right w:type="dxa" w:w="120"/>
            </w:tcMar>
            <w:vAlign w:val="center"/>
          </w:tcPr>
          <w:p>
            <w:r>
              <w:rPr>
                <w:sz w:val="20"/>
                <w:szCs w:val="20"/>
              </w:rPr>
              <w:t xml:space="preserve">Actif non fonctionnel, en attente de diagnostic ou de décision.</w:t>
            </w:r>
          </w:p>
        </w:tc>
      </w:tr>
      <w:tr>
        <w:tc>
          <w:tcPr>
            <w:tcW w:type="dxa" w:w="2400"/>
            <w:shd w:fill="FFFFFF" w:val="clear"/>
            <w:tcMar>
              <w:top w:type="dxa" w:w="90"/>
              <w:left w:type="dxa" w:w="120"/>
              <w:bottom w:type="dxa" w:w="90"/>
              <w:right w:type="dxa" w:w="120"/>
            </w:tcMar>
            <w:vAlign w:val="center"/>
          </w:tcPr>
          <w:p>
            <w:r>
              <w:rPr>
                <w:sz w:val="20"/>
                <w:szCs w:val="20"/>
              </w:rPr>
              <w:t xml:space="preserve">EN_STOCK</w:t>
            </w:r>
          </w:p>
        </w:tc>
        <w:tc>
          <w:tcPr>
            <w:tcW w:type="dxa" w:w="6950"/>
            <w:shd w:fill="FFFFFF" w:val="clear"/>
            <w:tcMar>
              <w:top w:type="dxa" w:w="90"/>
              <w:left w:type="dxa" w:w="120"/>
              <w:bottom w:type="dxa" w:w="90"/>
              <w:right w:type="dxa" w:w="120"/>
            </w:tcMar>
            <w:vAlign w:val="center"/>
          </w:tcPr>
          <w:p>
            <w:r>
              <w:rPr>
                <w:sz w:val="20"/>
                <w:szCs w:val="20"/>
              </w:rPr>
              <w:t xml:space="preserve">Actif disponible, non affecté, en réserve.</w:t>
            </w:r>
          </w:p>
        </w:tc>
      </w:tr>
      <w:tr>
        <w:tc>
          <w:tcPr>
            <w:tcW w:type="dxa" w:w="2400"/>
            <w:shd w:fill="F2F2F2" w:val="clear"/>
            <w:tcMar>
              <w:top w:type="dxa" w:w="90"/>
              <w:left w:type="dxa" w:w="120"/>
              <w:bottom w:type="dxa" w:w="90"/>
              <w:right w:type="dxa" w:w="120"/>
            </w:tcMar>
            <w:vAlign w:val="center"/>
          </w:tcPr>
          <w:p>
            <w:r>
              <w:rPr>
                <w:sz w:val="20"/>
                <w:szCs w:val="20"/>
              </w:rPr>
              <w:t xml:space="preserve">REAFFECTE</w:t>
            </w:r>
          </w:p>
        </w:tc>
        <w:tc>
          <w:tcPr>
            <w:tcW w:type="dxa" w:w="6950"/>
            <w:shd w:fill="F2F2F2" w:val="clear"/>
            <w:tcMar>
              <w:top w:type="dxa" w:w="90"/>
              <w:left w:type="dxa" w:w="120"/>
              <w:bottom w:type="dxa" w:w="90"/>
              <w:right w:type="dxa" w:w="120"/>
            </w:tcMar>
            <w:vAlign w:val="center"/>
          </w:tcPr>
          <w:p>
            <w:r>
              <w:rPr>
                <w:sz w:val="20"/>
                <w:szCs w:val="20"/>
              </w:rPr>
              <w:t xml:space="preserve">Actif venant de changer d'utilisateur suite à restitution/réattribution.</w:t>
            </w:r>
          </w:p>
        </w:tc>
      </w:tr>
      <w:tr>
        <w:tc>
          <w:tcPr>
            <w:tcW w:type="dxa" w:w="2400"/>
            <w:shd w:fill="FFFFFF" w:val="clear"/>
            <w:tcMar>
              <w:top w:type="dxa" w:w="90"/>
              <w:left w:type="dxa" w:w="120"/>
              <w:bottom w:type="dxa" w:w="90"/>
              <w:right w:type="dxa" w:w="120"/>
            </w:tcMar>
            <w:vAlign w:val="center"/>
          </w:tcPr>
          <w:p>
            <w:r>
              <w:rPr>
                <w:sz w:val="20"/>
                <w:szCs w:val="20"/>
              </w:rPr>
              <w:t xml:space="preserve">EN_MAINTENANCE</w:t>
            </w:r>
          </w:p>
        </w:tc>
        <w:tc>
          <w:tcPr>
            <w:tcW w:type="dxa" w:w="6950"/>
            <w:shd w:fill="FFFFFF" w:val="clear"/>
            <w:tcMar>
              <w:top w:type="dxa" w:w="90"/>
              <w:left w:type="dxa" w:w="120"/>
              <w:bottom w:type="dxa" w:w="90"/>
              <w:right w:type="dxa" w:w="120"/>
            </w:tcMar>
            <w:vAlign w:val="center"/>
          </w:tcPr>
          <w:p>
            <w:r>
              <w:rPr>
                <w:sz w:val="20"/>
                <w:szCs w:val="20"/>
              </w:rPr>
              <w:t xml:space="preserve">Actif en cours de réparation ou d'intervention technique.</w:t>
            </w:r>
          </w:p>
        </w:tc>
      </w:tr>
      <w:tr>
        <w:tc>
          <w:tcPr>
            <w:tcW w:type="dxa" w:w="2400"/>
            <w:shd w:fill="F2F2F2" w:val="clear"/>
            <w:tcMar>
              <w:top w:type="dxa" w:w="90"/>
              <w:left w:type="dxa" w:w="120"/>
              <w:bottom w:type="dxa" w:w="90"/>
              <w:right w:type="dxa" w:w="120"/>
            </w:tcMar>
            <w:vAlign w:val="center"/>
          </w:tcPr>
          <w:p>
            <w:r>
              <w:rPr>
                <w:sz w:val="20"/>
                <w:szCs w:val="20"/>
              </w:rPr>
              <w:t xml:space="preserve">REFORME</w:t>
            </w:r>
          </w:p>
        </w:tc>
        <w:tc>
          <w:tcPr>
            <w:tcW w:type="dxa" w:w="6950"/>
            <w:shd w:fill="F2F2F2" w:val="clear"/>
            <w:tcMar>
              <w:top w:type="dxa" w:w="90"/>
              <w:left w:type="dxa" w:w="120"/>
              <w:bottom w:type="dxa" w:w="90"/>
              <w:right w:type="dxa" w:w="120"/>
            </w:tcMar>
            <w:vAlign w:val="center"/>
          </w:tcPr>
          <w:p>
            <w:r>
              <w:rPr>
                <w:sz w:val="20"/>
                <w:szCs w:val="20"/>
              </w:rPr>
              <w:t xml:space="preserve">Actif définitivement retiré du parc (fin de vie).</w:t>
            </w:r>
          </w:p>
        </w:tc>
      </w:tr>
    </w:tbl>
    <w:p>
      <w:pPr>
        <w:spacing w:after="200"/>
      </w:pPr>
    </w:p>
    <w:p>
      <w:pPr>
        <w:pStyle w:val="Heading2"/>
        <w:spacing w:after="150" w:before="300"/>
      </w:pPr>
      <w:r>
        <w:t xml:space="preserve">5.5 Fiche de dotation (génération PDF)</w:t>
      </w:r>
    </w:p>
    <w:p>
      <w:pPr>
        <w:spacing w:after="160"/>
      </w:pPr>
      <w:r>
        <w:t xml:space="preserve">Fonctionnalité conservée de l'ancien processus Excel/papier : à chaque remise de matériel à un collaborateur, Koraya génère un document PDF récapitulant le matériel remis, à faire signer par :</w:t>
      </w:r>
    </w:p>
    <w:p>
      <w:pPr>
        <w:pStyle w:val="ListParagraph"/>
        <w:numPr>
          <w:ilvl w:val="0"/>
          <w:numId w:val="1"/>
        </w:numPr>
        <w:spacing w:after="80"/>
      </w:pPr>
      <w:r>
        <w:t xml:space="preserve">Le bénéficiaire (collaborateur recevant le matériel)</w:t>
      </w:r>
    </w:p>
    <w:p>
      <w:pPr>
        <w:pStyle w:val="ListParagraph"/>
        <w:numPr>
          <w:ilvl w:val="0"/>
          <w:numId w:val="1"/>
        </w:numPr>
        <w:spacing w:after="80"/>
      </w:pPr>
      <w:r>
        <w:t xml:space="preserve">Le supérieur hiérarchique</w:t>
      </w:r>
    </w:p>
    <w:p>
      <w:pPr>
        <w:pStyle w:val="ListParagraph"/>
        <w:numPr>
          <w:ilvl w:val="0"/>
          <w:numId w:val="1"/>
        </w:numPr>
        <w:spacing w:after="80"/>
      </w:pPr>
      <w:r>
        <w:t xml:space="preserve">La cellule informatique</w:t>
      </w:r>
    </w:p>
    <w:p>
      <w:pPr>
        <w:spacing w:after="160"/>
      </w:pPr>
      <w:r>
        <w:t xml:space="preserve">Le document reprend, pour chaque actif remis : type d'équipement, marque/modèle, numéro de série, date d'acquisition, observations. Une case de déclaration de conformité ("Je soussigné(e)... déclare avoir vérifié et confirmé l'exactitude des informations") est incluse, comme dans le document Excel d'origine.</w:t>
      </w:r>
    </w:p>
    <w:p>
      <w:pPr>
        <w:pStyle w:val="Heading2"/>
        <w:spacing w:after="150" w:before="300"/>
      </w:pPr>
      <w:r>
        <w:t xml:space="preserve">5.6 Import des données existantes</w:t>
      </w:r>
    </w:p>
    <w:p>
      <w:pPr>
        <w:spacing w:after="160"/>
      </w:pPr>
      <w:r>
        <w:t xml:space="preserve">Décision actée : aucune migration des données de l'ancien fichier Excel n'est réalisée. Le déploiement démarre avec une base vide ; la ressaisie du parc existant se fait manuellement dans l'application au fil de l'eau.</w:t>
      </w:r>
    </w:p>
    <w:p>
      <w:pPr>
        <w:spacing w:after="200"/>
      </w:pPr>
    </w:p>
    <w:p>
      <w:pPr>
        <w:pStyle w:val="Heading1"/>
        <w:pageBreakBefore/>
        <w:spacing w:after="200" w:before="400"/>
      </w:pPr>
      <w:r>
        <w:t xml:space="preserve">6. Roadmap de développement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100"/>
              <w:left w:type="dxa" w:w="120"/>
              <w:bottom w:type="dxa" w:w="100"/>
              <w:right w:type="dxa" w:w="120"/>
            </w:tcMar>
            <w:vAlign w:val="center"/>
          </w:tcPr>
          <w:p>
            <w:r>
              <w:rPr>
                <w:b/>
                <w:bCs/>
                <w:color w:val="FFFFFF"/>
                <w:sz w:val="20"/>
                <w:szCs w:val="20"/>
              </w:rPr>
              <w:t xml:space="preserve">Phase</w:t>
            </w:r>
          </w:p>
        </w:tc>
        <w:tc>
          <w:tcPr>
            <w:tcW w:type="dxa" w:w="6750"/>
            <w:shd w:fill="1F3A5F" w:val="clear"/>
            <w:tcMar>
              <w:top w:type="dxa" w:w="100"/>
              <w:left w:type="dxa" w:w="120"/>
              <w:bottom w:type="dxa" w:w="100"/>
              <w:right w:type="dxa" w:w="120"/>
            </w:tcMar>
            <w:vAlign w:val="center"/>
          </w:tcPr>
          <w:p>
            <w:r>
              <w:rPr>
                <w:b/>
                <w:bCs/>
                <w:color w:val="FFFFFF"/>
                <w:sz w:val="20"/>
                <w:szCs w:val="20"/>
              </w:rPr>
              <w:t xml:space="preserve">Contenu</w:t>
            </w:r>
          </w:p>
        </w:tc>
      </w:tr>
      <w:tr>
        <w:tc>
          <w:tcPr>
            <w:tcW w:type="dxa" w:w="2600"/>
            <w:shd w:fill="FFFFFF" w:val="clear"/>
            <w:tcMar>
              <w:top w:type="dxa" w:w="90"/>
              <w:left w:type="dxa" w:w="120"/>
              <w:bottom w:type="dxa" w:w="90"/>
              <w:right w:type="dxa" w:w="120"/>
            </w:tcMar>
            <w:vAlign w:val="center"/>
          </w:tcPr>
          <w:p>
            <w:r>
              <w:rPr>
                <w:sz w:val="20"/>
                <w:szCs w:val="20"/>
              </w:rPr>
              <w:t xml:space="preserve">Phase 1 — Fondations</w:t>
            </w:r>
          </w:p>
        </w:tc>
        <w:tc>
          <w:tcPr>
            <w:tcW w:type="dxa" w:w="6750"/>
            <w:shd w:fill="FFFFFF" w:val="clear"/>
            <w:tcMar>
              <w:top w:type="dxa" w:w="90"/>
              <w:left w:type="dxa" w:w="120"/>
              <w:bottom w:type="dxa" w:w="90"/>
              <w:right w:type="dxa" w:w="120"/>
            </w:tcMar>
            <w:vAlign w:val="center"/>
          </w:tcPr>
          <w:p>
            <w:r>
              <w:rPr>
                <w:sz w:val="20"/>
                <w:szCs w:val="20"/>
              </w:rPr>
              <w:t xml:space="preserve">Setup projet Spring Boot (module unique), Liquibase, Spring Security, JWT, authentification email/password, entités Site/Department/JobTitle/AllowedEmailDomain/User</w:t>
            </w:r>
          </w:p>
        </w:tc>
      </w:tr>
      <w:tr>
        <w:tc>
          <w:tcPr>
            <w:tcW w:type="dxa" w:w="2600"/>
            <w:shd w:fill="F2F2F2" w:val="clear"/>
            <w:tcMar>
              <w:top w:type="dxa" w:w="90"/>
              <w:left w:type="dxa" w:w="120"/>
              <w:bottom w:type="dxa" w:w="90"/>
              <w:right w:type="dxa" w:w="120"/>
            </w:tcMar>
            <w:vAlign w:val="center"/>
          </w:tcPr>
          <w:p>
            <w:r>
              <w:rPr>
                <w:sz w:val="20"/>
                <w:szCs w:val="20"/>
              </w:rPr>
              <w:t xml:space="preserve">Phase 2 — Asset Management (MVP)</w:t>
            </w:r>
          </w:p>
        </w:tc>
        <w:tc>
          <w:tcPr>
            <w:tcW w:type="dxa" w:w="6750"/>
            <w:shd w:fill="F2F2F2" w:val="clear"/>
            <w:tcMar>
              <w:top w:type="dxa" w:w="90"/>
              <w:left w:type="dxa" w:w="120"/>
              <w:bottom w:type="dxa" w:w="90"/>
              <w:right w:type="dxa" w:w="120"/>
            </w:tcMar>
            <w:vAlign w:val="center"/>
          </w:tcPr>
          <w:p>
            <w:r>
              <w:rPr>
                <w:sz w:val="20"/>
                <w:szCs w:val="20"/>
              </w:rPr>
              <w:t xml:space="preserve">CRUD Asset, AssetCategory, affectation à un utilisateur, historique des statuts et affectations, génération PDF de la Fiche de dotation</w:t>
            </w:r>
          </w:p>
        </w:tc>
      </w:tr>
      <w:tr>
        <w:tc>
          <w:tcPr>
            <w:tcW w:type="dxa" w:w="2600"/>
            <w:shd w:fill="FFFFFF" w:val="clear"/>
            <w:tcMar>
              <w:top w:type="dxa" w:w="90"/>
              <w:left w:type="dxa" w:w="120"/>
              <w:bottom w:type="dxa" w:w="90"/>
              <w:right w:type="dxa" w:w="120"/>
            </w:tcMar>
            <w:vAlign w:val="center"/>
          </w:tcPr>
          <w:p>
            <w:r>
              <w:rPr>
                <w:sz w:val="20"/>
                <w:szCs w:val="20"/>
              </w:rPr>
              <w:t xml:space="preserve">Phase 3 — Consolidation</w:t>
            </w:r>
          </w:p>
        </w:tc>
        <w:tc>
          <w:tcPr>
            <w:tcW w:type="dxa" w:w="6750"/>
            <w:shd w:fill="FFFFFF" w:val="clear"/>
            <w:tcMar>
              <w:top w:type="dxa" w:w="90"/>
              <w:left w:type="dxa" w:w="120"/>
              <w:bottom w:type="dxa" w:w="90"/>
              <w:right w:type="dxa" w:w="120"/>
            </w:tcMar>
            <w:vAlign w:val="center"/>
          </w:tcPr>
          <w:p>
            <w:r>
              <w:rPr>
                <w:sz w:val="20"/>
                <w:szCs w:val="20"/>
              </w:rPr>
              <w:t xml:space="preserve">Dashboard parc (répartition par statut/site/catégorie), audit log complet, intégration Office 365 SMTP stabilisée</w:t>
            </w:r>
          </w:p>
        </w:tc>
      </w:tr>
      <w:tr>
        <w:tc>
          <w:tcPr>
            <w:tcW w:type="dxa" w:w="2600"/>
            <w:shd w:fill="F2F2F2" w:val="clear"/>
            <w:tcMar>
              <w:top w:type="dxa" w:w="90"/>
              <w:left w:type="dxa" w:w="120"/>
              <w:bottom w:type="dxa" w:w="90"/>
              <w:right w:type="dxa" w:w="120"/>
            </w:tcMar>
            <w:vAlign w:val="center"/>
          </w:tcPr>
          <w:p>
            <w:r>
              <w:rPr>
                <w:sz w:val="20"/>
                <w:szCs w:val="20"/>
              </w:rPr>
              <w:t xml:space="preserve">Phase 4 — OTP sudo mode</w:t>
            </w:r>
          </w:p>
        </w:tc>
        <w:tc>
          <w:tcPr>
            <w:tcW w:type="dxa" w:w="6750"/>
            <w:shd w:fill="F2F2F2" w:val="clear"/>
            <w:tcMar>
              <w:top w:type="dxa" w:w="90"/>
              <w:left w:type="dxa" w:w="120"/>
              <w:bottom w:type="dxa" w:w="90"/>
              <w:right w:type="dxa" w:w="120"/>
            </w:tcMar>
            <w:vAlign w:val="center"/>
          </w:tcPr>
          <w:p>
            <w:r>
              <w:rPr>
                <w:sz w:val="20"/>
                <w:szCs w:val="20"/>
              </w:rPr>
              <w:t xml:space="preserve">Réintroduction de l'OTP pour les actions sensibles, une fois le SMTP fiable</w:t>
            </w:r>
          </w:p>
        </w:tc>
      </w:tr>
      <w:tr>
        <w:tc>
          <w:tcPr>
            <w:tcW w:type="dxa" w:w="2600"/>
            <w:shd w:fill="FFFFFF" w:val="clear"/>
            <w:tcMar>
              <w:top w:type="dxa" w:w="90"/>
              <w:left w:type="dxa" w:w="120"/>
              <w:bottom w:type="dxa" w:w="90"/>
              <w:right w:type="dxa" w:w="120"/>
            </w:tcMar>
            <w:vAlign w:val="center"/>
          </w:tcPr>
          <w:p>
            <w:r>
              <w:rPr>
                <w:sz w:val="20"/>
                <w:szCs w:val="20"/>
              </w:rPr>
              <w:t xml:space="preserve">Phase 5 — Module Support</w:t>
            </w:r>
          </w:p>
        </w:tc>
        <w:tc>
          <w:tcPr>
            <w:tcW w:type="dxa" w:w="6750"/>
            <w:shd w:fill="FFFFFF" w:val="clear"/>
            <w:tcMar>
              <w:top w:type="dxa" w:w="90"/>
              <w:left w:type="dxa" w:w="120"/>
              <w:bottom w:type="dxa" w:w="90"/>
              <w:right w:type="dxa" w:w="120"/>
            </w:tcMar>
            <w:vAlign w:val="center"/>
          </w:tcPr>
          <w:p>
            <w:r>
              <w:rPr>
                <w:sz w:val="20"/>
                <w:szCs w:val="20"/>
              </w:rPr>
              <w:t xml:space="preserve">Reprise du module Support Utilisateur (tickets, affectation automatique), adapté à l'architecture mono-tenant</w:t>
            </w:r>
          </w:p>
        </w:tc>
      </w:tr>
      <w:tr>
        <w:tc>
          <w:tcPr>
            <w:tcW w:type="dxa" w:w="2600"/>
            <w:shd w:fill="F2F2F2" w:val="clear"/>
            <w:tcMar>
              <w:top w:type="dxa" w:w="90"/>
              <w:left w:type="dxa" w:w="120"/>
              <w:bottom w:type="dxa" w:w="90"/>
              <w:right w:type="dxa" w:w="120"/>
            </w:tcMar>
            <w:vAlign w:val="center"/>
          </w:tcPr>
          <w:p>
            <w:r>
              <w:rPr>
                <w:sz w:val="20"/>
                <w:szCs w:val="20"/>
              </w:rPr>
              <w:t xml:space="preserve">Phase 6+ — Extension</w:t>
            </w:r>
          </w:p>
        </w:tc>
        <w:tc>
          <w:tcPr>
            <w:tcW w:type="dxa" w:w="6750"/>
            <w:shd w:fill="F2F2F2" w:val="clear"/>
            <w:tcMar>
              <w:top w:type="dxa" w:w="90"/>
              <w:left w:type="dxa" w:w="120"/>
              <w:bottom w:type="dxa" w:w="90"/>
              <w:right w:type="dxa" w:w="120"/>
            </w:tcMar>
            <w:vAlign w:val="center"/>
          </w:tcPr>
          <w:p>
            <w:r>
              <w:rPr>
                <w:sz w:val="20"/>
                <w:szCs w:val="20"/>
              </w:rPr>
              <w:t xml:space="preserve">Reporting/KPI, modules Stock, RH, GED selon les priorités du groupe</w:t>
            </w:r>
          </w:p>
        </w:tc>
      </w:tr>
    </w:tbl>
    <w:p>
      <w:pPr>
        <w:spacing w:after="200"/>
      </w:pPr>
    </w:p>
    <w:p>
      <w:pPr>
        <w:pStyle w:val="Heading1"/>
        <w:pageBreakBefore/>
        <w:spacing w:after="200" w:before="400"/>
      </w:pPr>
      <w:r>
        <w:t xml:space="preserve">7. Structure technique</w:t>
      </w:r>
    </w:p>
    <w:p>
      <w:pPr>
        <w:pStyle w:val="Heading2"/>
        <w:spacing w:after="150" w:before="300"/>
      </w:pPr>
      <w:r>
        <w:t xml:space="preserve">7.1 Arborescence backend Spring Boot (module unique)</w:t>
      </w:r>
    </w:p>
    <w:p>
      <w:pPr>
        <w:shd w:fill="F5F5F5" w:val="clear"/>
        <w:spacing w:after="0"/>
      </w:pPr>
      <w:r>
        <w:rPr>
          <w:rFonts w:ascii="Consolas" w:cs="Consolas" w:eastAsia="Consolas" w:hAnsi="Consolas"/>
          <w:sz w:val="18"/>
          <w:szCs w:val="18"/>
        </w:rPr>
        <w:t xml:space="preserve">backend/</w:t>
      </w:r>
    </w:p>
    <w:p>
      <w:pPr>
        <w:shd w:fill="F5F5F5" w:val="clear"/>
        <w:spacing w:after="0"/>
      </w:pPr>
      <w:r>
        <w:rPr>
          <w:rFonts w:ascii="Consolas" w:cs="Consolas" w:eastAsia="Consolas" w:hAnsi="Consolas"/>
          <w:sz w:val="18"/>
          <w:szCs w:val="18"/>
        </w:rPr>
        <w:t xml:space="preserve">├── src/main/java/com/pfo/koraya/</w:t>
      </w:r>
    </w:p>
    <w:p>
      <w:pPr>
        <w:shd w:fill="F5F5F5" w:val="clear"/>
        <w:spacing w:after="0"/>
      </w:pPr>
      <w:r>
        <w:rPr>
          <w:rFonts w:ascii="Consolas" w:cs="Consolas" w:eastAsia="Consolas" w:hAnsi="Consolas"/>
          <w:sz w:val="18"/>
          <w:szCs w:val="18"/>
        </w:rPr>
        <w:t xml:space="preserve">│   ├── auth/                  ← Authentification, JWT, SecurityConfig</w:t>
      </w:r>
    </w:p>
    <w:p>
      <w:pPr>
        <w:shd w:fill="F5F5F5" w:val="clear"/>
        <w:spacing w:after="0"/>
      </w:pPr>
      <w:r>
        <w:rPr>
          <w:rFonts w:ascii="Consolas" w:cs="Consolas" w:eastAsia="Consolas" w:hAnsi="Consolas"/>
          <w:sz w:val="18"/>
          <w:szCs w:val="18"/>
        </w:rPr>
        <w:t xml:space="preserve">│   ├── user/                  ← User, rôles</w:t>
      </w:r>
    </w:p>
    <w:p>
      <w:pPr>
        <w:shd w:fill="F5F5F5" w:val="clear"/>
        <w:spacing w:after="0"/>
      </w:pPr>
      <w:r>
        <w:rPr>
          <w:rFonts w:ascii="Consolas" w:cs="Consolas" w:eastAsia="Consolas" w:hAnsi="Consolas"/>
          <w:sz w:val="18"/>
          <w:szCs w:val="18"/>
        </w:rPr>
        <w:t xml:space="preserve">│   ├── organization/          ← Site, Department, JobTitle</w:t>
      </w:r>
    </w:p>
    <w:p>
      <w:pPr>
        <w:shd w:fill="F5F5F5" w:val="clear"/>
        <w:spacing w:after="0"/>
      </w:pPr>
      <w:r>
        <w:rPr>
          <w:rFonts w:ascii="Consolas" w:cs="Consolas" w:eastAsia="Consolas" w:hAnsi="Consolas"/>
          <w:sz w:val="18"/>
          <w:szCs w:val="18"/>
        </w:rPr>
        <w:t xml:space="preserve">│   ├── domain_whitelist/      ← AllowedEmailDomain</w:t>
      </w:r>
    </w:p>
    <w:p>
      <w:pPr>
        <w:shd w:fill="F5F5F5" w:val="clear"/>
        <w:spacing w:after="0"/>
      </w:pPr>
      <w:r>
        <w:rPr>
          <w:rFonts w:ascii="Consolas" w:cs="Consolas" w:eastAsia="Consolas" w:hAnsi="Consolas"/>
          <w:sz w:val="18"/>
          <w:szCs w:val="18"/>
        </w:rPr>
        <w:t xml:space="preserve">│   ├── asset/                 ← Asset, AssetCategory</w:t>
      </w:r>
    </w:p>
    <w:p>
      <w:pPr>
        <w:shd w:fill="F5F5F5" w:val="clear"/>
        <w:spacing w:after="0"/>
      </w:pPr>
      <w:r>
        <w:rPr>
          <w:rFonts w:ascii="Consolas" w:cs="Consolas" w:eastAsia="Consolas" w:hAnsi="Consolas"/>
          <w:sz w:val="18"/>
          <w:szCs w:val="18"/>
        </w:rPr>
        <w:t xml:space="preserve">│   │   ├── assignment/        ← AssetAssignmentHistory</w:t>
      </w:r>
    </w:p>
    <w:p>
      <w:pPr>
        <w:shd w:fill="F5F5F5" w:val="clear"/>
        <w:spacing w:after="0"/>
      </w:pPr>
      <w:r>
        <w:rPr>
          <w:rFonts w:ascii="Consolas" w:cs="Consolas" w:eastAsia="Consolas" w:hAnsi="Consolas"/>
          <w:sz w:val="18"/>
          <w:szCs w:val="18"/>
        </w:rPr>
        <w:t xml:space="preserve">│   │   ├── status/            ← AssetStatusHistory</w:t>
      </w:r>
    </w:p>
    <w:p>
      <w:pPr>
        <w:shd w:fill="F5F5F5" w:val="clear"/>
        <w:spacing w:after="0"/>
      </w:pPr>
      <w:r>
        <w:rPr>
          <w:rFonts w:ascii="Consolas" w:cs="Consolas" w:eastAsia="Consolas" w:hAnsi="Consolas"/>
          <w:sz w:val="18"/>
          <w:szCs w:val="18"/>
        </w:rPr>
        <w:t xml:space="preserve">│   │   └── dotation/          ← Génération PDF Fiche de dotation</w:t>
      </w:r>
    </w:p>
    <w:p>
      <w:pPr>
        <w:shd w:fill="F5F5F5" w:val="clear"/>
        <w:spacing w:after="0"/>
      </w:pPr>
      <w:r>
        <w:rPr>
          <w:rFonts w:ascii="Consolas" w:cs="Consolas" w:eastAsia="Consolas" w:hAnsi="Consolas"/>
          <w:sz w:val="18"/>
          <w:szCs w:val="18"/>
        </w:rPr>
        <w:t xml:space="preserve">│   ├── notification/          ← Email outbox + worker (préparation Phase 3)</w:t>
      </w:r>
    </w:p>
    <w:p>
      <w:pPr>
        <w:shd w:fill="F5F5F5" w:val="clear"/>
        <w:spacing w:after="0"/>
      </w:pPr>
      <w:r>
        <w:rPr>
          <w:rFonts w:ascii="Consolas" w:cs="Consolas" w:eastAsia="Consolas" w:hAnsi="Consolas"/>
          <w:sz w:val="18"/>
          <w:szCs w:val="18"/>
        </w:rPr>
        <w:t xml:space="preserve">│   ├── audit/</w:t>
      </w:r>
    </w:p>
    <w:p>
      <w:pPr>
        <w:shd w:fill="F5F5F5" w:val="clear"/>
        <w:spacing w:after="0"/>
      </w:pPr>
      <w:r>
        <w:rPr>
          <w:rFonts w:ascii="Consolas" w:cs="Consolas" w:eastAsia="Consolas" w:hAnsi="Consolas"/>
          <w:sz w:val="18"/>
          <w:szCs w:val="18"/>
        </w:rPr>
        <w:t xml:space="preserve">│   └── config/</w:t>
      </w:r>
    </w:p>
    <w:p>
      <w:pPr>
        <w:shd w:fill="F5F5F5" w:val="clear"/>
        <w:spacing w:after="0"/>
      </w:pPr>
      <w:r>
        <w:rPr>
          <w:rFonts w:ascii="Consolas" w:cs="Consolas" w:eastAsia="Consolas" w:hAnsi="Consolas"/>
          <w:sz w:val="18"/>
          <w:szCs w:val="18"/>
        </w:rPr>
        <w:t xml:space="preserve">│       ├── SecurityConfig.java</w:t>
      </w:r>
    </w:p>
    <w:p>
      <w:pPr>
        <w:shd w:fill="F5F5F5" w:val="clear"/>
        <w:spacing w:after="0"/>
      </w:pPr>
      <w:r>
        <w:rPr>
          <w:rFonts w:ascii="Consolas" w:cs="Consolas" w:eastAsia="Consolas" w:hAnsi="Consolas"/>
          <w:sz w:val="18"/>
          <w:szCs w:val="18"/>
        </w:rPr>
        <w:t xml:space="preserve">│       ├── JwtConfig.java</w:t>
      </w:r>
    </w:p>
    <w:p>
      <w:pPr>
        <w:shd w:fill="F5F5F5" w:val="clear"/>
        <w:spacing w:after="0"/>
      </w:pPr>
      <w:r>
        <w:rPr>
          <w:rFonts w:ascii="Consolas" w:cs="Consolas" w:eastAsia="Consolas" w:hAnsi="Consolas"/>
          <w:sz w:val="18"/>
          <w:szCs w:val="18"/>
        </w:rPr>
        <w:t xml:space="preserve">│       └── SchedulingConfig.java</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src/main/resources/</w:t>
      </w:r>
    </w:p>
    <w:p>
      <w:pPr>
        <w:shd w:fill="F5F5F5" w:val="clear"/>
        <w:spacing w:after="0"/>
      </w:pPr>
      <w:r>
        <w:rPr>
          <w:rFonts w:ascii="Consolas" w:cs="Consolas" w:eastAsia="Consolas" w:hAnsi="Consolas"/>
          <w:sz w:val="18"/>
          <w:szCs w:val="18"/>
        </w:rPr>
        <w:t xml:space="preserve">    ├── application.yml</w:t>
      </w:r>
    </w:p>
    <w:p>
      <w:pPr>
        <w:shd w:fill="F5F5F5" w:val="clear"/>
        <w:spacing w:after="0"/>
      </w:pPr>
      <w:r>
        <w:rPr>
          <w:rFonts w:ascii="Consolas" w:cs="Consolas" w:eastAsia="Consolas" w:hAnsi="Consolas"/>
          <w:sz w:val="18"/>
          <w:szCs w:val="18"/>
        </w:rPr>
        <w:t xml:space="preserve">    ├── db/changelog/          ← Migrations Liquibase</w:t>
      </w:r>
    </w:p>
    <w:p>
      <w:pPr>
        <w:shd w:fill="F5F5F5" w:val="clear"/>
        <w:spacing w:after="0"/>
      </w:pPr>
      <w:r>
        <w:rPr>
          <w:rFonts w:ascii="Consolas" w:cs="Consolas" w:eastAsia="Consolas" w:hAnsi="Consolas"/>
          <w:sz w:val="18"/>
          <w:szCs w:val="18"/>
        </w:rPr>
        <w:t xml:space="preserve">    └── templates/pdf/         ← Templates Fiche de dotation</w:t>
      </w:r>
    </w:p>
    <w:p>
      <w:pPr>
        <w:spacing w:after="200"/>
      </w:pPr>
    </w:p>
    <w:p>
      <w:pPr>
        <w:pStyle w:val="Heading2"/>
        <w:spacing w:after="150" w:before="300"/>
      </w:pPr>
      <w:r>
        <w:t xml:space="preserve">7.2 Arborescence frontend Next.js</w:t>
      </w:r>
    </w:p>
    <w:p>
      <w:pPr>
        <w:shd w:fill="F5F5F5" w:val="clear"/>
        <w:spacing w:after="0"/>
      </w:pPr>
      <w:r>
        <w:rPr>
          <w:rFonts w:ascii="Consolas" w:cs="Consolas" w:eastAsia="Consolas" w:hAnsi="Consolas"/>
          <w:sz w:val="18"/>
          <w:szCs w:val="18"/>
        </w:rPr>
        <w:t xml:space="preserve">frontend/</w:t>
      </w:r>
    </w:p>
    <w:p>
      <w:pPr>
        <w:shd w:fill="F5F5F5" w:val="clear"/>
        <w:spacing w:after="0"/>
      </w:pPr>
      <w:r>
        <w:rPr>
          <w:rFonts w:ascii="Consolas" w:cs="Consolas" w:eastAsia="Consolas" w:hAnsi="Consolas"/>
          <w:sz w:val="18"/>
          <w:szCs w:val="18"/>
        </w:rPr>
        <w:t xml:space="preserve">├── app/</w:t>
      </w:r>
    </w:p>
    <w:p>
      <w:pPr>
        <w:shd w:fill="F5F5F5" w:val="clear"/>
        <w:spacing w:after="0"/>
      </w:pPr>
      <w:r>
        <w:rPr>
          <w:rFonts w:ascii="Consolas" w:cs="Consolas" w:eastAsia="Consolas" w:hAnsi="Consolas"/>
          <w:sz w:val="18"/>
          <w:szCs w:val="18"/>
        </w:rPr>
        <w:t xml:space="preserve">│   ├── login/</w:t>
      </w:r>
    </w:p>
    <w:p>
      <w:pPr>
        <w:shd w:fill="F5F5F5" w:val="clear"/>
        <w:spacing w:after="0"/>
      </w:pPr>
      <w:r>
        <w:rPr>
          <w:rFonts w:ascii="Consolas" w:cs="Consolas" w:eastAsia="Consolas" w:hAnsi="Consolas"/>
          <w:sz w:val="18"/>
          <w:szCs w:val="18"/>
        </w:rPr>
        <w:t xml:space="preserve">│   ├── dashboard/</w:t>
      </w:r>
    </w:p>
    <w:p>
      <w:pPr>
        <w:shd w:fill="F5F5F5" w:val="clear"/>
        <w:spacing w:after="0"/>
      </w:pPr>
      <w:r>
        <w:rPr>
          <w:rFonts w:ascii="Consolas" w:cs="Consolas" w:eastAsia="Consolas" w:hAnsi="Consolas"/>
          <w:sz w:val="18"/>
          <w:szCs w:val="18"/>
        </w:rPr>
        <w:t xml:space="preserve">│   ├── assets/</w:t>
      </w:r>
    </w:p>
    <w:p>
      <w:pPr>
        <w:shd w:fill="F5F5F5" w:val="clear"/>
        <w:spacing w:after="0"/>
      </w:pPr>
      <w:r>
        <w:rPr>
          <w:rFonts w:ascii="Consolas" w:cs="Consolas" w:eastAsia="Consolas" w:hAnsi="Consolas"/>
          <w:sz w:val="18"/>
          <w:szCs w:val="18"/>
        </w:rPr>
        <w:t xml:space="preserve">│   │   ├── new/</w:t>
      </w:r>
    </w:p>
    <w:p>
      <w:pPr>
        <w:shd w:fill="F5F5F5" w:val="clear"/>
        <w:spacing w:after="0"/>
      </w:pPr>
      <w:r>
        <w:rPr>
          <w:rFonts w:ascii="Consolas" w:cs="Consolas" w:eastAsia="Consolas" w:hAnsi="Consolas"/>
          <w:sz w:val="18"/>
          <w:szCs w:val="18"/>
        </w:rPr>
        <w:t xml:space="preserve">│   │   ├── [id]/</w:t>
      </w:r>
    </w:p>
    <w:p>
      <w:pPr>
        <w:shd w:fill="F5F5F5" w:val="clear"/>
        <w:spacing w:after="0"/>
      </w:pPr>
      <w:r>
        <w:rPr>
          <w:rFonts w:ascii="Consolas" w:cs="Consolas" w:eastAsia="Consolas" w:hAnsi="Consolas"/>
          <w:sz w:val="18"/>
          <w:szCs w:val="18"/>
        </w:rPr>
        <w:t xml:space="preserve">│   │   └── page.tsx</w:t>
      </w:r>
    </w:p>
    <w:p>
      <w:pPr>
        <w:shd w:fill="F5F5F5" w:val="clear"/>
        <w:spacing w:after="0"/>
      </w:pPr>
      <w:r>
        <w:rPr>
          <w:rFonts w:ascii="Consolas" w:cs="Consolas" w:eastAsia="Consolas" w:hAnsi="Consolas"/>
          <w:sz w:val="18"/>
          <w:szCs w:val="18"/>
        </w:rPr>
        <w:t xml:space="preserve">│   ├── admin/</w:t>
      </w:r>
    </w:p>
    <w:p>
      <w:pPr>
        <w:shd w:fill="F5F5F5" w:val="clear"/>
        <w:spacing w:after="0"/>
      </w:pPr>
      <w:r>
        <w:rPr>
          <w:rFonts w:ascii="Consolas" w:cs="Consolas" w:eastAsia="Consolas" w:hAnsi="Consolas"/>
          <w:sz w:val="18"/>
          <w:szCs w:val="18"/>
        </w:rPr>
        <w:t xml:space="preserve">│   │   ├── users/</w:t>
      </w:r>
    </w:p>
    <w:p>
      <w:pPr>
        <w:shd w:fill="F5F5F5" w:val="clear"/>
        <w:spacing w:after="0"/>
      </w:pPr>
      <w:r>
        <w:rPr>
          <w:rFonts w:ascii="Consolas" w:cs="Consolas" w:eastAsia="Consolas" w:hAnsi="Consolas"/>
          <w:sz w:val="18"/>
          <w:szCs w:val="18"/>
        </w:rPr>
        <w:t xml:space="preserve">│   │   ├── sites/</w:t>
      </w:r>
    </w:p>
    <w:p>
      <w:pPr>
        <w:shd w:fill="F5F5F5" w:val="clear"/>
        <w:spacing w:after="0"/>
      </w:pPr>
      <w:r>
        <w:rPr>
          <w:rFonts w:ascii="Consolas" w:cs="Consolas" w:eastAsia="Consolas" w:hAnsi="Consolas"/>
          <w:sz w:val="18"/>
          <w:szCs w:val="18"/>
        </w:rPr>
        <w:t xml:space="preserve">│   │   ├── departments/</w:t>
      </w:r>
    </w:p>
    <w:p>
      <w:pPr>
        <w:shd w:fill="F5F5F5" w:val="clear"/>
        <w:spacing w:after="0"/>
      </w:pPr>
      <w:r>
        <w:rPr>
          <w:rFonts w:ascii="Consolas" w:cs="Consolas" w:eastAsia="Consolas" w:hAnsi="Consolas"/>
          <w:sz w:val="18"/>
          <w:szCs w:val="18"/>
        </w:rPr>
        <w:t xml:space="preserve">│   │   ├── job-titles/</w:t>
      </w:r>
    </w:p>
    <w:p>
      <w:pPr>
        <w:shd w:fill="F5F5F5" w:val="clear"/>
        <w:spacing w:after="0"/>
      </w:pPr>
      <w:r>
        <w:rPr>
          <w:rFonts w:ascii="Consolas" w:cs="Consolas" w:eastAsia="Consolas" w:hAnsi="Consolas"/>
          <w:sz w:val="18"/>
          <w:szCs w:val="18"/>
        </w:rPr>
        <w:t xml:space="preserve">│   │   └── allowed-domains/</w:t>
      </w:r>
    </w:p>
    <w:p>
      <w:pPr>
        <w:shd w:fill="F5F5F5" w:val="clear"/>
        <w:spacing w:after="0"/>
      </w:pPr>
      <w:r>
        <w:rPr>
          <w:rFonts w:ascii="Consolas" w:cs="Consolas" w:eastAsia="Consolas" w:hAnsi="Consolas"/>
          <w:sz w:val="18"/>
          <w:szCs w:val="18"/>
        </w:rPr>
        <w:t xml:space="preserve">│   └── layout.tsx</w:t>
      </w:r>
    </w:p>
    <w:p>
      <w:pPr>
        <w:shd w:fill="F5F5F5" w:val="clear"/>
        <w:spacing w:after="0"/>
      </w:pPr>
      <w:r>
        <w:rPr>
          <w:rFonts w:ascii="Consolas" w:cs="Consolas" w:eastAsia="Consolas" w:hAnsi="Consolas"/>
          <w:sz w:val="18"/>
          <w:szCs w:val="18"/>
        </w:rPr>
        <w:t xml:space="preserve">├── components/</w:t>
      </w:r>
    </w:p>
    <w:p>
      <w:pPr>
        <w:shd w:fill="F5F5F5" w:val="clear"/>
        <w:spacing w:after="0"/>
      </w:pPr>
      <w:r>
        <w:rPr>
          <w:rFonts w:ascii="Consolas" w:cs="Consolas" w:eastAsia="Consolas" w:hAnsi="Consolas"/>
          <w:sz w:val="18"/>
          <w:szCs w:val="18"/>
        </w:rPr>
        <w:t xml:space="preserve">├── lib/</w:t>
      </w:r>
    </w:p>
    <w:p>
      <w:pPr>
        <w:shd w:fill="F5F5F5" w:val="clear"/>
        <w:spacing w:after="0"/>
      </w:pPr>
      <w:r>
        <w:rPr>
          <w:rFonts w:ascii="Consolas" w:cs="Consolas" w:eastAsia="Consolas" w:hAnsi="Consolas"/>
          <w:sz w:val="18"/>
          <w:szCs w:val="18"/>
        </w:rPr>
        <w:t xml:space="preserve">│   ├── api/</w:t>
      </w:r>
    </w:p>
    <w:p>
      <w:pPr>
        <w:shd w:fill="F5F5F5" w:val="clear"/>
        <w:spacing w:after="0"/>
      </w:pPr>
      <w:r>
        <w:rPr>
          <w:rFonts w:ascii="Consolas" w:cs="Consolas" w:eastAsia="Consolas" w:hAnsi="Consolas"/>
          <w:sz w:val="18"/>
          <w:szCs w:val="18"/>
        </w:rPr>
        <w:t xml:space="preserve">│   ├── auth/</w:t>
      </w:r>
    </w:p>
    <w:p>
      <w:pPr>
        <w:shd w:fill="F5F5F5" w:val="clear"/>
        <w:spacing w:after="0"/>
      </w:pPr>
      <w:r>
        <w:rPr>
          <w:rFonts w:ascii="Consolas" w:cs="Consolas" w:eastAsia="Consolas" w:hAnsi="Consolas"/>
          <w:sz w:val="18"/>
          <w:szCs w:val="18"/>
        </w:rPr>
        <w:t xml:space="preserve">│   └── utils/</w:t>
      </w:r>
    </w:p>
    <w:p>
      <w:pPr>
        <w:shd w:fill="F5F5F5" w:val="clear"/>
        <w:spacing w:after="0"/>
      </w:pPr>
      <w:r>
        <w:rPr>
          <w:rFonts w:ascii="Consolas" w:cs="Consolas" w:eastAsia="Consolas" w:hAnsi="Consolas"/>
          <w:sz w:val="18"/>
          <w:szCs w:val="18"/>
        </w:rPr>
        <w:t xml:space="preserve">└── hooks/</w:t>
      </w:r>
    </w:p>
    <w:p>
      <w:pPr>
        <w:spacing w:after="200"/>
      </w:pPr>
    </w:p>
    <w:p>
      <w:pPr>
        <w:pStyle w:val="Heading2"/>
        <w:spacing w:after="150" w:before="300"/>
      </w:pPr>
      <w:r>
        <w:t xml:space="preserve">7.3 Déploiement</w:t>
      </w:r>
    </w:p>
    <w:p>
      <w:pPr>
        <w:pStyle w:val="ListParagraph"/>
        <w:numPr>
          <w:ilvl w:val="0"/>
          <w:numId w:val="1"/>
        </w:numPr>
        <w:spacing w:after="80"/>
      </w:pPr>
      <w:r>
        <w:t xml:space="preserve">Un repo GitLab dédié (nouveau, distinct de l'ancien saas-entreprise)</w:t>
      </w:r>
    </w:p>
    <w:p>
      <w:pPr>
        <w:pStyle w:val="ListParagraph"/>
        <w:numPr>
          <w:ilvl w:val="0"/>
          <w:numId w:val="1"/>
        </w:numPr>
        <w:spacing w:after="80"/>
      </w:pPr>
      <w:r>
        <w:t xml:space="preserve">Un service Railway pour le backend Spring Boot</w:t>
      </w:r>
    </w:p>
    <w:p>
      <w:pPr>
        <w:pStyle w:val="ListParagraph"/>
        <w:numPr>
          <w:ilvl w:val="0"/>
          <w:numId w:val="1"/>
        </w:numPr>
        <w:spacing w:after="80"/>
      </w:pPr>
      <w:r>
        <w:t xml:space="preserve">Un service Railway pour le frontend Next.js (NEXT_PUBLIC_API_URL pointant vers le backend)</w:t>
      </w:r>
    </w:p>
    <w:p>
      <w:pPr>
        <w:pStyle w:val="ListParagraph"/>
        <w:numPr>
          <w:ilvl w:val="0"/>
          <w:numId w:val="1"/>
        </w:numPr>
        <w:spacing w:after="80"/>
      </w:pPr>
      <w:r>
        <w:t xml:space="preserve">Un service PostgreSQL Railway dédié</w:t>
      </w:r>
    </w:p>
    <w:p>
      <w:pPr>
        <w:pStyle w:val="ListParagraph"/>
        <w:numPr>
          <w:ilvl w:val="0"/>
          <w:numId w:val="1"/>
        </w:numPr>
        <w:spacing w:after="80"/>
      </w:pPr>
      <w:r>
        <w:t xml:space="preserve">Ce triptyque est répliqué à l'identique pour chaque nouveau client</w:t>
      </w:r>
    </w:p>
    <w:p>
      <w:pPr>
        <w:spacing w:after="200"/>
      </w:pPr>
    </w:p>
    <w:p>
      <w:pPr>
        <w:pStyle w:val="Heading1"/>
        <w:pageBreakBefore/>
        <w:spacing w:after="200" w:before="400"/>
      </w:pPr>
      <w:r>
        <w:t xml:space="preserve">8. Décisions tranchées</w:t>
      </w:r>
    </w:p>
    <w:p>
      <w:pPr>
        <w:pStyle w:val="ListParagraph"/>
        <w:numPr>
          <w:ilvl w:val="0"/>
          <w:numId w:val="1"/>
        </w:numPr>
        <w:spacing w:after="80"/>
      </w:pPr>
      <w:r>
        <w:t xml:space="preserve">Architecture : mono-tenant, un déploiement Railway par client, aucune notion de tenant_id dans le code</w:t>
      </w:r>
    </w:p>
    <w:p>
      <w:pPr>
        <w:pStyle w:val="ListParagraph"/>
        <w:numPr>
          <w:ilvl w:val="0"/>
          <w:numId w:val="1"/>
        </w:numPr>
        <w:spacing w:after="80"/>
      </w:pPr>
      <w:r>
        <w:t xml:space="preserve">Structure backend : module Spring Boot unique (abandon du multi-module Maven saas-shared/platform/app)</w:t>
      </w:r>
    </w:p>
    <w:p>
      <w:pPr>
        <w:pStyle w:val="ListParagraph"/>
        <w:numPr>
          <w:ilvl w:val="0"/>
          <w:numId w:val="1"/>
        </w:numPr>
        <w:spacing w:after="80"/>
      </w:pPr>
      <w:r>
        <w:t xml:space="preserve">Premier module livré : Asset Management (gestion du parc informatique), avant le module Support</w:t>
      </w:r>
    </w:p>
    <w:p>
      <w:pPr>
        <w:pStyle w:val="ListParagraph"/>
        <w:numPr>
          <w:ilvl w:val="0"/>
          <w:numId w:val="1"/>
        </w:numPr>
        <w:spacing w:after="80"/>
      </w:pPr>
      <w:r>
        <w:t xml:space="preserve">Authentification : email + mot de passe (BCrypt) en principal ; OTP réservé aux actions sensibles, en option future</w:t>
      </w:r>
    </w:p>
    <w:p>
      <w:pPr>
        <w:pStyle w:val="ListParagraph"/>
        <w:numPr>
          <w:ilvl w:val="0"/>
          <w:numId w:val="1"/>
        </w:numPr>
        <w:spacing w:after="80"/>
      </w:pPr>
      <w:r>
        <w:t xml:space="preserve">Domaines email autorisés : whitelist applicative simple (AllowedEmailDomain), sans notion de tenant</w:t>
      </w:r>
    </w:p>
    <w:p>
      <w:pPr>
        <w:pStyle w:val="ListParagraph"/>
        <w:numPr>
          <w:ilvl w:val="0"/>
          <w:numId w:val="1"/>
        </w:numPr>
        <w:spacing w:after="80"/>
      </w:pPr>
      <w:r>
        <w:t xml:space="preserve">Saisie email : alias + sélection de domaine, concaténés côté backend</w:t>
      </w:r>
    </w:p>
    <w:p>
      <w:pPr>
        <w:pStyle w:val="ListParagraph"/>
        <w:numPr>
          <w:ilvl w:val="0"/>
          <w:numId w:val="1"/>
        </w:numPr>
        <w:spacing w:after="80"/>
      </w:pPr>
      <w:r>
        <w:t xml:space="preserve">Postes (JobTitle) : liste extensible à la volée par les utilisateurs</w:t>
      </w:r>
    </w:p>
    <w:p>
      <w:pPr>
        <w:pStyle w:val="ListParagraph"/>
        <w:numPr>
          <w:ilvl w:val="0"/>
          <w:numId w:val="1"/>
        </w:numPr>
        <w:spacing w:after="80"/>
      </w:pPr>
      <w:r>
        <w:t xml:space="preserve">Pas d'import des données de l'ancien fichier Excel : démarrage en base vide</w:t>
      </w:r>
    </w:p>
    <w:p>
      <w:pPr>
        <w:pStyle w:val="ListParagraph"/>
        <w:numPr>
          <w:ilvl w:val="0"/>
          <w:numId w:val="1"/>
        </w:numPr>
        <w:spacing w:after="80"/>
      </w:pPr>
      <w:r>
        <w:t xml:space="preserve">Fiche de dotation : conservée, générée en PDF avec signatures</w:t>
      </w:r>
    </w:p>
    <w:p>
      <w:pPr>
        <w:pStyle w:val="ListParagraph"/>
        <w:numPr>
          <w:ilvl w:val="0"/>
          <w:numId w:val="1"/>
        </w:numPr>
        <w:spacing w:after="80"/>
      </w:pPr>
      <w:r>
        <w:t xml:space="preserve">Facturation multi-clients : gérée hors du code produit, via un outil séparé</w:t>
      </w:r>
    </w:p>
    <w:p>
      <w:pPr>
        <w:pStyle w:val="ListParagraph"/>
        <w:numPr>
          <w:ilvl w:val="0"/>
          <w:numId w:val="1"/>
        </w:numPr>
        <w:spacing w:after="80"/>
      </w:pPr>
      <w:r>
        <w:t xml:space="preserve">Identifiants : UUID v7</w:t>
      </w:r>
    </w:p>
    <w:p>
      <w:pPr>
        <w:pStyle w:val="ListParagraph"/>
        <w:numPr>
          <w:ilvl w:val="0"/>
          <w:numId w:val="1"/>
        </w:numPr>
        <w:spacing w:after="80"/>
      </w:pPr>
      <w:r>
        <w:t xml:space="preserve">Nom du projet : Koraya</w:t>
      </w:r>
    </w:p>
    <w:p>
      <w:pPr>
        <w:pStyle w:val="Heading1"/>
        <w:pageBreakBefore/>
        <w:spacing w:after="200" w:before="400"/>
      </w:pPr>
      <w:r>
        <w:t xml:space="preserve">Annexe — Glossaire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A5F" w:val="clear"/>
            <w:tcMar>
              <w:top w:type="dxa" w:w="100"/>
              <w:left w:type="dxa" w:w="120"/>
              <w:bottom w:type="dxa" w:w="100"/>
              <w:right w:type="dxa" w:w="120"/>
            </w:tcMar>
            <w:vAlign w:val="center"/>
          </w:tcPr>
          <w:p>
            <w:r>
              <w:rPr>
                <w:b/>
                <w:bCs/>
                <w:color w:val="FFFFFF"/>
                <w:sz w:val="20"/>
                <w:szCs w:val="20"/>
              </w:rPr>
              <w:t xml:space="preserve">Terme</w:t>
            </w:r>
          </w:p>
        </w:tc>
        <w:tc>
          <w:tcPr>
            <w:tcW w:type="dxa" w:w="7150"/>
            <w:shd w:fill="1F3A5F" w:val="clear"/>
            <w:tcMar>
              <w:top w:type="dxa" w:w="100"/>
              <w:left w:type="dxa" w:w="120"/>
              <w:bottom w:type="dxa" w:w="100"/>
              <w:right w:type="dxa" w:w="120"/>
            </w:tcMar>
            <w:vAlign w:val="center"/>
          </w:tcPr>
          <w:p>
            <w:r>
              <w:rPr>
                <w:b/>
                <w:bCs/>
                <w:color w:val="FFFFFF"/>
                <w:sz w:val="20"/>
                <w:szCs w:val="20"/>
              </w:rPr>
              <w:t xml:space="preserve">Définition</w:t>
            </w:r>
          </w:p>
        </w:tc>
      </w:tr>
      <w:tr>
        <w:tc>
          <w:tcPr>
            <w:tcW w:type="dxa" w:w="2200"/>
            <w:shd w:fill="FFFFFF" w:val="clear"/>
            <w:tcMar>
              <w:top w:type="dxa" w:w="90"/>
              <w:left w:type="dxa" w:w="120"/>
              <w:bottom w:type="dxa" w:w="90"/>
              <w:right w:type="dxa" w:w="120"/>
            </w:tcMar>
            <w:vAlign w:val="center"/>
          </w:tcPr>
          <w:p>
            <w:r>
              <w:rPr>
                <w:sz w:val="20"/>
                <w:szCs w:val="20"/>
              </w:rPr>
              <w:t xml:space="preserve">Mono-tenant</w:t>
            </w:r>
          </w:p>
        </w:tc>
        <w:tc>
          <w:tcPr>
            <w:tcW w:type="dxa" w:w="7150"/>
            <w:shd w:fill="FFFFFF" w:val="clear"/>
            <w:tcMar>
              <w:top w:type="dxa" w:w="90"/>
              <w:left w:type="dxa" w:w="120"/>
              <w:bottom w:type="dxa" w:w="90"/>
              <w:right w:type="dxa" w:w="120"/>
            </w:tcMar>
            <w:vAlign w:val="center"/>
          </w:tcPr>
          <w:p>
            <w:r>
              <w:rPr>
                <w:sz w:val="20"/>
                <w:szCs w:val="20"/>
              </w:rPr>
              <w:t xml:space="preserve">Architecture où chaque client dispose de son propre déploiement et de sa propre base de données, sans partage de schéma.</w:t>
            </w:r>
          </w:p>
        </w:tc>
      </w:tr>
      <w:tr>
        <w:tc>
          <w:tcPr>
            <w:tcW w:type="dxa" w:w="2200"/>
            <w:shd w:fill="F2F2F2" w:val="clear"/>
            <w:tcMar>
              <w:top w:type="dxa" w:w="90"/>
              <w:left w:type="dxa" w:w="120"/>
              <w:bottom w:type="dxa" w:w="90"/>
              <w:right w:type="dxa" w:w="120"/>
            </w:tcMar>
            <w:vAlign w:val="center"/>
          </w:tcPr>
          <w:p>
            <w:r>
              <w:rPr>
                <w:sz w:val="20"/>
                <w:szCs w:val="20"/>
              </w:rPr>
              <w:t xml:space="preserve">Asset</w:t>
            </w:r>
          </w:p>
        </w:tc>
        <w:tc>
          <w:tcPr>
            <w:tcW w:type="dxa" w:w="7150"/>
            <w:shd w:fill="F2F2F2" w:val="clear"/>
            <w:tcMar>
              <w:top w:type="dxa" w:w="90"/>
              <w:left w:type="dxa" w:w="120"/>
              <w:bottom w:type="dxa" w:w="90"/>
              <w:right w:type="dxa" w:w="120"/>
            </w:tcMar>
            <w:vAlign w:val="center"/>
          </w:tcPr>
          <w:p>
            <w:r>
              <w:rPr>
                <w:sz w:val="20"/>
                <w:szCs w:val="20"/>
              </w:rPr>
              <w:t xml:space="preserve">Un actif du parc informatique (ordinateur, téléphone, écran, imprimante, etc.).</w:t>
            </w:r>
          </w:p>
        </w:tc>
      </w:tr>
      <w:tr>
        <w:tc>
          <w:tcPr>
            <w:tcW w:type="dxa" w:w="2200"/>
            <w:shd w:fill="FFFFFF" w:val="clear"/>
            <w:tcMar>
              <w:top w:type="dxa" w:w="90"/>
              <w:left w:type="dxa" w:w="120"/>
              <w:bottom w:type="dxa" w:w="90"/>
              <w:right w:type="dxa" w:w="120"/>
            </w:tcMar>
            <w:vAlign w:val="center"/>
          </w:tcPr>
          <w:p>
            <w:r>
              <w:rPr>
                <w:sz w:val="20"/>
                <w:szCs w:val="20"/>
              </w:rPr>
              <w:t xml:space="preserve">Fiche de dotation</w:t>
            </w:r>
          </w:p>
        </w:tc>
        <w:tc>
          <w:tcPr>
            <w:tcW w:type="dxa" w:w="7150"/>
            <w:shd w:fill="FFFFFF" w:val="clear"/>
            <w:tcMar>
              <w:top w:type="dxa" w:w="90"/>
              <w:left w:type="dxa" w:w="120"/>
              <w:bottom w:type="dxa" w:w="90"/>
              <w:right w:type="dxa" w:w="120"/>
            </w:tcMar>
            <w:vAlign w:val="center"/>
          </w:tcPr>
          <w:p>
            <w:r>
              <w:rPr>
                <w:sz w:val="20"/>
                <w:szCs w:val="20"/>
              </w:rPr>
              <w:t xml:space="preserve">Document signé attestant la remise d'un ou plusieurs actifs à un collaborateur.</w:t>
            </w:r>
          </w:p>
        </w:tc>
      </w:tr>
      <w:tr>
        <w:tc>
          <w:tcPr>
            <w:tcW w:type="dxa" w:w="2200"/>
            <w:shd w:fill="F2F2F2" w:val="clear"/>
            <w:tcMar>
              <w:top w:type="dxa" w:w="90"/>
              <w:left w:type="dxa" w:w="120"/>
              <w:bottom w:type="dxa" w:w="90"/>
              <w:right w:type="dxa" w:w="120"/>
            </w:tcMar>
            <w:vAlign w:val="center"/>
          </w:tcPr>
          <w:p>
            <w:r>
              <w:rPr>
                <w:sz w:val="20"/>
                <w:szCs w:val="20"/>
              </w:rPr>
              <w:t xml:space="preserve">JobTitle</w:t>
            </w:r>
          </w:p>
        </w:tc>
        <w:tc>
          <w:tcPr>
            <w:tcW w:type="dxa" w:w="7150"/>
            <w:shd w:fill="F2F2F2" w:val="clear"/>
            <w:tcMar>
              <w:top w:type="dxa" w:w="90"/>
              <w:left w:type="dxa" w:w="120"/>
              <w:bottom w:type="dxa" w:w="90"/>
              <w:right w:type="dxa" w:w="120"/>
            </w:tcMar>
            <w:vAlign w:val="center"/>
          </w:tcPr>
          <w:p>
            <w:r>
              <w:rPr>
                <w:sz w:val="20"/>
                <w:szCs w:val="20"/>
              </w:rPr>
              <w:t xml:space="preserve">Poste occupé par un utilisateur, liste extensible à la volée.</w:t>
            </w:r>
          </w:p>
        </w:tc>
      </w:tr>
      <w:tr>
        <w:tc>
          <w:tcPr>
            <w:tcW w:type="dxa" w:w="2200"/>
            <w:shd w:fill="FFFFFF" w:val="clear"/>
            <w:tcMar>
              <w:top w:type="dxa" w:w="90"/>
              <w:left w:type="dxa" w:w="120"/>
              <w:bottom w:type="dxa" w:w="90"/>
              <w:right w:type="dxa" w:w="120"/>
            </w:tcMar>
            <w:vAlign w:val="center"/>
          </w:tcPr>
          <w:p>
            <w:r>
              <w:rPr>
                <w:sz w:val="20"/>
                <w:szCs w:val="20"/>
              </w:rPr>
              <w:t xml:space="preserve">AllowedEmailDomain</w:t>
            </w:r>
          </w:p>
        </w:tc>
        <w:tc>
          <w:tcPr>
            <w:tcW w:type="dxa" w:w="7150"/>
            <w:shd w:fill="FFFFFF" w:val="clear"/>
            <w:tcMar>
              <w:top w:type="dxa" w:w="90"/>
              <w:left w:type="dxa" w:w="120"/>
              <w:bottom w:type="dxa" w:w="90"/>
              <w:right w:type="dxa" w:w="120"/>
            </w:tcMar>
            <w:vAlign w:val="center"/>
          </w:tcPr>
          <w:p>
            <w:r>
              <w:rPr>
                <w:sz w:val="20"/>
                <w:szCs w:val="20"/>
              </w:rPr>
              <w:t xml:space="preserve">Domaine email autorisé à créer un compte utilisateur dans le système.</w:t>
            </w:r>
          </w:p>
        </w:tc>
      </w:tr>
      <w:tr>
        <w:tc>
          <w:tcPr>
            <w:tcW w:type="dxa" w:w="2200"/>
            <w:shd w:fill="F2F2F2" w:val="clear"/>
            <w:tcMar>
              <w:top w:type="dxa" w:w="90"/>
              <w:left w:type="dxa" w:w="120"/>
              <w:bottom w:type="dxa" w:w="90"/>
              <w:right w:type="dxa" w:w="120"/>
            </w:tcMar>
            <w:vAlign w:val="center"/>
          </w:tcPr>
          <w:p>
            <w:r>
              <w:rPr>
                <w:sz w:val="20"/>
                <w:szCs w:val="20"/>
              </w:rPr>
              <w:t xml:space="preserve">Sudo mode</w:t>
            </w:r>
          </w:p>
        </w:tc>
        <w:tc>
          <w:tcPr>
            <w:tcW w:type="dxa" w:w="7150"/>
            <w:shd w:fill="F2F2F2" w:val="clear"/>
            <w:tcMar>
              <w:top w:type="dxa" w:w="90"/>
              <w:left w:type="dxa" w:w="120"/>
              <w:bottom w:type="dxa" w:w="90"/>
              <w:right w:type="dxa" w:w="120"/>
            </w:tcMar>
            <w:vAlign w:val="center"/>
          </w:tcPr>
          <w:p>
            <w:r>
              <w:rPr>
                <w:sz w:val="20"/>
                <w:szCs w:val="20"/>
              </w:rPr>
              <w:t xml:space="preserve">Mécanisme de confirmation d'une action sensible par OTP, pour un utilisateur déjà connecté.</w:t>
            </w:r>
          </w:p>
        </w:tc>
      </w:tr>
      <w:tr>
        <w:tc>
          <w:tcPr>
            <w:tcW w:type="dxa" w:w="2200"/>
            <w:shd w:fill="FFFFFF" w:val="clear"/>
            <w:tcMar>
              <w:top w:type="dxa" w:w="90"/>
              <w:left w:type="dxa" w:w="120"/>
              <w:bottom w:type="dxa" w:w="90"/>
              <w:right w:type="dxa" w:w="120"/>
            </w:tcMar>
            <w:vAlign w:val="center"/>
          </w:tcPr>
          <w:p>
            <w:r>
              <w:rPr>
                <w:sz w:val="20"/>
                <w:szCs w:val="20"/>
              </w:rPr>
              <w:t xml:space="preserve">JWT</w:t>
            </w:r>
          </w:p>
        </w:tc>
        <w:tc>
          <w:tcPr>
            <w:tcW w:type="dxa" w:w="7150"/>
            <w:shd w:fill="FFFFFF" w:val="clear"/>
            <w:tcMar>
              <w:top w:type="dxa" w:w="90"/>
              <w:left w:type="dxa" w:w="120"/>
              <w:bottom w:type="dxa" w:w="90"/>
              <w:right w:type="dxa" w:w="120"/>
            </w:tcMar>
            <w:vAlign w:val="center"/>
          </w:tcPr>
          <w:p>
            <w:r>
              <w:rPr>
                <w:sz w:val="20"/>
                <w:szCs w:val="20"/>
              </w:rPr>
              <w:t xml:space="preserve">JSON Web Token, mécanisme d'authentification stateless.</w:t>
            </w:r>
          </w:p>
        </w:tc>
      </w:tr>
      <w:tr>
        <w:tc>
          <w:tcPr>
            <w:tcW w:type="dxa" w:w="2200"/>
            <w:shd w:fill="F2F2F2" w:val="clear"/>
            <w:tcMar>
              <w:top w:type="dxa" w:w="90"/>
              <w:left w:type="dxa" w:w="120"/>
              <w:bottom w:type="dxa" w:w="90"/>
              <w:right w:type="dxa" w:w="120"/>
            </w:tcMar>
            <w:vAlign w:val="center"/>
          </w:tcPr>
          <w:p>
            <w:r>
              <w:rPr>
                <w:sz w:val="20"/>
                <w:szCs w:val="20"/>
              </w:rPr>
              <w:t xml:space="preserve">UUID v7</w:t>
            </w:r>
          </w:p>
        </w:tc>
        <w:tc>
          <w:tcPr>
            <w:tcW w:type="dxa" w:w="7150"/>
            <w:shd w:fill="F2F2F2" w:val="clear"/>
            <w:tcMar>
              <w:top w:type="dxa" w:w="90"/>
              <w:left w:type="dxa" w:w="120"/>
              <w:bottom w:type="dxa" w:w="90"/>
              <w:right w:type="dxa" w:w="120"/>
            </w:tcMar>
            <w:vAlign w:val="center"/>
          </w:tcPr>
          <w:p>
            <w:r>
              <w:rPr>
                <w:sz w:val="20"/>
                <w:szCs w:val="20"/>
              </w:rPr>
              <w:t xml:space="preserve">Identifiant unique ordonné dans le temps, performant en index de base de données.</w:t>
            </w:r>
          </w:p>
        </w:tc>
      </w:tr>
      <w:tr>
        <w:tc>
          <w:tcPr>
            <w:tcW w:type="dxa" w:w="2200"/>
            <w:shd w:fill="FFFFFF" w:val="clear"/>
            <w:tcMar>
              <w:top w:type="dxa" w:w="90"/>
              <w:left w:type="dxa" w:w="120"/>
              <w:bottom w:type="dxa" w:w="90"/>
              <w:right w:type="dxa" w:w="120"/>
            </w:tcMar>
            <w:vAlign w:val="center"/>
          </w:tcPr>
          <w:p>
            <w:r>
              <w:rPr>
                <w:sz w:val="20"/>
                <w:szCs w:val="20"/>
              </w:rPr>
              <w:t xml:space="preserve">BCrypt</w:t>
            </w:r>
          </w:p>
        </w:tc>
        <w:tc>
          <w:tcPr>
            <w:tcW w:type="dxa" w:w="7150"/>
            <w:shd w:fill="FFFFFF" w:val="clear"/>
            <w:tcMar>
              <w:top w:type="dxa" w:w="90"/>
              <w:left w:type="dxa" w:w="120"/>
              <w:bottom w:type="dxa" w:w="90"/>
              <w:right w:type="dxa" w:w="120"/>
            </w:tcMar>
            <w:vAlign w:val="center"/>
          </w:tcPr>
          <w:p>
            <w:r>
              <w:rPr>
                <w:sz w:val="20"/>
                <w:szCs w:val="20"/>
              </w:rPr>
              <w:t xml:space="preserve">Algorithme de hachage utilisé pour stocker les mots de passe de façon sécurisée.</w:t>
            </w:r>
          </w:p>
        </w:tc>
      </w:tr>
      <w:tr>
        <w:tc>
          <w:tcPr>
            <w:tcW w:type="dxa" w:w="2200"/>
            <w:shd w:fill="F2F2F2" w:val="clear"/>
            <w:tcMar>
              <w:top w:type="dxa" w:w="90"/>
              <w:left w:type="dxa" w:w="120"/>
              <w:bottom w:type="dxa" w:w="90"/>
              <w:right w:type="dxa" w:w="120"/>
            </w:tcMar>
            <w:vAlign w:val="center"/>
          </w:tcPr>
          <w:p>
            <w:r>
              <w:rPr>
                <w:sz w:val="20"/>
                <w:szCs w:val="20"/>
              </w:rPr>
              <w:t xml:space="preserve">Outbox pattern</w:t>
            </w:r>
          </w:p>
        </w:tc>
        <w:tc>
          <w:tcPr>
            <w:tcW w:type="dxa" w:w="7150"/>
            <w:shd w:fill="F2F2F2" w:val="clear"/>
            <w:tcMar>
              <w:top w:type="dxa" w:w="90"/>
              <w:left w:type="dxa" w:w="120"/>
              <w:bottom w:type="dxa" w:w="90"/>
              <w:right w:type="dxa" w:w="120"/>
            </w:tcMar>
            <w:vAlign w:val="center"/>
          </w:tcPr>
          <w:p>
            <w:r>
              <w:rPr>
                <w:sz w:val="20"/>
                <w:szCs w:val="20"/>
              </w:rPr>
              <w:t xml:space="preserve">Pattern d'envoi asynchrone d'emails via une table intermédiaire traitée par un worker.</w:t>
            </w:r>
          </w:p>
        </w:tc>
      </w:tr>
    </w:tbl>
    <w:p>
      <w:pPr>
        <w:spacing w:after="400"/>
      </w:pPr>
    </w:p>
    <w:p>
      <w:pPr>
        <w:spacing w:before="600"/>
        <w:jc w:val="center"/>
      </w:pPr>
      <w:r>
        <w:rPr>
          <w:i/>
          <w:iCs/>
          <w:color w:val="666666"/>
        </w:rPr>
        <w:t xml:space="preserve">— Fin du document —</w:t>
      </w:r>
    </w:p>
    <w:p>
      <w:pPr>
        <w:spacing w:before="100"/>
        <w:jc w:val="center"/>
      </w:pPr>
      <w:r>
        <w:rPr>
          <w:color w:val="666666"/>
          <w:sz w:val="18"/>
          <w:szCs w:val="18"/>
        </w:rPr>
        <w:t xml:space="preserve">Bible du Projet — Koraya — v1.0</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b/>
      <w:bCs/>
      <w:color w:val="1F3A5F"/>
      <w:sz w:val="32"/>
      <w:szCs w:val="32"/>
    </w:rPr>
  </w:style>
  <w:style w:type="paragraph" w:styleId="Heading2">
    <w:name w:val="Heading 2"/>
    <w:basedOn w:val="Normal"/>
    <w:next w:val="Normal"/>
    <w:qFormat/>
    <w:pPr>
      <w:spacing w:after="120" w:before="200"/>
    </w:pPr>
    <w:rPr>
      <w:b/>
      <w:bCs/>
      <w:color w:val="1F3A5F"/>
      <w:sz w:val="26"/>
      <w:szCs w:val="26"/>
    </w:rPr>
  </w:style>
  <w:style w:type="paragraph" w:styleId="Heading3">
    <w:name w:val="Heading 3"/>
    <w:basedOn w:val="Normal"/>
    <w:next w:val="Normal"/>
    <w:qFormat/>
    <w:pPr>
      <w:spacing w:after="100" w:before="160"/>
    </w:pPr>
    <w:rPr>
      <w:b/>
      <w:b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2026-09-05T03:33:06.791Z</dcterms:created>
  <dcterms:modified xsi:type="dcterms:W3CDTF">2026-09-05T03:33:06.803Z</dcterms:modified>
</cp:coreProperties>
</file>

<file path=docProps/custom.xml><?xml version="1.0" encoding="utf-8"?>
<Properties xmlns="http://schemas.openxmlformats.org/officeDocument/2006/custom-properties" xmlns:vt="http://schemas.openxmlformats.org/officeDocument/2006/docPropsVTypes"/>
</file>