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before="500"/>
        <w:jc w:val="center"/>
      </w:pPr>
      <w:r>
        <w:rPr>
          <w:rFonts w:ascii="Arial" w:cs="Arial" w:eastAsia="Arial" w:hAnsi="Arial"/>
          <w:b/>
          <w:bCs/>
          <w:color w:val="1F3864"/>
          <w:sz w:val="80"/>
          <w:szCs w:val="80"/>
        </w:rPr>
        <w:t xml:space="preserve">P2M-CA</w:t>
      </w:r>
    </w:p>
    <w:p>
      <w:pPr>
        <w:spacing w:after="100" w:before="0"/>
        <w:jc w:val="center"/>
      </w:pPr>
      <w:r>
        <w:rPr>
          <w:rFonts w:ascii="Arial" w:cs="Arial" w:eastAsia="Arial" w:hAnsi="Arial"/>
          <w:color w:val="2E75B6"/>
          <w:sz w:val="30"/>
          <w:szCs w:val="30"/>
        </w:rPr>
        <w:t xml:space="preserve">Modèle de base, couches interprétatives et prototype</w:t>
      </w:r>
    </w:p>
    <w:p>
      <w:pPr>
        <w:spacing w:after="400" w:before="0"/>
        <w:jc w:val="center"/>
      </w:pPr>
      <w:r>
        <w:rPr>
          <w:rFonts w:ascii="Arial" w:cs="Arial" w:eastAsia="Arial" w:hAnsi="Arial"/>
          <w:i/>
          <w:iCs/>
          <w:color w:val="595959"/>
          <w:sz w:val="22"/>
          <w:szCs w:val="22"/>
        </w:rPr>
        <w:t xml:space="preserve">Version 2.1  —  Avril 2026 (prototype opérationnel)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Statut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EN COURS — prototype local opérationnel</w:t>
            </w:r>
          </w:p>
        </w:tc>
      </w:tr>
      <w:tr>
        <w:tc>
          <w:tcPr>
            <w:tcW w:type="dxa" w:w="25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Auteur</w:t>
            </w:r>
          </w:p>
        </w:tc>
        <w:tc>
          <w:tcPr>
            <w:tcW w:type="dxa" w:w="68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Pierre Musseau-Milesi assisté par Claude / Anthropic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Version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2.1 — Avril 2026</w:t>
            </w:r>
          </w:p>
        </w:tc>
      </w:tr>
    </w:tbl>
    <w:p>
      <w:pPr>
        <w:spacing w:after="80" w:before="0"/>
      </w:pP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40" w:before="40"/>
            </w:pPr>
            <w:r>
              <w:rPr>
                <w:rFonts w:ascii="Arial" w:cs="Arial" w:eastAsia="Arial" w:hAnsi="Arial"/>
                <w:b/>
                <w:bCs/>
                <w:color w:val="2F5496"/>
                <w:sz w:val="18"/>
                <w:szCs w:val="18"/>
              </w:rPr>
              <w:t xml:space="preserve">Note de version 2.1 — </w:t>
            </w:r>
            <w:r>
              <w:rPr>
                <w:rFonts w:ascii="Arial" w:cs="Arial" w:eastAsia="Arial" w:hAnsi="Arial"/>
                <w:i/>
                <w:iCs/>
                <w:color w:val="1A1A1A"/>
                <w:sz w:val="18"/>
                <w:szCs w:val="18"/>
              </w:rPr>
              <w:t xml:space="preserve">Cette version 2.1 consolide le modèle théorique (v2.0) avec les ajustements issus du développement du prototype local Python/SQLite/ChromaDB/FastAPI. Elle intègre : (1) le schéma URI combinant slug lisible et DID:key ; (2) la couche C-AGENT ; (3) la distinction proposition/enregistrement avec statut_enregistrement ; (4) le workflow de validation asynchrone multi-acteur avec co-validation ; (5) le RAG ChromaDB par acteur avec agents Ollama/Mistral et API Claude ; (6) la vérification de la symétrie R1 ; (7) le chaînage des écritures via ecriture_anterieure_uri ; (8) l'interface web FastAPI.</w:t>
            </w:r>
          </w:p>
        </w:tc>
      </w:tr>
    </w:tbl>
    <w:p>
      <w:pPr>
        <w:spacing w:after="80" w:before="0"/>
      </w:pPr>
    </w:p>
    <w:p>
      <w:pPr>
        <w:spacing w:after="80" w:before="0"/>
      </w:pPr>
    </w:p>
    <w:p>
      <w:r>
        <w:br w:type="page"/>
      </w:r>
    </w:p>
    <w:p>
      <w:pPr>
        <w:pStyle w:val="Heading1"/>
        <w:pBdr>
          <w:bottom w:val="single" w:color="1F3864" w:sz="8" w:space="1"/>
        </w:pBdr>
        <w:spacing w:after="140" w:before="360"/>
      </w:pPr>
      <w:r>
        <w:rPr>
          <w:rFonts w:ascii="Arial" w:cs="Arial" w:eastAsia="Arial" w:hAnsi="Arial"/>
          <w:b/>
          <w:bCs/>
          <w:color w:val="1F3864"/>
          <w:sz w:val="32"/>
          <w:szCs w:val="32"/>
        </w:rPr>
        <w:t xml:space="preserve">1. Fondement : trois primitives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40" w:before="40"/>
            </w:pPr>
            <w:r>
              <w:rPr>
                <w:rFonts w:ascii="Arial" w:cs="Arial" w:eastAsia="Arial" w:hAnsi="Arial"/>
                <w:b/>
                <w:bCs/>
                <w:color w:val="2F5496"/>
                <w:sz w:val="18"/>
                <w:szCs w:val="18"/>
              </w:rPr>
              <w:t xml:space="preserve">Principe ontologique central — </w:t>
            </w:r>
            <w:r>
              <w:rPr>
                <w:rFonts w:ascii="Arial" w:cs="Arial" w:eastAsia="Arial" w:hAnsi="Arial"/>
                <w:i/>
                <w:iCs/>
                <w:color w:val="1A1A1A"/>
                <w:sz w:val="18"/>
                <w:szCs w:val="18"/>
              </w:rPr>
              <w:t xml:space="preserve">Le modèle P2M-CA v2 repose sur une ontologie relationnelle : les entités n'existent que par leurs interactions. Cette thèse — centrale dans la sociologie de la traduction (Callon, 1986) et dans le programme d'écologisation (Callon, Caliskan &amp; MacKenzie, 2025) — est instanciée par les trois primitives formelles du modèle.</w:t>
            </w:r>
          </w:p>
        </w:tc>
      </w:tr>
    </w:tbl>
    <w:p>
      <w:pPr>
        <w:spacing w:after="80" w:before="0"/>
      </w:pPr>
    </w:p>
    <w:p>
      <w:pPr>
        <w:pStyle w:val="Heading2"/>
        <w:spacing w:after="100" w:before="260"/>
      </w:pPr>
      <w:r>
        <w:rPr>
          <w:rFonts w:ascii="Arial" w:cs="Arial" w:eastAsia="Arial" w:hAnsi="Arial"/>
          <w:b/>
          <w:bCs/>
          <w:color w:val="2E75B6"/>
          <w:sz w:val="26"/>
          <w:szCs w:val="26"/>
        </w:rPr>
        <w:t xml:space="preserve">1.1 L'acteur</w:t>
      </w:r>
    </w:p>
    <w:p>
      <w:pPr>
        <w:spacing w:after="80" w:before="0"/>
        <w:jc w:val="left"/>
      </w:pPr>
      <w:r>
        <w:rPr>
          <w:rFonts w:ascii="Arial" w:cs="Arial" w:eastAsia="Arial" w:hAnsi="Arial"/>
          <w:b w:val="false"/>
          <w:bCs w:val="false"/>
          <w:i w:val="false"/>
          <w:iCs w:val="false"/>
          <w:color w:val="1A1A1A"/>
          <w:sz w:val="20"/>
          <w:szCs w:val="20"/>
        </w:rPr>
        <w:t xml:space="preserve">Un acteur est toute entité identifiable susceptible d'être impliquée dans des interactions. Sa nature est volontairement non contrainte : personne, organisation, objet, algorithme, règle, bien commun, concept, couche interprétative elle-même. Un acteur n'existe dans le registre que par ses interactions.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18"/>
                <w:szCs w:val="18"/>
              </w:rPr>
              <w:t xml:space="preserve">Champ</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18"/>
                <w:szCs w:val="18"/>
              </w:rPr>
              <w:t xml:space="preserve">Type</w:t>
            </w:r>
          </w:p>
        </w:tc>
        <w:tc>
          <w:tcPr>
            <w:tcW w:type="dxa" w:w="5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uri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URI / DID:key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Identifiant universel et pérenne. Format prototype : DID:key (W3C) invariant, couplé à un slug lisible.</w:t>
            </w:r>
          </w:p>
        </w:tc>
      </w:tr>
      <w:tr>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slug</w:t>
            </w:r>
          </w:p>
        </w:tc>
        <w:tc>
          <w:tcPr>
            <w:tcW w:type="dxa" w:w="1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string</w:t>
            </w:r>
          </w:p>
        </w:tc>
        <w:tc>
          <w:tcPr>
            <w:tcW w:type="dxa" w:w="5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Identifiant lisible normalisé (ex. : zone-humide-briere). Usage humain dans les markdowns. Non normatif.</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label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string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Libellé lisible facultatif, à usage humain uniquement. Non normatif.</w:t>
            </w:r>
          </w:p>
        </w:tc>
      </w:tr>
      <w:tr>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registre_archive_uri</w:t>
            </w:r>
          </w:p>
        </w:tc>
        <w:tc>
          <w:tcPr>
            <w:tcW w:type="dxa" w:w="1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URI/null</w:t>
            </w:r>
          </w:p>
        </w:tc>
        <w:tc>
          <w:tcPr>
            <w:tcW w:type="dxa" w:w="5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Lien vers un état antérieur archivé de cet acteur, si applicable.</w:t>
            </w:r>
          </w:p>
        </w:tc>
      </w:tr>
    </w:tbl>
    <w:p>
      <w:pPr>
        <w:spacing w:after="80" w:before="0"/>
      </w:pPr>
    </w:p>
    <w:p>
      <w:pPr>
        <w:spacing w:after="80" w:before="0"/>
      </w:pPr>
    </w:p>
    <w:p>
      <w:pPr>
        <w:pStyle w:val="Heading2"/>
        <w:spacing w:after="100" w:before="260"/>
      </w:pPr>
      <w:r>
        <w:rPr>
          <w:rFonts w:ascii="Arial" w:cs="Arial" w:eastAsia="Arial" w:hAnsi="Arial"/>
          <w:b/>
          <w:bCs/>
          <w:color w:val="2E75B6"/>
          <w:sz w:val="26"/>
          <w:szCs w:val="26"/>
        </w:rPr>
        <w:t xml:space="preserve">1.2 L'interaction</w:t>
      </w:r>
    </w:p>
    <w:p>
      <w:pPr>
        <w:spacing w:after="80" w:before="0"/>
        <w:jc w:val="left"/>
      </w:pPr>
      <w:r>
        <w:rPr>
          <w:rFonts w:ascii="Arial" w:cs="Arial" w:eastAsia="Arial" w:hAnsi="Arial"/>
          <w:b w:val="false"/>
          <w:bCs w:val="false"/>
          <w:i w:val="false"/>
          <w:iCs w:val="false"/>
          <w:color w:val="1A1A1A"/>
          <w:sz w:val="20"/>
          <w:szCs w:val="20"/>
        </w:rPr>
        <w:t xml:space="preserve">Une interaction est un événement mettant en relation deux acteurs ou plus, identifié par un URI. La première écriture de toute interaction cite les couches interprétatives mobilisées pour la décrire.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18"/>
                <w:szCs w:val="18"/>
              </w:rPr>
              <w:t xml:space="preserve">Champ</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18"/>
                <w:szCs w:val="18"/>
              </w:rPr>
              <w:t xml:space="preserve">Type</w:t>
            </w:r>
          </w:p>
        </w:tc>
        <w:tc>
          <w:tcPr>
            <w:tcW w:type="dxa" w:w="5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uri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URI / DID:key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Identifiant universel et pérenne. Format prototype : DID:key couplé à un slug lisible.</w:t>
            </w:r>
          </w:p>
        </w:tc>
      </w:tr>
      <w:tr>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slug</w:t>
            </w:r>
          </w:p>
        </w:tc>
        <w:tc>
          <w:tcPr>
            <w:tcW w:type="dxa" w:w="1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string</w:t>
            </w:r>
          </w:p>
        </w:tc>
        <w:tc>
          <w:tcPr>
            <w:tcW w:type="dxa" w:w="5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Identifiant lisible (ex. : restauration-zh-briere-2026-04). Usage humain.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acteurs_ref</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liste {URI, label}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Acteurs concernés par l'interaction.</w:t>
            </w:r>
          </w:p>
        </w:tc>
      </w:tr>
      <w:tr>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couches_ref</w:t>
            </w:r>
          </w:p>
        </w:tc>
        <w:tc>
          <w:tcPr>
            <w:tcW w:type="dxa" w:w="1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liste URI</w:t>
            </w:r>
          </w:p>
        </w:tc>
        <w:tc>
          <w:tcPr>
            <w:tcW w:type="dxa" w:w="5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Couches interprétatives mobilisées.</w:t>
            </w:r>
          </w:p>
        </w:tc>
      </w:tr>
    </w:tbl>
    <w:p>
      <w:pPr>
        <w:spacing w:after="80" w:before="0"/>
      </w:pPr>
    </w:p>
    <w:p>
      <w:pPr>
        <w:spacing w:after="80" w:before="0"/>
      </w:pPr>
    </w:p>
    <w:p>
      <w:pPr>
        <w:pStyle w:val="Heading2"/>
        <w:spacing w:after="100" w:before="260"/>
      </w:pPr>
      <w:r>
        <w:rPr>
          <w:rFonts w:ascii="Arial" w:cs="Arial" w:eastAsia="Arial" w:hAnsi="Arial"/>
          <w:b/>
          <w:bCs/>
          <w:color w:val="2E75B6"/>
          <w:sz w:val="26"/>
          <w:szCs w:val="26"/>
        </w:rPr>
        <w:t xml:space="preserve">1.3 L'écriture</w:t>
      </w:r>
    </w:p>
    <w:p>
      <w:pPr>
        <w:spacing w:after="80" w:before="0"/>
        <w:jc w:val="left"/>
      </w:pPr>
      <w:r>
        <w:rPr>
          <w:rFonts w:ascii="Arial" w:cs="Arial" w:eastAsia="Arial" w:hAnsi="Arial"/>
          <w:b w:val="false"/>
          <w:bCs w:val="false"/>
          <w:i w:val="false"/>
          <w:iCs w:val="false"/>
          <w:color w:val="1A1A1A"/>
          <w:sz w:val="20"/>
          <w:szCs w:val="20"/>
        </w:rPr>
        <w:t xml:space="preserve">Une écriture est l'unité élémentaire du registre. Elle associe un acteur, une interaction, un sens (DÉBIT ou CRÉDIT) et un contenu libre en markdown.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18"/>
                <w:szCs w:val="18"/>
              </w:rPr>
              <w:t xml:space="preserve">Sens</w:t>
            </w:r>
          </w:p>
        </w:tc>
        <w:tc>
          <w:tcPr>
            <w:tcW w:type="dxa" w:w="7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18"/>
                <w:szCs w:val="18"/>
              </w:rPr>
              <w:t xml:space="preserve">Définition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DÉBIT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Ce que l'acteur mobilise ou peut mobiliser des autres acteurs cités dans l'interaction.</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CRÉDIT</w:t>
            </w:r>
          </w:p>
        </w:tc>
        <w:tc>
          <w:tcPr>
            <w:tcW w:type="dxa" w:w="7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Ce que l'acteur fait ou doit aux autres acteurs cités dans l'interaction.</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18"/>
                <w:szCs w:val="18"/>
              </w:rPr>
              <w:t xml:space="preserve">Champ</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18"/>
                <w:szCs w:val="18"/>
              </w:rPr>
              <w:t xml:space="preserve">Type</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uri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URI</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Composé déterministement : {interaction_slug}#{acteur_slug}#{sens}#{couche_slug}#{index}.</w:t>
            </w:r>
          </w:p>
        </w:tc>
      </w:tr>
      <w:tr>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interaction_uri</w:t>
            </w:r>
          </w:p>
        </w:tc>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URI</w:t>
            </w:r>
          </w:p>
        </w:tc>
        <w:tc>
          <w:tcPr>
            <w:tcW w:type="dxa" w:w="5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Interaction à laquelle appartient cette écriture.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acteur_uri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URI</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Acteur dont cette écriture décrit la position.</w:t>
            </w:r>
          </w:p>
        </w:tc>
      </w:tr>
      <w:tr>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sens</w:t>
            </w:r>
          </w:p>
        </w:tc>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enum</w:t>
            </w:r>
          </w:p>
        </w:tc>
        <w:tc>
          <w:tcPr>
            <w:tcW w:type="dxa" w:w="5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DÉBIT ou CRÉDIT.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contenu</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markdown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Texte libre décrivant la position de l'acteur.</w:t>
            </w:r>
          </w:p>
        </w:tc>
      </w:tr>
      <w:tr>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ecriture_symetrique_uri</w:t>
            </w:r>
          </w:p>
        </w:tc>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URI/null</w:t>
            </w:r>
          </w:p>
        </w:tc>
        <w:tc>
          <w:tcPr>
            <w:tcW w:type="dxa" w:w="5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URI de l'écriture miroir chez l'acteur symétrique (R1).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ecriture_anterieure_uri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URI/null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Référence à une écriture antérieure pour le chaînage. Accepte un URI complet ou un slug d'interaction.</w:t>
            </w:r>
          </w:p>
        </w:tc>
      </w:tr>
      <w:tr>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couche_uri</w:t>
            </w:r>
          </w:p>
        </w:tc>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URI/null</w:t>
            </w:r>
          </w:p>
        </w:tc>
        <w:tc>
          <w:tcPr>
            <w:tcW w:type="dxa" w:w="5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Couche interprétative de cette écriture. Null pour la couche de base.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champs_couche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JSON/null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Champs spécifiques de la couche, stockés en JSON. Null si couche de base.</w:t>
            </w:r>
          </w:p>
        </w:tc>
      </w:tr>
      <w:tr>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statut_enregistrement</w:t>
            </w:r>
          </w:p>
        </w:tc>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enum</w:t>
            </w:r>
          </w:p>
        </w:tc>
        <w:tc>
          <w:tcPr>
            <w:tcW w:type="dxa" w:w="5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PROPOSE / PENDING_VALIDATION / VALIDATED / REJECTED / ARCHIVED. Défaut : VALIDATED si aucune règle.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validations_requises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liste/null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Validations en suspens. Null si statut = VALIDATED.</w:t>
            </w:r>
          </w:p>
        </w:tc>
      </w:tr>
      <w:tr>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date_proposition</w:t>
            </w:r>
          </w:p>
        </w:tc>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datetime</w:t>
            </w:r>
          </w:p>
        </w:tc>
        <w:tc>
          <w:tcPr>
            <w:tcW w:type="dxa" w:w="5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Date de soumission.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date_validation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datetime/null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Date de validation définitive. Null si non encore validée.</w:t>
            </w:r>
          </w:p>
        </w:tc>
      </w:tr>
      <w:tr>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propose_par_uri</w:t>
            </w:r>
          </w:p>
        </w:tc>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URI</w:t>
            </w:r>
          </w:p>
        </w:tc>
        <w:tc>
          <w:tcPr>
            <w:tcW w:type="dxa" w:w="5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Agent ou acteur humain ayant proposé cette écriture.</w:t>
            </w:r>
          </w:p>
        </w:tc>
      </w:tr>
    </w:tbl>
    <w:p>
      <w:pPr>
        <w:spacing w:after="80" w:before="0"/>
      </w:pPr>
    </w:p>
    <w:p>
      <w:pPr>
        <w:spacing w:after="80" w:before="0"/>
      </w:pPr>
    </w:p>
    <w:p>
      <w:r>
        <w:br w:type="page"/>
      </w:r>
    </w:p>
    <w:p>
      <w:pPr>
        <w:pStyle w:val="Heading1"/>
        <w:pBdr>
          <w:bottom w:val="single" w:color="1F3864" w:sz="8" w:space="1"/>
        </w:pBdr>
        <w:spacing w:after="140" w:before="360"/>
      </w:pPr>
      <w:r>
        <w:rPr>
          <w:rFonts w:ascii="Arial" w:cs="Arial" w:eastAsia="Arial" w:hAnsi="Arial"/>
          <w:b/>
          <w:bCs/>
          <w:color w:val="1F3864"/>
          <w:sz w:val="32"/>
          <w:szCs w:val="32"/>
        </w:rPr>
        <w:t xml:space="preserve">2. La règle constitutive : symétrie relationnelle (R1)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40" w:before="40"/>
            </w:pPr>
            <w:r>
              <w:rPr>
                <w:rFonts w:ascii="Arial" w:cs="Arial" w:eastAsia="Arial" w:hAnsi="Arial"/>
                <w:b/>
                <w:bCs/>
                <w:color w:val="2F5496"/>
                <w:sz w:val="18"/>
                <w:szCs w:val="18"/>
              </w:rPr>
              <w:t xml:space="preserve">R1 — Symétrie relationnelle — </w:t>
            </w:r>
            <w:r>
              <w:rPr>
                <w:rFonts w:ascii="Arial" w:cs="Arial" w:eastAsia="Arial" w:hAnsi="Arial"/>
                <w:i/>
                <w:iCs/>
                <w:color w:val="1A1A1A"/>
                <w:sz w:val="18"/>
                <w:szCs w:val="18"/>
              </w:rPr>
              <w:t xml:space="preserve">Toute interaction entre deux acteurs A et B produit des écritures miroirs. Ce que A inscrit au débit, B l'inscrit au crédit. Ce que A inscrit au crédit, B l'inscrit au débit. L'appropriation exclusive est un cas limite, non le modèle général.</w:t>
            </w:r>
          </w:p>
        </w:tc>
      </w:tr>
    </w:tbl>
    <w:p>
      <w:pPr>
        <w:spacing w:after="80" w:before="0"/>
      </w:pPr>
    </w:p>
    <w:p>
      <w:pPr>
        <w:spacing w:after="80" w:before="0"/>
        <w:jc w:val="left"/>
      </w:pPr>
      <w:r>
        <w:rPr>
          <w:rFonts w:ascii="Arial" w:cs="Arial" w:eastAsia="Arial" w:hAnsi="Arial"/>
          <w:b w:val="false"/>
          <w:bCs w:val="false"/>
          <w:i w:val="false"/>
          <w:iCs w:val="false"/>
          <w:color w:val="1A1A1A"/>
          <w:sz w:val="20"/>
          <w:szCs w:val="20"/>
        </w:rPr>
        <w:t xml:space="preserve">R1 est l'homologue formel de la symétrie généralisée de la sociologie de la traduction. Dans le programme d'écologisation, cette règle encode la double face de l'asset-actif : ce qu'il mobilise et ce qu'il doit à son milieu associé.</w:t>
      </w:r>
    </w:p>
    <w:p>
      <w:pPr>
        <w:spacing w:after="80" w:before="0"/>
        <w:jc w:val="left"/>
      </w:pPr>
      <w:r>
        <w:rPr>
          <w:rFonts w:ascii="Arial" w:cs="Arial" w:eastAsia="Arial" w:hAnsi="Arial"/>
          <w:b w:val="false"/>
          <w:bCs w:val="false"/>
          <w:i w:val="false"/>
          <w:iCs w:val="false"/>
          <w:color w:val="1A1A1A"/>
          <w:sz w:val="20"/>
          <w:szCs w:val="20"/>
        </w:rPr>
        <w:t xml:space="preserve">Exception : R1 peut être suspendue par convention dans C-SOLIDITE pour la valeur IRREVERSIBLE (extinction d'espèce, dégradation définitive). Le champ r1_suspendue = true documente cette suspension.</w:t>
      </w:r>
    </w:p>
    <w:p>
      <w:pPr>
        <w:spacing w:after="80" w:before="0"/>
        <w:jc w:val="left"/>
      </w:pPr>
      <w:r>
        <w:rPr>
          <w:rFonts w:ascii="Arial" w:cs="Arial" w:eastAsia="Arial" w:hAnsi="Arial"/>
          <w:b w:val="false"/>
          <w:bCs w:val="false"/>
          <w:i/>
          <w:iCs/>
          <w:color w:val="1A1A1A"/>
          <w:sz w:val="20"/>
          <w:szCs w:val="20"/>
        </w:rPr>
        <w:t xml:space="preserve">La vérification automatique de R1 est assurée par le script check_symmetry.py et la page Symétrie R1 de l'interface web.</w:t>
      </w:r>
    </w:p>
    <w:p>
      <w:pPr>
        <w:spacing w:after="80" w:before="0"/>
      </w:pPr>
    </w:p>
    <w:p>
      <w:pPr>
        <w:spacing w:after="80" w:before="0"/>
      </w:pPr>
    </w:p>
    <w:p>
      <w:pPr>
        <w:pStyle w:val="Heading1"/>
        <w:pBdr>
          <w:bottom w:val="single" w:color="1F3864" w:sz="8" w:space="1"/>
        </w:pBdr>
        <w:spacing w:after="140" w:before="360"/>
      </w:pPr>
      <w:r>
        <w:rPr>
          <w:rFonts w:ascii="Arial" w:cs="Arial" w:eastAsia="Arial" w:hAnsi="Arial"/>
          <w:b/>
          <w:bCs/>
          <w:color w:val="1F3864"/>
          <w:sz w:val="32"/>
          <w:szCs w:val="32"/>
        </w:rPr>
        <w:t xml:space="preserve">3. Ajustements du prototype (v2.1)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spacing w:after="40" w:before="40"/>
            </w:pPr>
            <w:r>
              <w:rPr>
                <w:rFonts w:ascii="Arial" w:cs="Arial" w:eastAsia="Arial" w:hAnsi="Arial"/>
                <w:b/>
                <w:bCs/>
                <w:color w:val="2F5496"/>
                <w:sz w:val="18"/>
                <w:szCs w:val="18"/>
              </w:rPr>
              <w:t xml:space="preserve">Statut — </w:t>
            </w:r>
            <w:r>
              <w:rPr>
                <w:rFonts w:ascii="Arial" w:cs="Arial" w:eastAsia="Arial" w:hAnsi="Arial"/>
                <w:i/>
                <w:iCs/>
                <w:color w:val="1A1A1A"/>
                <w:sz w:val="18"/>
                <w:szCs w:val="18"/>
              </w:rPr>
              <w:t xml:space="preserve">Ces ajustements ne modifient pas l'ontologie relationnelle du modèle. Ils instancient dans le schéma de données ce que le texte formulait conceptuellement.</w:t>
            </w:r>
          </w:p>
        </w:tc>
      </w:tr>
    </w:tbl>
    <w:p>
      <w:pPr>
        <w:spacing w:after="80" w:before="0"/>
      </w:pPr>
    </w:p>
    <w:p>
      <w:pPr>
        <w:pStyle w:val="Heading2"/>
        <w:spacing w:after="100" w:before="260"/>
      </w:pPr>
      <w:r>
        <w:rPr>
          <w:rFonts w:ascii="Arial" w:cs="Arial" w:eastAsia="Arial" w:hAnsi="Arial"/>
          <w:b/>
          <w:bCs/>
          <w:color w:val="2E75B6"/>
          <w:sz w:val="26"/>
          <w:szCs w:val="26"/>
        </w:rPr>
        <w:t xml:space="preserve">3.1 Schéma URI : slug + DID:key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18"/>
                <w:szCs w:val="18"/>
              </w:rPr>
              <w:t xml:space="preserve">Format</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18"/>
                <w:szCs w:val="18"/>
              </w:rPr>
              <w:t xml:space="preserve">Rôle</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18"/>
                <w:szCs w:val="18"/>
              </w:rPr>
              <w:t xml:space="preserve">Exemple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DID:key (W3C)</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Clé formelle invariante, générée à la création. Reste stable en cas de renommage.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did:key:z6MkhaXgBZDvotDkL5257fa...</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Slug lisible</w:t>
            </w:r>
          </w:p>
        </w:tc>
        <w:tc>
          <w:tcPr>
            <w:tcW w:type="dxa" w:w="4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Identifiant normalisé à usage humain dans les markdowns.</w:t>
            </w:r>
          </w:p>
        </w:tc>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zone-humide-briere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URI d'écriture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Composé déterministement avec un index pour garantir l'unicité.</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restauration-zh#zone-humide#DEBIT#C-SOG#0</w:t>
            </w:r>
          </w:p>
        </w:tc>
      </w:tr>
    </w:tbl>
    <w:p>
      <w:pPr>
        <w:spacing w:after="80" w:before="0"/>
      </w:pPr>
    </w:p>
    <w:p>
      <w:pPr>
        <w:spacing w:after="80" w:before="0"/>
      </w:pPr>
    </w:p>
    <w:p>
      <w:pPr>
        <w:pStyle w:val="Heading2"/>
        <w:spacing w:after="100" w:before="260"/>
      </w:pPr>
      <w:r>
        <w:rPr>
          <w:rFonts w:ascii="Arial" w:cs="Arial" w:eastAsia="Arial" w:hAnsi="Arial"/>
          <w:b/>
          <w:bCs/>
          <w:color w:val="2E75B6"/>
          <w:sz w:val="26"/>
          <w:szCs w:val="26"/>
        </w:rPr>
        <w:t xml:space="preserve">3.2 Distinction proposition / enregistrement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18"/>
                <w:szCs w:val="18"/>
              </w:rPr>
              <w:t xml:space="preserve">Statut</w:t>
            </w:r>
          </w:p>
        </w:tc>
        <w:tc>
          <w:tcPr>
            <w:tcW w:type="dxa" w:w="7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18"/>
                <w:szCs w:val="18"/>
              </w:rPr>
              <w:t xml:space="preserve">Définition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PROPOSE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L'écriture a été soumise. Aucune règle de validation vérifiée.</w:t>
            </w:r>
          </w:p>
        </w:tc>
      </w:tr>
      <w:tr>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PENDING_VALIDATION</w:t>
            </w:r>
          </w:p>
        </w:tc>
        <w:tc>
          <w:tcPr>
            <w:tcW w:type="dxa" w:w="7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Au moins une règle détectée. Validations en cours.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VALIDATED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Toutes les validations obtenues. Écriture définitivement enregistrée.</w:t>
            </w:r>
          </w:p>
        </w:tc>
      </w:tr>
      <w:tr>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REJECTED</w:t>
            </w:r>
          </w:p>
        </w:tc>
        <w:tc>
          <w:tcPr>
            <w:tcW w:type="dxa" w:w="7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Au moins une validation refusée.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ARCHIVED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Écriture historique, remplacée via ecriture_anterieure_uri.</w:t>
            </w:r>
          </w:p>
        </w:tc>
      </w:tr>
    </w:tbl>
    <w:p>
      <w:pPr>
        <w:spacing w:after="80" w:before="0"/>
      </w:pPr>
    </w:p>
    <w:p>
      <w:pPr>
        <w:spacing w:after="80" w:before="0"/>
        <w:jc w:val="left"/>
      </w:pPr>
      <w:r>
        <w:rPr>
          <w:rFonts w:ascii="Arial" w:cs="Arial" w:eastAsia="Arial" w:hAnsi="Arial"/>
          <w:b/>
          <w:bCs/>
          <w:i w:val="false"/>
          <w:iCs w:val="false"/>
          <w:color w:val="1A1A1A"/>
          <w:sz w:val="20"/>
          <w:szCs w:val="20"/>
        </w:rPr>
        <w:t xml:space="preserve">Structure de validations_requises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16" w:before="16"/>
            </w:pPr>
            <w:r>
              <w:rPr>
                <w:rFonts w:ascii="Courier New" w:cs="Courier New" w:eastAsia="Courier New" w:hAnsi="Courier New"/>
                <w:color w:val="1A1A1A"/>
                <w:sz w:val="16"/>
                <w:szCs w:val="16"/>
              </w:rPr>
              <w:t xml:space="preserve">validations_requises:</w:t>
            </w:r>
          </w:p>
          <w:p>
            <w:pPr>
              <w:spacing w:after="16" w:before="16"/>
            </w:pPr>
            <w:r>
              <w:rPr>
                <w:rFonts w:ascii="Courier New" w:cs="Courier New" w:eastAsia="Courier New" w:hAnsi="Courier New"/>
                <w:color w:val="1A1A1A"/>
                <w:sz w:val="16"/>
                <w:szCs w:val="16"/>
              </w:rPr>
              <w:t xml:space="preserve">  - acteur_validateur_uri : URI       # acteur devant valider</w:t>
            </w:r>
          </w:p>
          <w:p>
            <w:pPr>
              <w:spacing w:after="16" w:before="16"/>
            </w:pPr>
            <w:r>
              <w:rPr>
                <w:rFonts w:ascii="Courier New" w:cs="Courier New" w:eastAsia="Courier New" w:hAnsi="Courier New"/>
                <w:color w:val="1A1A1A"/>
                <w:sz w:val="16"/>
                <w:szCs w:val="16"/>
              </w:rPr>
              <w:t xml:space="preserve">    type_validation       : enum      # HUMAIN | AGENT | VOTE | DELAI | CO_VALIDATION</w:t>
            </w:r>
          </w:p>
          <w:p>
            <w:pPr>
              <w:spacing w:after="16" w:before="16"/>
            </w:pPr>
            <w:r>
              <w:rPr>
                <w:rFonts w:ascii="Courier New" w:cs="Courier New" w:eastAsia="Courier New" w:hAnsi="Courier New"/>
                <w:color w:val="1A1A1A"/>
                <w:sz w:val="16"/>
                <w:szCs w:val="16"/>
              </w:rPr>
              <w:t xml:space="preserve">    couche_ref            : URI       # couche qui impose cette regle</w:t>
            </w:r>
          </w:p>
          <w:p>
            <w:pPr>
              <w:spacing w:after="16" w:before="16"/>
            </w:pPr>
            <w:r>
              <w:rPr>
                <w:rFonts w:ascii="Courier New" w:cs="Courier New" w:eastAsia="Courier New" w:hAnsi="Courier New"/>
                <w:color w:val="1A1A1A"/>
                <w:sz w:val="16"/>
                <w:szCs w:val="16"/>
              </w:rPr>
              <w:t xml:space="preserve">    statut                : enum      # EN_ATTENTE | OBTENU | REFUSE</w:t>
            </w:r>
          </w:p>
          <w:p>
            <w:pPr>
              <w:spacing w:after="16" w:before="16"/>
            </w:pPr>
            <w:r>
              <w:rPr>
                <w:rFonts w:ascii="Courier New" w:cs="Courier New" w:eastAsia="Courier New" w:hAnsi="Courier New"/>
                <w:color w:val="1A1A1A"/>
                <w:sz w:val="16"/>
                <w:szCs w:val="16"/>
              </w:rPr>
              <w:t xml:space="preserve">    date_obtention        : datetime  # null si en attente</w:t>
            </w:r>
          </w:p>
          <w:p>
            <w:pPr>
              <w:spacing w:after="16" w:before="16"/>
            </w:pPr>
            <w:r>
              <w:rPr>
                <w:rFonts w:ascii="Courier New" w:cs="Courier New" w:eastAsia="Courier New" w:hAnsi="Courier New"/>
                <w:color w:val="1A1A1A"/>
                <w:sz w:val="16"/>
                <w:szCs w:val="16"/>
              </w:rPr>
              <w:t xml:space="preserve">    commentaire           : markdown  # null si non renseigne</w:t>
            </w:r>
          </w:p>
        </w:tc>
      </w:tr>
    </w:tbl>
    <w:p>
      <w:pPr>
        <w:spacing w:after="80" w:before="0"/>
      </w:pPr>
    </w:p>
    <w:p>
      <w:pPr>
        <w:spacing w:after="80" w:before="0"/>
      </w:pPr>
    </w:p>
    <w:p>
      <w:pPr>
        <w:pStyle w:val="Heading2"/>
        <w:spacing w:after="100" w:before="260"/>
      </w:pPr>
      <w:r>
        <w:rPr>
          <w:rFonts w:ascii="Arial" w:cs="Arial" w:eastAsia="Arial" w:hAnsi="Arial"/>
          <w:b/>
          <w:bCs/>
          <w:color w:val="2E75B6"/>
          <w:sz w:val="26"/>
          <w:szCs w:val="26"/>
        </w:rPr>
        <w:t xml:space="preserve">3.3 Workflow de validation multi-acteur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7160"/>
      </w:tblGrid>
      <w:tr>
        <w:trPr>
          <w:tblHeader/>
        </w:trP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18"/>
                <w:szCs w:val="18"/>
              </w:rPr>
              <w:t xml:space="preserv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18"/>
                <w:szCs w:val="18"/>
              </w:rPr>
              <w:t xml:space="preserve">Étape</w:t>
            </w:r>
          </w:p>
        </w:tc>
        <w:tc>
          <w:tcPr>
            <w:tcW w:type="dxa" w:w="7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18"/>
                <w:szCs w:val="18"/>
              </w:rPr>
              <w:t xml:space="preserve">Description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Instanciation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Le moteur crée un objet interaction provisoire (statut : PROPOSE).</w:t>
            </w:r>
          </w:p>
        </w:tc>
      </w:tr>
      <w:tr>
        <w:tc>
          <w:tcPr>
            <w:tcW w:type="dxa" w:w="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2</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Interrogation RAG</w:t>
            </w:r>
          </w:p>
        </w:tc>
        <w:tc>
          <w:tcPr>
            <w:tcW w:type="dxa" w:w="7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Pour chaque acteur Ai, l'agent interroge son RAG ChromaDB et vérifie les règles.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Réponse agent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L'agent retourne : {validation_requise, type, acteur_validateur_uri, couche_ref, motif}.</w:t>
            </w:r>
          </w:p>
        </w:tc>
      </w:tr>
      <w:tr>
        <w:tc>
          <w:tcPr>
            <w:tcW w:type="dxa" w:w="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4</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Agrégation</w:t>
            </w:r>
          </w:p>
        </w:tc>
        <w:tc>
          <w:tcPr>
            <w:tcW w:type="dxa" w:w="7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Si aucune validation → VALIDATED immédiat. Sinon → PENDING_VALIDATION.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Validations async</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Traitées via CLI (validate_interaction.py) ou interface web. Chaque validation met à jour validations_requises.</w:t>
            </w:r>
          </w:p>
        </w:tc>
      </w:tr>
      <w:tr>
        <w:tc>
          <w:tcPr>
            <w:tcW w:type="dxa" w:w="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6</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Clôture</w:t>
            </w:r>
          </w:p>
        </w:tc>
        <w:tc>
          <w:tcPr>
            <w:tcW w:type="dxa" w:w="7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Toutes validations OBTENU → VALIDATED, RAG mis à jour.</w:t>
            </w:r>
          </w:p>
        </w:tc>
      </w:tr>
    </w:tbl>
    <w:p>
      <w:pPr>
        <w:spacing w:after="80" w:before="0"/>
      </w:pPr>
    </w:p>
    <w:p>
      <w:pPr>
        <w:spacing w:after="80" w:before="0"/>
      </w:pPr>
    </w:p>
    <w:p>
      <w:pPr>
        <w:pStyle w:val="Heading2"/>
        <w:spacing w:after="100" w:before="260"/>
      </w:pPr>
      <w:r>
        <w:rPr>
          <w:rFonts w:ascii="Arial" w:cs="Arial" w:eastAsia="Arial" w:hAnsi="Arial"/>
          <w:b/>
          <w:bCs/>
          <w:color w:val="2E75B6"/>
          <w:sz w:val="26"/>
          <w:szCs w:val="26"/>
        </w:rPr>
        <w:t xml:space="preserve">3.4 Co-validation et anti-greenwashing</w:t>
      </w:r>
    </w:p>
    <w:p>
      <w:pPr>
        <w:spacing w:after="80" w:before="0"/>
        <w:jc w:val="left"/>
      </w:pPr>
      <w:r>
        <w:rPr>
          <w:rFonts w:ascii="Arial" w:cs="Arial" w:eastAsia="Arial" w:hAnsi="Arial"/>
          <w:b w:val="false"/>
          <w:bCs w:val="false"/>
          <w:i w:val="false"/>
          <w:iCs w:val="false"/>
          <w:color w:val="1A1A1A"/>
          <w:sz w:val="20"/>
          <w:szCs w:val="20"/>
        </w:rPr>
        <w:t xml:space="preserve">Les co-validateurs déclarés dans les écritures C-CONSENTEMENT (champ acteurs_co_validateurs) doivent être synchronisés avec la table validations_requises via sync_covalidations.py. Chaque co-validateur doit valider explicitement avant que l'interaction passe à VALIDATED.</w:t>
      </w:r>
    </w:p>
    <w:p>
      <w:pPr>
        <w:spacing w:after="80" w:before="0"/>
      </w:pPr>
    </w:p>
    <w:p>
      <w:pPr>
        <w:spacing w:after="80" w:before="0"/>
      </w:pPr>
    </w:p>
    <w:p>
      <w:r>
        <w:br w:type="page"/>
      </w:r>
    </w:p>
    <w:p>
      <w:pPr>
        <w:pStyle w:val="Heading1"/>
        <w:pBdr>
          <w:bottom w:val="single" w:color="1F3864" w:sz="8" w:space="1"/>
        </w:pBdr>
        <w:spacing w:after="140" w:before="360"/>
      </w:pPr>
      <w:r>
        <w:rPr>
          <w:rFonts w:ascii="Arial" w:cs="Arial" w:eastAsia="Arial" w:hAnsi="Arial"/>
          <w:b/>
          <w:bCs/>
          <w:color w:val="1F3864"/>
          <w:sz w:val="32"/>
          <w:szCs w:val="32"/>
        </w:rPr>
        <w:t xml:space="preserve">4. Architecture des couches interprétatives</w:t>
      </w:r>
    </w:p>
    <w:p>
      <w:pPr>
        <w:pStyle w:val="Heading2"/>
        <w:spacing w:after="100" w:before="260"/>
      </w:pPr>
      <w:r>
        <w:rPr>
          <w:rFonts w:ascii="Arial" w:cs="Arial" w:eastAsia="Arial" w:hAnsi="Arial"/>
          <w:b/>
          <w:bCs/>
          <w:color w:val="2E75B6"/>
          <w:sz w:val="26"/>
          <w:szCs w:val="26"/>
        </w:rPr>
        <w:t xml:space="preserve">4.1 Définition</w:t>
      </w:r>
    </w:p>
    <w:p>
      <w:pPr>
        <w:spacing w:after="80" w:before="0"/>
        <w:jc w:val="left"/>
      </w:pPr>
      <w:r>
        <w:rPr>
          <w:rFonts w:ascii="Arial" w:cs="Arial" w:eastAsia="Arial" w:hAnsi="Arial"/>
          <w:b w:val="false"/>
          <w:bCs w:val="false"/>
          <w:i w:val="false"/>
          <w:iCs w:val="false"/>
          <w:color w:val="1A1A1A"/>
          <w:sz w:val="20"/>
          <w:szCs w:val="20"/>
        </w:rPr>
        <w:t xml:space="preserve">Une couche interprétative C est elle-même un acteur du registre, définie par une interaction de conception. Elle est enregistrée dans la table couches et dans la table acteurs. Ses champs spécifiques sont stockés dans le champ JSON champs_couche de chaque écriture. L'hétérogénéité irréductible des valuemeters n'est pas standardisable a priori : chaque instrument de qualcul est une couche distincte, superposable aux mêmes interactions sans hiérarchie.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18"/>
                <w:szCs w:val="18"/>
              </w:rPr>
              <w:t xml:space="preserve">Champ</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18"/>
                <w:szCs w:val="18"/>
              </w:rPr>
              <w:t xml:space="preserve">Type</w:t>
            </w:r>
          </w:p>
        </w:tc>
        <w:tc>
          <w:tcPr>
            <w:tcW w:type="dxa" w:w="5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18"/>
                <w:szCs w:val="18"/>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uri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URI</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Identifiant de la couche (la couche est un acteur).</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auteur_uri</w:t>
            </w:r>
          </w:p>
        </w:tc>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URI</w:t>
            </w:r>
          </w:p>
        </w:tc>
        <w:tc>
          <w:tcPr>
            <w:tcW w:type="dxa" w:w="5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Acteur concepteur de la couche.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interaction_conception_uri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URI</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Interaction où la couche est définie.</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couches_parentes_uri</w:t>
            </w:r>
          </w:p>
        </w:tc>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liste URI/null</w:t>
            </w:r>
          </w:p>
        </w:tc>
        <w:tc>
          <w:tcPr>
            <w:tcW w:type="dxa" w:w="5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Couches dont cette couche hérite.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champs_definis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JSON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Dictionnaire {champ: {type, description, valeurs}} défini dans le YAML.</w:t>
            </w:r>
          </w:p>
        </w:tc>
      </w:tr>
    </w:tbl>
    <w:p>
      <w:pPr>
        <w:spacing w:after="80" w:before="0"/>
      </w:pPr>
    </w:p>
    <w:p>
      <w:pPr>
        <w:spacing w:after="80" w:before="0"/>
      </w:pPr>
    </w:p>
    <w:p>
      <w:pPr>
        <w:pStyle w:val="Heading2"/>
        <w:spacing w:after="100" w:before="260"/>
      </w:pPr>
      <w:r>
        <w:rPr>
          <w:rFonts w:ascii="Arial" w:cs="Arial" w:eastAsia="Arial" w:hAnsi="Arial"/>
          <w:b/>
          <w:bCs/>
          <w:color w:val="2E75B6"/>
          <w:sz w:val="26"/>
          <w:szCs w:val="26"/>
        </w:rPr>
        <w:t xml:space="preserve">4.2 Architecture des couches de référence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2200"/>
        <w:gridCol w:w="4260"/>
      </w:tblGrid>
      <w:tr>
        <w:trPr>
          <w:tblHeader/>
        </w:trP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18"/>
                <w:szCs w:val="18"/>
              </w:rPr>
              <w:t xml:space="preserve">Couche</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18"/>
                <w:szCs w:val="18"/>
              </w:rPr>
              <w:t xml:space="preserve">Statut</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18"/>
                <w:szCs w:val="18"/>
              </w:rPr>
              <w:t xml:space="preserve">Fondements</w:t>
            </w:r>
          </w:p>
        </w:tc>
        <w:tc>
          <w:tcPr>
            <w:tcW w:type="dxa" w:w="42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18"/>
                <w:szCs w:val="18"/>
              </w:rPr>
              <w:t xml:space="preserve">Rôle principal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C-ANT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Référence (couche mère)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Callon (1986)</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Opérationalise les 4 étapes de la traduction. Encode les effets de performation. Couche mère pour C-SOG et C-CONSENTEMENT. Définie dans c_ant_layer.yaml.</w:t>
            </w:r>
          </w:p>
        </w:tc>
      </w:tr>
      <w:tr>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C-SOG</w:t>
            </w:r>
          </w:p>
        </w:tc>
        <w:tc>
          <w:tcPr>
            <w:tcW w:type="dxa" w:w="15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Référence (refondée)</w:t>
            </w:r>
          </w:p>
        </w:tc>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Chiapello &amp; Gilbert (2016) + Callon et al. (2025)</w:t>
            </w:r>
          </w:p>
        </w:tc>
        <w:tc>
          <w:tcPr>
            <w:tcW w:type="dxa" w:w="42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Analyse des outils de gestion. Valuemeters comme instruments de qualcul. Hérite de C-ANT. Définie dans c_sog_layer.yaml.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C-GOUVERNANCE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À créer (priorité haute)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Ostrom (1990) + Rochfeld et al. (2021)</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Faisceaux de droits et échelle de communalité. Attribution des coûts de care. Prochaine session.</w:t>
            </w:r>
          </w:p>
        </w:tc>
      </w:tr>
      <w:tr>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C-CONSENTEMENT</w:t>
            </w:r>
          </w:p>
        </w:tc>
        <w:tc>
          <w:tcPr>
            <w:tcW w:type="dxa" w:w="15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Référence (étendue)</w:t>
            </w:r>
          </w:p>
        </w:tc>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Callon et al. (2025) + Chiapello &amp; Gilbert (2016)</w:t>
            </w:r>
          </w:p>
        </w:tc>
        <w:tc>
          <w:tcPr>
            <w:tcW w:type="dxa" w:w="42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Délibération, politique et contestation. Co-validation anti-greenwashing. Définie dans c_consentement_layer.yaml.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C-SOLIDITE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Référence (v1)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Callon (1986) + Callon et al. (2025)</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Durabilité, réversibilité, seuils de non-retour. Suspension R1 pour IRREVERSIBLE. Définie dans c_solidite_layer.yaml.</w:t>
            </w:r>
          </w:p>
        </w:tc>
      </w:tr>
      <w:tr>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C-BILAN</w:t>
            </w:r>
          </w:p>
        </w:tc>
        <w:tc>
          <w:tcPr>
            <w:tcW w:type="dxa" w:w="15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À créer</w:t>
            </w:r>
          </w:p>
        </w:tc>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Comptabilité en partie double</w:t>
            </w:r>
          </w:p>
        </w:tc>
        <w:tc>
          <w:tcPr>
            <w:tcW w:type="dxa" w:w="42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Écritures de position bilan : droits, obligations, clôtures. Prochaine session.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C-AGENT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Référence (v1)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P2M-CA v2 — prototype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Agent LLM associé à un acteur : LLM, RAG, droits, protocole. Définie via create_actor_ollama/claude.py.</w:t>
            </w:r>
          </w:p>
        </w:tc>
      </w:tr>
      <w:tr>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C-LIFECYCLE</w:t>
            </w:r>
          </w:p>
        </w:tc>
        <w:tc>
          <w:tcPr>
            <w:tcW w:type="dxa" w:w="15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À créer</w:t>
            </w:r>
          </w:p>
        </w:tc>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Callon et al. (2025)</w:t>
            </w:r>
          </w:p>
        </w:tc>
        <w:tc>
          <w:tcPr>
            <w:tcW w:type="dxa" w:w="42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Phases du cycle de vie des assets-actifs. Hérite de C-SOG. Prochaine session.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C-ECOLOGISATION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À créer (méta-couche)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Callon et al. (2025)</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Couplage obligatoire C-SOG / C-GOUVERNANCE. Anti-greenwashing. Session ultérieure.</w:t>
            </w:r>
          </w:p>
        </w:tc>
      </w:tr>
    </w:tbl>
    <w:p>
      <w:pPr>
        <w:spacing w:after="80" w:before="0"/>
      </w:pPr>
    </w:p>
    <w:p>
      <w:pPr>
        <w:spacing w:after="80" w:before="0"/>
      </w:pPr>
    </w:p>
    <w:p>
      <w:r>
        <w:br w:type="page"/>
      </w:r>
    </w:p>
    <w:p>
      <w:pPr>
        <w:pStyle w:val="Heading1"/>
        <w:pBdr>
          <w:bottom w:val="single" w:color="1F3864" w:sz="8" w:space="1"/>
        </w:pBdr>
        <w:spacing w:after="140" w:before="360"/>
      </w:pPr>
      <w:r>
        <w:rPr>
          <w:rFonts w:ascii="Arial" w:cs="Arial" w:eastAsia="Arial" w:hAnsi="Arial"/>
          <w:b/>
          <w:bCs/>
          <w:color w:val="1F3864"/>
          <w:sz w:val="32"/>
          <w:szCs w:val="32"/>
        </w:rPr>
        <w:t xml:space="preserve">5. C-ANT : Sociologie de la traduction</w:t>
      </w:r>
    </w:p>
    <w:p>
      <w:pPr>
        <w:pStyle w:val="Heading2"/>
        <w:spacing w:after="100" w:before="260"/>
      </w:pPr>
      <w:r>
        <w:rPr>
          <w:rFonts w:ascii="Arial" w:cs="Arial" w:eastAsia="Arial" w:hAnsi="Arial"/>
          <w:b/>
          <w:bCs/>
          <w:color w:val="2E75B6"/>
          <w:sz w:val="26"/>
          <w:szCs w:val="26"/>
        </w:rPr>
        <w:t xml:space="preserve">5.1 Postulats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18"/>
                <w:szCs w:val="18"/>
              </w:rPr>
              <w:t xml:space="preserve">Postulat</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18"/>
                <w:szCs w:val="18"/>
              </w:rPr>
              <w:t xml:space="preserve">Contenu</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18"/>
                <w:szCs w:val="18"/>
              </w:rPr>
              <w:t xml:space="preserve">Encodage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Agnosticisme généralisé</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L'observateur ne présuppose ni la nature ni la société.</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Aucun champ n'est présupposé comme fixé. L'état identitaire est toujours une écriture datée et contestable.</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Symétrie généralisée</w:t>
            </w:r>
          </w:p>
        </w:tc>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Un seul répertoire décrit humains et non-humains.</w:t>
            </w:r>
          </w:p>
        </w:tc>
        <w:tc>
          <w:tcPr>
            <w:tcW w:type="dxa" w:w="4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R1 + champ auteur_effectif_uri pour les écritures au nom d'un non-humain.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Libre association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Aucune frontière a priori entre nature et société.</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L'acteur primitif admet tout type d'entité.</w:t>
            </w:r>
          </w:p>
        </w:tc>
      </w:tr>
    </w:tbl>
    <w:p>
      <w:pPr>
        <w:spacing w:after="80" w:before="0"/>
      </w:pPr>
    </w:p>
    <w:p>
      <w:pPr>
        <w:spacing w:after="80" w:before="0"/>
      </w:pPr>
    </w:p>
    <w:p>
      <w:pPr>
        <w:pStyle w:val="Heading2"/>
        <w:spacing w:after="100" w:before="260"/>
      </w:pPr>
      <w:r>
        <w:rPr>
          <w:rFonts w:ascii="Arial" w:cs="Arial" w:eastAsia="Arial" w:hAnsi="Arial"/>
          <w:b/>
          <w:bCs/>
          <w:color w:val="2E75B6"/>
          <w:sz w:val="26"/>
          <w:szCs w:val="26"/>
        </w:rPr>
        <w:t xml:space="preserve">5.2 Quatre étapes de la traduction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18"/>
                <w:szCs w:val="18"/>
              </w:rPr>
              <w:t xml:space="preserve">Phase</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18"/>
                <w:szCs w:val="18"/>
              </w:rPr>
              <w:t xml:space="preserve">Contenu</w:t>
            </w:r>
          </w:p>
        </w:tc>
        <w:tc>
          <w:tcPr>
            <w:tcW w:type="dxa" w:w="3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18"/>
                <w:szCs w:val="18"/>
              </w:rPr>
              <w:t xml:space="preserve">Champs mobilisés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PROBLEMATISATION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Définition d'un PPO. Le traducteur se rend indispensable.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phase_traduction, ppo_uri, identite_cible</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INTERESSEMENT</w:t>
            </w:r>
          </w:p>
        </w:tc>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Stabilisation des identités via dispositifs d'intéressement.</w:t>
            </w:r>
          </w:p>
        </w:tc>
        <w:tc>
          <w:tcPr>
            <w:tcW w:type="dxa" w:w="3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dispositif_interessement_uri, acteurs_exclus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ENROLEMENT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Chaque acteur accepte provisoirement un rôle.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role_negocie, modalite_negotiation</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MOBILISATION</w:t>
            </w:r>
          </w:p>
        </w:tc>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Représentation des acteurs enrôlés via porte-parole.</w:t>
            </w:r>
          </w:p>
        </w:tc>
        <w:tc>
          <w:tcPr>
            <w:tcW w:type="dxa" w:w="3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porte_parole_uri, auteur_effectif_uri, representativite_contestee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DISSIDENCE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Refus du rôle ou remise en cause du porte-parole.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ecriture_anterieure_uri, type_controinscription</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BOITE_NOIRE</w:t>
            </w:r>
          </w:p>
        </w:tc>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Clôture stabilisant un énoncé comme fait.</w:t>
            </w:r>
          </w:p>
        </w:tc>
        <w:tc>
          <w:tcPr>
            <w:tcW w:type="dxa" w:w="3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solidite_de_l_enonce = BOITE_NOIRE</w:t>
            </w:r>
          </w:p>
        </w:tc>
      </w:tr>
    </w:tbl>
    <w:p>
      <w:pPr>
        <w:spacing w:after="80" w:before="0"/>
      </w:pPr>
    </w:p>
    <w:p>
      <w:pPr>
        <w:spacing w:after="80" w:before="0"/>
      </w:pPr>
    </w:p>
    <w:p>
      <w:pPr>
        <w:pStyle w:val="Heading2"/>
        <w:spacing w:after="100" w:before="260"/>
      </w:pPr>
      <w:r>
        <w:rPr>
          <w:rFonts w:ascii="Arial" w:cs="Arial" w:eastAsia="Arial" w:hAnsi="Arial"/>
          <w:b/>
          <w:bCs/>
          <w:color w:val="2E75B6"/>
          <w:sz w:val="26"/>
          <w:szCs w:val="26"/>
        </w:rPr>
        <w:t xml:space="preserve">5.3 Champs spécifiques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rPr>
          <w:tblHeader/>
        </w:trP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18"/>
                <w:szCs w:val="18"/>
              </w:rPr>
              <w:t xml:space="preserve">Champ</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18"/>
                <w:szCs w:val="18"/>
              </w:rPr>
              <w:t xml:space="preserve">Type</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18"/>
                <w:szCs w:val="18"/>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phase_traduction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enum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PROBLEMATISATION / INTERESSEMENT / ENROLEMENT / MOBILISATION / DISSIDENCE / CONTROVERSE / BOITE_NOIRE / CLOTURE</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ppo_uri</w:t>
            </w:r>
          </w:p>
        </w:tc>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URI/null</w:t>
            </w:r>
          </w:p>
        </w:tc>
        <w:tc>
          <w:tcPr>
            <w:tcW w:type="dxa" w:w="5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Point de passage obligatoire.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dispositif_interessement_uri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URI/null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Objet ou arrangement technique servant d'intermédiaire.</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identite_cible</w:t>
            </w:r>
          </w:p>
        </w:tc>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markdown</w:t>
            </w:r>
          </w:p>
        </w:tc>
        <w:tc>
          <w:tcPr>
            <w:tcW w:type="dxa" w:w="5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Identité que le traducteur cherche à stabiliser.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acteurs_exclus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liste URI</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Acteurs que le dispositif vise à écarter.</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role_negocie</w:t>
            </w:r>
          </w:p>
        </w:tc>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markdown</w:t>
            </w:r>
          </w:p>
        </w:tc>
        <w:tc>
          <w:tcPr>
            <w:tcW w:type="dxa" w:w="5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Rôle accepté provisoirement.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modalite_negotiation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enum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NEGOCIATION / COUP_DE_FORCE / PERSUASION / CONVENTION_TACITE</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porte_parole_uri</w:t>
            </w:r>
          </w:p>
        </w:tc>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URI/null</w:t>
            </w:r>
          </w:p>
        </w:tc>
        <w:tc>
          <w:tcPr>
            <w:tcW w:type="dxa" w:w="5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Acteur représentant un groupe ou un non-humain.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auteur_effectif_uri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URI/null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Acteur ayant rédigé l'écriture au nom d'un autre.</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representativite_contestee</w:t>
            </w:r>
          </w:p>
        </w:tc>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booléen</w:t>
            </w:r>
          </w:p>
        </w:tc>
        <w:tc>
          <w:tcPr>
            <w:tcW w:type="dxa" w:w="5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Vrai si la représentativité du porte-parole est contestée.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etat_identitaire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markdown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Identité de l'acteur à ce stade du processus.</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convention_de_quantification</w:t>
            </w:r>
          </w:p>
        </w:tc>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markdown</w:t>
            </w:r>
          </w:p>
        </w:tc>
        <w:tc>
          <w:tcPr>
            <w:tcW w:type="dxa" w:w="5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Présupposés de l'écriture : ce que le dispositif rend visible et ce qu'il exclut.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solidite_de_l_enonce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enum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CONTROVERSE / PROVISOIRE / STABILISE / BOITE_NOIRE / IRREVERSIBLE</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type_controinscription</w:t>
            </w:r>
          </w:p>
        </w:tc>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enum</w:t>
            </w:r>
          </w:p>
        </w:tc>
        <w:tc>
          <w:tcPr>
            <w:tcW w:type="dxa" w:w="5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REFUTATION / CONTRE_EXPERIENCE / REQUALIFICATION / MOBILISATION_ALTERNATIVE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sous_type_acteur_ant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enum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TRADUCTEUR / PORTE_PAROLE / ACTANT_NON_HUMAIN / INTERMEDIAIRE / COLLECTEUR</w:t>
            </w:r>
          </w:p>
        </w:tc>
      </w:tr>
    </w:tbl>
    <w:p>
      <w:pPr>
        <w:spacing w:after="80" w:before="0"/>
      </w:pPr>
    </w:p>
    <w:p>
      <w:pPr>
        <w:spacing w:after="80" w:before="0"/>
      </w:pPr>
    </w:p>
    <w:p>
      <w:r>
        <w:br w:type="page"/>
      </w:r>
    </w:p>
    <w:p>
      <w:pPr>
        <w:pStyle w:val="Heading1"/>
        <w:pBdr>
          <w:bottom w:val="single" w:color="1F3864" w:sz="8" w:space="1"/>
        </w:pBdr>
        <w:spacing w:after="140" w:before="360"/>
      </w:pPr>
      <w:r>
        <w:rPr>
          <w:rFonts w:ascii="Arial" w:cs="Arial" w:eastAsia="Arial" w:hAnsi="Arial"/>
          <w:b/>
          <w:bCs/>
          <w:color w:val="1F3864"/>
          <w:sz w:val="32"/>
          <w:szCs w:val="32"/>
        </w:rPr>
        <w:t xml:space="preserve">6. C-SOG : Sociologie des outils de gestion</w:t>
      </w:r>
    </w:p>
    <w:p>
      <w:pPr>
        <w:pStyle w:val="Heading2"/>
        <w:spacing w:after="100" w:before="260"/>
      </w:pPr>
      <w:r>
        <w:rPr>
          <w:rFonts w:ascii="Arial" w:cs="Arial" w:eastAsia="Arial" w:hAnsi="Arial"/>
          <w:b/>
          <w:bCs/>
          <w:color w:val="2E75B6"/>
          <w:sz w:val="26"/>
          <w:szCs w:val="26"/>
        </w:rPr>
        <w:t xml:space="preserve">6.1 Fonctions et effets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18"/>
                <w:szCs w:val="18"/>
              </w:rPr>
              <w:t xml:space="preserve">Fonction</w:t>
            </w:r>
          </w:p>
        </w:tc>
        <w:tc>
          <w:tcPr>
            <w:tcW w:type="dxa" w:w="3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18"/>
                <w:szCs w:val="18"/>
              </w:rPr>
              <w:t xml:space="preserve">Effets propres</w:t>
            </w:r>
          </w:p>
        </w:tc>
        <w:tc>
          <w:tcPr>
            <w:tcW w:type="dxa" w:w="3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18"/>
                <w:szCs w:val="18"/>
              </w:rPr>
              <w:t xml:space="preserve">Effets de réactivité</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Épistémique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Véridiction + Valorisation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Subjectivation + Performativité</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Pragmatique</w:t>
            </w:r>
          </w:p>
        </w:tc>
        <w:tc>
          <w:tcPr>
            <w:tcW w:type="dxa" w:w="368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Structuration + Sélection</w:t>
            </w:r>
          </w:p>
        </w:tc>
        <w:tc>
          <w:tcPr>
            <w:tcW w:type="dxa" w:w="368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Contournement / Isomorphisme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Politique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Réification + Légitimation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Domination / Confrontation</w:t>
            </w:r>
          </w:p>
        </w:tc>
      </w:tr>
    </w:tbl>
    <w:p>
      <w:pPr>
        <w:spacing w:after="80" w:before="0"/>
      </w:pPr>
    </w:p>
    <w:p>
      <w:pPr>
        <w:spacing w:after="80" w:before="0"/>
      </w:pPr>
    </w:p>
    <w:p>
      <w:pPr>
        <w:pStyle w:val="Heading2"/>
        <w:spacing w:after="100" w:before="260"/>
      </w:pPr>
      <w:r>
        <w:rPr>
          <w:rFonts w:ascii="Arial" w:cs="Arial" w:eastAsia="Arial" w:hAnsi="Arial"/>
          <w:b/>
          <w:bCs/>
          <w:color w:val="2E75B6"/>
          <w:sz w:val="26"/>
          <w:szCs w:val="26"/>
        </w:rPr>
        <w:t xml:space="preserve">6.2 Champs spécifiques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rPr>
          <w:tblHeader/>
        </w:trP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18"/>
                <w:szCs w:val="18"/>
              </w:rPr>
              <w:t xml:space="preserve">Champ</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18"/>
                <w:szCs w:val="18"/>
              </w:rPr>
              <w:t xml:space="preserve">Type</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18"/>
                <w:szCs w:val="18"/>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convention_de_quantification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markdown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Présupposés et exclusions. Obligatoire pour sous_type_outil = VALUEMETER.</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registre_valuation</w:t>
            </w:r>
          </w:p>
        </w:tc>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enum</w:t>
            </w:r>
          </w:p>
        </w:tc>
        <w:tc>
          <w:tcPr>
            <w:tcW w:type="dxa" w:w="5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BIOPHYSIQUE / MONETAIRE / CARE / HYBRIDE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fonction_outil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enum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EPISTEMIQUE / PRAGMATIQUE / POLITIQUE</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effet_premier_ordre</w:t>
            </w:r>
          </w:p>
        </w:tc>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enum</w:t>
            </w:r>
          </w:p>
        </w:tc>
        <w:tc>
          <w:tcPr>
            <w:tcW w:type="dxa" w:w="5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VERIDICTION / VALORISATION / STRUCTURATION / SELECTION / REIFICATION / LEGITIMATION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effet_reactivite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markdown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Effets de second ordre observés ou anticipés.</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sous_type_outil</w:t>
            </w:r>
          </w:p>
        </w:tc>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enum</w:t>
            </w:r>
          </w:p>
        </w:tc>
        <w:tc>
          <w:tcPr>
            <w:tcW w:type="dxa" w:w="5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VALUEMETER / PROCEDURE / SYSTEME_INFO / SCRIPT / METROLOGIE / CLASSEMENT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auteur_effectif_uri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URI/null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Porte-parole. Hérité de C-ANT.</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unite_mesure</w:t>
            </w:r>
          </w:p>
        </w:tc>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string</w:t>
            </w:r>
          </w:p>
        </w:tc>
        <w:tc>
          <w:tcPr>
            <w:tcW w:type="dxa" w:w="5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Ex. : tCO2eq, ha, h/an, EUR.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valeur_quantitative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number/null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Valeur numérique associée à l'écriture.</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periode_reference</w:t>
            </w:r>
          </w:p>
        </w:tc>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string/null</w:t>
            </w:r>
          </w:p>
        </w:tc>
        <w:tc>
          <w:tcPr>
            <w:tcW w:type="dxa" w:w="5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Période de référence de la mesure.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source_donnees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markdown/null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Source des données mobilisées par le valuemeter.</w:t>
            </w:r>
          </w:p>
        </w:tc>
      </w:tr>
    </w:tbl>
    <w:p>
      <w:pPr>
        <w:spacing w:after="80" w:before="0"/>
      </w:pPr>
    </w:p>
    <w:p>
      <w:pPr>
        <w:spacing w:after="80" w:before="0"/>
      </w:pPr>
    </w:p>
    <w:p>
      <w:r>
        <w:br w:type="page"/>
      </w:r>
    </w:p>
    <w:p>
      <w:pPr>
        <w:pStyle w:val="Heading1"/>
        <w:pBdr>
          <w:bottom w:val="single" w:color="1F3864" w:sz="8" w:space="1"/>
        </w:pBdr>
        <w:spacing w:after="140" w:before="360"/>
      </w:pPr>
      <w:r>
        <w:rPr>
          <w:rFonts w:ascii="Arial" w:cs="Arial" w:eastAsia="Arial" w:hAnsi="Arial"/>
          <w:b/>
          <w:bCs/>
          <w:color w:val="1F3864"/>
          <w:sz w:val="32"/>
          <w:szCs w:val="32"/>
        </w:rPr>
        <w:t xml:space="preserve">7. C-CONSENTEMENT : Délibération et politique</w:t>
      </w:r>
    </w:p>
    <w:p>
      <w:pPr>
        <w:spacing w:after="80" w:before="0"/>
        <w:jc w:val="left"/>
      </w:pPr>
      <w:r>
        <w:rPr>
          <w:rFonts w:ascii="Arial" w:cs="Arial" w:eastAsia="Arial" w:hAnsi="Arial"/>
          <w:b w:val="false"/>
          <w:bCs w:val="false"/>
          <w:i w:val="false"/>
          <w:iCs w:val="false"/>
          <w:color w:val="1A1A1A"/>
          <w:sz w:val="20"/>
          <w:szCs w:val="20"/>
        </w:rPr>
        <w:t xml:space="preserve">C-CONSENTEMENT encode toutes les opérations par lesquelles les acteurs contestent, négocient ou renversent les vérités et les valeurs produites par les outils de gestion. Elle constitue le mécanisme anti-greenwashing du registre via la co-validation.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rPr>
          <w:tblHeader/>
        </w:trP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18"/>
                <w:szCs w:val="18"/>
              </w:rPr>
              <w:t xml:space="preserve">Champ</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18"/>
                <w:szCs w:val="18"/>
              </w:rPr>
              <w:t xml:space="preserve">Type</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18"/>
                <w:szCs w:val="18"/>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statut_consentement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enum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CONSENTI / CONTRAINT / INCONNU / EN_NEGOCIATION</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type_deliberation</w:t>
            </w:r>
          </w:p>
        </w:tc>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enum</w:t>
            </w:r>
          </w:p>
        </w:tc>
        <w:tc>
          <w:tcPr>
            <w:tcW w:type="dxa" w:w="5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NEGOCIATION_EQUIVALENCE / CONTRO_VERIDICTION / CONTRE_INSCRIPTION / CO_VALIDATION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acteurs_co_validateurs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liste URI</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Acteurs tiers requis pour co-validation. Synchronisés via sync_covalidations.py.</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contestation_convention</w:t>
            </w:r>
          </w:p>
        </w:tc>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markdown</w:t>
            </w:r>
          </w:p>
        </w:tc>
        <w:tc>
          <w:tcPr>
            <w:tcW w:type="dxa" w:w="5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Description d'une contestation des conventions de quantification.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convention_equivalence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markdown/null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Convention de conversion entre valuemeters incommensurables.</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effet_politique</w:t>
            </w:r>
          </w:p>
        </w:tc>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markdown</w:t>
            </w:r>
          </w:p>
        </w:tc>
        <w:tc>
          <w:tcPr>
            <w:tcW w:type="dxa" w:w="5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Effets de domination, légitimation ou émancipation.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ecriture_contestee_uri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URI/null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URI de l'écriture contestée par une contre-inscription.</w:t>
            </w:r>
          </w:p>
        </w:tc>
      </w:tr>
    </w:tbl>
    <w:p>
      <w:pPr>
        <w:spacing w:after="80" w:before="0"/>
      </w:pPr>
    </w:p>
    <w:p>
      <w:pPr>
        <w:spacing w:after="80" w:before="0"/>
      </w:pPr>
    </w:p>
    <w:p>
      <w:pPr>
        <w:pStyle w:val="Heading1"/>
        <w:pBdr>
          <w:bottom w:val="single" w:color="1F3864" w:sz="8" w:space="1"/>
        </w:pBdr>
        <w:spacing w:after="140" w:before="360"/>
      </w:pPr>
      <w:r>
        <w:rPr>
          <w:rFonts w:ascii="Arial" w:cs="Arial" w:eastAsia="Arial" w:hAnsi="Arial"/>
          <w:b/>
          <w:bCs/>
          <w:color w:val="1F3864"/>
          <w:sz w:val="32"/>
          <w:szCs w:val="32"/>
        </w:rPr>
        <w:t xml:space="preserve">8. C-SOLIDITE : Durabilité et réversibilité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18"/>
                <w:szCs w:val="18"/>
              </w:rPr>
              <w:t xml:space="preserve">Valeur</w:t>
            </w:r>
          </w:p>
        </w:tc>
        <w:tc>
          <w:tcPr>
            <w:tcW w:type="dxa" w:w="7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18"/>
                <w:szCs w:val="18"/>
              </w:rPr>
              <w:t xml:space="preserve">Définition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CONTROVERSE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L'énoncé est activement disputé. Des contre-inscriptions existent.</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PROVISOIRE</w:t>
            </w:r>
          </w:p>
        </w:tc>
        <w:tc>
          <w:tcPr>
            <w:tcW w:type="dxa" w:w="7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L'énoncé est accepté localement mais non clôturé.</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STABILISE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L'énoncé est largement accepté mais reste contestable.</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BOITE_NOIRE</w:t>
            </w:r>
          </w:p>
        </w:tc>
        <w:tc>
          <w:tcPr>
            <w:tcW w:type="dxa" w:w="7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L'énoncé est traité comme un fait stabilisé dans le réseau.</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IRREVERSIBLE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L'événement ne peut plus être annulé. R1 peut être suspendue.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rPr>
          <w:tblHeader/>
        </w:trP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18"/>
                <w:szCs w:val="18"/>
              </w:rPr>
              <w:t xml:space="preserve">Champ</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18"/>
                <w:szCs w:val="18"/>
              </w:rPr>
              <w:t xml:space="preserve">Type</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18"/>
                <w:szCs w:val="18"/>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solidite_enonce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enum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Échelle CONTROVERSE → IRREVERSIBLE.</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seuil_non_retour</w:t>
            </w:r>
          </w:p>
        </w:tc>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booléen</w:t>
            </w:r>
          </w:p>
        </w:tc>
        <w:tc>
          <w:tcPr>
            <w:tcW w:type="dxa" w:w="5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Vrai si le seuil d'irréversibilité écologique est atteint.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r1_suspendue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booléen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Vrai si R1 est suspendue par convention. Applicable uniquement pour IRREVERSIBLE.</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motif_suspension_r1</w:t>
            </w:r>
          </w:p>
        </w:tc>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markdown/null</w:t>
            </w:r>
          </w:p>
        </w:tc>
        <w:tc>
          <w:tcPr>
            <w:tcW w:type="dxa" w:w="5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Justification obligatoire si r1_suspendue = true.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indicateur_vitalite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markdown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Indicateur de vitalité de l'asset-actif.</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archive_etat_anterieur_uri</w:t>
            </w:r>
          </w:p>
        </w:tc>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URI/null</w:t>
            </w:r>
          </w:p>
        </w:tc>
        <w:tc>
          <w:tcPr>
            <w:tcW w:type="dxa" w:w="5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Référence à l'état antérieur avant dégradation.</w:t>
            </w:r>
          </w:p>
        </w:tc>
      </w:tr>
    </w:tbl>
    <w:p>
      <w:pPr>
        <w:spacing w:after="80" w:before="0"/>
      </w:pPr>
    </w:p>
    <w:p>
      <w:pPr>
        <w:spacing w:after="80" w:before="0"/>
      </w:pPr>
    </w:p>
    <w:p>
      <w:r>
        <w:br w:type="page"/>
      </w:r>
    </w:p>
    <w:p>
      <w:pPr>
        <w:pStyle w:val="Heading1"/>
        <w:pBdr>
          <w:bottom w:val="single" w:color="1F3864" w:sz="8" w:space="1"/>
        </w:pBdr>
        <w:spacing w:after="140" w:before="360"/>
      </w:pPr>
      <w:r>
        <w:rPr>
          <w:rFonts w:ascii="Arial" w:cs="Arial" w:eastAsia="Arial" w:hAnsi="Arial"/>
          <w:b/>
          <w:bCs/>
          <w:color w:val="1F3864"/>
          <w:sz w:val="32"/>
          <w:szCs w:val="32"/>
        </w:rPr>
        <w:t xml:space="preserve">9. C-AGENT : Agent LLM associé à un acteur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spacing w:after="40" w:before="40"/>
            </w:pPr>
            <w:r>
              <w:rPr>
                <w:rFonts w:ascii="Arial" w:cs="Arial" w:eastAsia="Arial" w:hAnsi="Arial"/>
                <w:b/>
                <w:bCs/>
                <w:color w:val="2F5496"/>
                <w:sz w:val="18"/>
                <w:szCs w:val="18"/>
              </w:rPr>
              <w:t xml:space="preserve">Statut prototype — </w:t>
            </w:r>
            <w:r>
              <w:rPr>
                <w:rFonts w:ascii="Arial" w:cs="Arial" w:eastAsia="Arial" w:hAnsi="Arial"/>
                <w:i/>
                <w:iCs/>
                <w:color w:val="1A1A1A"/>
                <w:sz w:val="18"/>
                <w:szCs w:val="18"/>
              </w:rPr>
              <w:t xml:space="preserve">C-AGENT est opérationnelle dans le prototype. Chaque acteur peut avoir un agent Ollama/Mistral (local) ou Claude API (Anthropic). L'agent interroge son RAG ChromaDB pour détecter les règles de validation applicables à chaque nouvelle interaction.</w:t>
            </w:r>
          </w:p>
        </w:tc>
      </w:tr>
    </w:tbl>
    <w:p>
      <w:pPr>
        <w:spacing w:after="80" w:before="0"/>
      </w:pPr>
    </w:p>
    <w:p>
      <w:pPr>
        <w:pStyle w:val="Heading2"/>
        <w:spacing w:after="100" w:before="260"/>
      </w:pPr>
      <w:r>
        <w:rPr>
          <w:rFonts w:ascii="Arial" w:cs="Arial" w:eastAsia="Arial" w:hAnsi="Arial"/>
          <w:b/>
          <w:bCs/>
          <w:color w:val="2E75B6"/>
          <w:sz w:val="26"/>
          <w:szCs w:val="26"/>
        </w:rPr>
        <w:t xml:space="preserve">9.1 Principe</w:t>
      </w:r>
    </w:p>
    <w:p>
      <w:pPr>
        <w:spacing w:after="80" w:before="0"/>
        <w:jc w:val="left"/>
      </w:pPr>
      <w:r>
        <w:rPr>
          <w:rFonts w:ascii="Arial" w:cs="Arial" w:eastAsia="Arial" w:hAnsi="Arial"/>
          <w:b w:val="false"/>
          <w:bCs w:val="false"/>
          <w:i w:val="false"/>
          <w:iCs w:val="false"/>
          <w:color w:val="1A1A1A"/>
          <w:sz w:val="20"/>
          <w:szCs w:val="20"/>
        </w:rPr>
        <w:t xml:space="preserve">Un agent LLM associé à un acteur est lui-même un acteur du registre. Son RAG est constitué des écritures VALIDATED de l'acteur, indexées dans ChromaDB avec le modèle d'embedding all-MiniLM-L6-v2. L'agent peut proposer des écritures mais ne peut pas les valider seul si une règle de validation est définie.</w:t>
      </w:r>
    </w:p>
    <w:p>
      <w:pPr>
        <w:spacing w:after="80" w:before="0"/>
      </w:pPr>
    </w:p>
    <w:p>
      <w:pPr>
        <w:pStyle w:val="Heading2"/>
        <w:spacing w:after="100" w:before="260"/>
      </w:pPr>
      <w:r>
        <w:rPr>
          <w:rFonts w:ascii="Arial" w:cs="Arial" w:eastAsia="Arial" w:hAnsi="Arial"/>
          <w:b/>
          <w:bCs/>
          <w:color w:val="2E75B6"/>
          <w:sz w:val="26"/>
          <w:szCs w:val="26"/>
        </w:rPr>
        <w:t xml:space="preserve">9.2 Deux niveaux de LLM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360"/>
        <w:gridCol w:w="2400"/>
      </w:tblGrid>
      <w:tr>
        <w:trPr>
          <w:tblHeader/>
        </w:trP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18"/>
                <w:szCs w:val="18"/>
              </w:rPr>
              <w:t xml:space="preserve">Type</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18"/>
                <w:szCs w:val="18"/>
              </w:rPr>
              <w:t xml:space="preserve">LLM</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18"/>
                <w:szCs w:val="18"/>
              </w:rPr>
              <w:t xml:space="preserve">Caractéristiques</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18"/>
                <w:szCs w:val="18"/>
              </w:rPr>
              <w:t xml:space="preserve">Usage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LOCAL_OLLAMA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Ollama + Mistral 7B</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API REST locale (localhost:11434). Acteurs à registre peu dense. RAG via ChromaDB embarqué.</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Acteurs à couches simples (C-BILAN, C-SOLIDITE).</w:t>
            </w:r>
          </w:p>
        </w:tc>
      </w:tr>
      <w:tr>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API_ANTHROPIC</w:t>
            </w:r>
          </w:p>
        </w:tc>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claude-sonnet-4-6</w:t>
            </w:r>
          </w:p>
        </w:tc>
        <w:tc>
          <w:tcPr>
            <w:tcW w:type="dxa" w:w="3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Fenêtre de contexte étendue. RAG via injection de documents. Raisonnements multi-couches.</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Acteurs à registre dense, couches complexes (C-ANT, C-SOG, C-CONSENTEMENT).</w:t>
            </w:r>
          </w:p>
        </w:tc>
      </w:tr>
    </w:tbl>
    <w:p>
      <w:pPr>
        <w:spacing w:after="80" w:before="0"/>
      </w:pPr>
    </w:p>
    <w:p>
      <w:pPr>
        <w:spacing w:after="80" w:before="0"/>
      </w:pPr>
    </w:p>
    <w:p>
      <w:pPr>
        <w:pStyle w:val="Heading2"/>
        <w:spacing w:after="100" w:before="260"/>
      </w:pPr>
      <w:r>
        <w:rPr>
          <w:rFonts w:ascii="Arial" w:cs="Arial" w:eastAsia="Arial" w:hAnsi="Arial"/>
          <w:b/>
          <w:bCs/>
          <w:color w:val="2E75B6"/>
          <w:sz w:val="26"/>
          <w:szCs w:val="26"/>
        </w:rPr>
        <w:t xml:space="preserve">9.3 Champs spécifiques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rPr>
          <w:tblHeader/>
        </w:trP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18"/>
                <w:szCs w:val="18"/>
              </w:rPr>
              <w:t xml:space="preserve">Champ</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18"/>
                <w:szCs w:val="18"/>
              </w:rPr>
              <w:t xml:space="preserve">Type</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18"/>
                <w:szCs w:val="18"/>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llm_endpoint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URI</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Endpoint du LLM (localhost:11434/api ou api.anthropic.com/v1).</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llm_model</w:t>
            </w:r>
          </w:p>
        </w:tc>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string</w:t>
            </w:r>
          </w:p>
        </w:tc>
        <w:tc>
          <w:tcPr>
            <w:tcW w:type="dxa" w:w="5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Identifiant du modèle (mistral ou claude-sonnet-4-6).</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llm_type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enum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LOCAL_OLLAMA / API_ANTHROPIC / API_OPENAI / AUTRE</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rag_collection</w:t>
            </w:r>
          </w:p>
        </w:tc>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string</w:t>
            </w:r>
          </w:p>
        </w:tc>
        <w:tc>
          <w:tcPr>
            <w:tcW w:type="dxa" w:w="5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Collection ChromaDB de l'acteur (= slug de l'acteur).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rag_perimetre_acteur_uri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URI</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Acteur dont les interactions constituent le RAG.</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droits_agent</w:t>
            </w:r>
          </w:p>
        </w:tc>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enum (liste)</w:t>
            </w:r>
          </w:p>
        </w:tc>
        <w:tc>
          <w:tcPr>
            <w:tcW w:type="dxa" w:w="5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PROPOSER / VALIDER / ARCHIVER / LIRE_SEUL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validation_humaine_requise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booléen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Si vrai, toute proposition requiert confirmation humaine.</w:t>
            </w:r>
          </w:p>
        </w:tc>
      </w:tr>
    </w:tbl>
    <w:p>
      <w:pPr>
        <w:spacing w:after="80" w:before="0"/>
      </w:pPr>
    </w:p>
    <w:p>
      <w:pPr>
        <w:spacing w:after="80" w:before="0"/>
      </w:pPr>
    </w:p>
    <w:p>
      <w:r>
        <w:br w:type="page"/>
      </w:r>
    </w:p>
    <w:p>
      <w:pPr>
        <w:pStyle w:val="Heading1"/>
        <w:pBdr>
          <w:bottom w:val="single" w:color="1F3864" w:sz="8" w:space="1"/>
        </w:pBdr>
        <w:spacing w:after="140" w:before="360"/>
      </w:pPr>
      <w:r>
        <w:rPr>
          <w:rFonts w:ascii="Arial" w:cs="Arial" w:eastAsia="Arial" w:hAnsi="Arial"/>
          <w:b/>
          <w:bCs/>
          <w:color w:val="1F3864"/>
          <w:sz w:val="32"/>
          <w:szCs w:val="32"/>
        </w:rPr>
        <w:t xml:space="preserve">10. Architecture du prototype local</w:t>
      </w:r>
    </w:p>
    <w:p>
      <w:pPr>
        <w:pStyle w:val="Heading2"/>
        <w:spacing w:after="100" w:before="260"/>
      </w:pPr>
      <w:r>
        <w:rPr>
          <w:rFonts w:ascii="Arial" w:cs="Arial" w:eastAsia="Arial" w:hAnsi="Arial"/>
          <w:b/>
          <w:bCs/>
          <w:color w:val="2E75B6"/>
          <w:sz w:val="26"/>
          <w:szCs w:val="26"/>
        </w:rPr>
        <w:t xml:space="preserve">10.1 Stack technique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200"/>
        <w:gridCol w:w="3760"/>
      </w:tblGrid>
      <w:tr>
        <w:trPr>
          <w:tblHeader/>
        </w:trPr>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18"/>
                <w:szCs w:val="18"/>
              </w:rPr>
              <w:t xml:space="preserve">Composant</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18"/>
                <w:szCs w:val="18"/>
              </w:rPr>
              <w:t xml:space="preserve">Technologie</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18"/>
                <w:szCs w:val="18"/>
              </w:rPr>
              <w:t xml:space="preserve">Adresse</w:t>
            </w:r>
          </w:p>
        </w:tc>
        <w:tc>
          <w:tcPr>
            <w:tcW w:type="dxa" w:w="3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18"/>
                <w:szCs w:val="18"/>
              </w:rPr>
              <w:t xml:space="preserve">Notes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Base de données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SQLite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~/p2mca/registre/p2mca.db</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Simple, locale, zéro configuration. Timeout 30s + mode WAL pour concurrence.</w:t>
            </w:r>
          </w:p>
        </w:tc>
      </w:tr>
      <w:tr>
        <w:tc>
          <w:tcPr>
            <w:tcW w:type="dxa" w:w="1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Index vectoriel</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ChromaDB</w:t>
            </w:r>
          </w:p>
        </w:tc>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~/p2mca/rag/chroma</w:t>
            </w:r>
          </w:p>
        </w:tc>
        <w:tc>
          <w:tcPr>
            <w:tcW w:type="dxa" w:w="3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Collection par acteur. Embedding all-MiniLM-L6-v2 (local, ~90 Mo).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Agent local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Ollama + Mistral 7B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localhost:11434</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API REST locale. Q4 quantization, 16 Go RAM.</w:t>
            </w:r>
          </w:p>
        </w:tc>
      </w:tr>
      <w:tr>
        <w:tc>
          <w:tcPr>
            <w:tcW w:type="dxa" w:w="1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Agent API</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Claude Sonnet 4.6</w:t>
            </w:r>
          </w:p>
        </w:tc>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api.anthropic.com</w:t>
            </w:r>
          </w:p>
        </w:tc>
        <w:tc>
          <w:tcPr>
            <w:tcW w:type="dxa" w:w="3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Variable ANTHROPIC_API_KEY. Prompt strict : ne signale qu'une validation si règle explicite dans le RAG.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Interface web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FastAPI + HTML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localhost:8000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Navigation, création acteurs/interactions, validation, vérification R1.</w:t>
            </w:r>
          </w:p>
        </w:tc>
      </w:tr>
      <w:tr>
        <w:tc>
          <w:tcPr>
            <w:tcW w:type="dxa" w:w="1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Scripts CLI</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Python 3</w:t>
            </w:r>
          </w:p>
        </w:tc>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~/p2mca/</w:t>
            </w:r>
          </w:p>
        </w:tc>
        <w:tc>
          <w:tcPr>
            <w:tcW w:type="dxa" w:w="3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18 scripts couvrant l'ensemble du cycle de vie du registre.</w:t>
            </w:r>
          </w:p>
        </w:tc>
      </w:tr>
    </w:tbl>
    <w:p>
      <w:pPr>
        <w:spacing w:after="80" w:before="0"/>
      </w:pPr>
    </w:p>
    <w:p>
      <w:pPr>
        <w:spacing w:after="80" w:before="0"/>
      </w:pPr>
    </w:p>
    <w:p>
      <w:pPr>
        <w:pStyle w:val="Heading2"/>
        <w:spacing w:after="100" w:before="260"/>
      </w:pPr>
      <w:r>
        <w:rPr>
          <w:rFonts w:ascii="Arial" w:cs="Arial" w:eastAsia="Arial" w:hAnsi="Arial"/>
          <w:b/>
          <w:bCs/>
          <w:color w:val="2E75B6"/>
          <w:sz w:val="26"/>
          <w:szCs w:val="26"/>
        </w:rPr>
        <w:t xml:space="preserve">10.2 Scripts CLI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18"/>
                <w:szCs w:val="18"/>
              </w:rPr>
              <w:t xml:space="preserve">Script</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18"/>
                <w:szCs w:val="18"/>
              </w:rPr>
              <w:t xml:space="preserve">Rôle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init_db.py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Initialiser la base SQLite (tables + table agents)</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migrate_add_layers.py</w:t>
            </w:r>
          </w:p>
        </w:tc>
        <w:tc>
          <w:tcPr>
            <w:tcW w:type="dxa" w:w="6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Ajouter table couches et colonne champs_couche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migrate_add_agents.py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Ajouter table agents (si base ancienne)</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create_actor_ollama.py</w:t>
            </w:r>
          </w:p>
        </w:tc>
        <w:tc>
          <w:tcPr>
            <w:tcW w:type="dxa" w:w="6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Créer un acteur avec agent Ollama/Mistral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create_actor_claude.py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Créer un acteur avec agent API Claude</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create_actor_with_agent.py</w:t>
            </w:r>
          </w:p>
        </w:tc>
        <w:tc>
          <w:tcPr>
            <w:tcW w:type="dxa" w:w="6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Module partagé pour création d'acteur + agent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add_agent_to_actor.py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Associer un agent à un acteur existant</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create_layer.py</w:t>
            </w:r>
          </w:p>
        </w:tc>
        <w:tc>
          <w:tcPr>
            <w:tcW w:type="dxa" w:w="6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Enregistrer une couche depuis un YAML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create_interaction.py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Créer une interaction depuis un YAML (RAG + chaînage)</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validate_interaction.py</w:t>
            </w:r>
          </w:p>
        </w:tc>
        <w:tc>
          <w:tcPr>
            <w:tcW w:type="dxa" w:w="6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Enregistrer une validation (affiche les validations restantes)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sync_covalidations.py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Synchroniser les co-validateurs depuis écritures C-CONSENTEMENT</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build_rag.py</w:t>
            </w:r>
          </w:p>
        </w:tc>
        <w:tc>
          <w:tcPr>
            <w:tcW w:type="dxa" w:w="6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Indexer les écritures VALIDATED dans ChromaDB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agent_ollama.py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Agent RAG Ollama — détection des règles de validation</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agent_claude.py</w:t>
            </w:r>
          </w:p>
        </w:tc>
        <w:tc>
          <w:tcPr>
            <w:tcW w:type="dxa" w:w="6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Agent RAG Claude — détection stricte (règles explicites uniquement)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check_symmetry.py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Vérifier la symétrie R1 sur toutes les interactions</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list_actors.py</w:t>
            </w:r>
          </w:p>
        </w:tc>
        <w:tc>
          <w:tcPr>
            <w:tcW w:type="dxa" w:w="6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Lister les acteurs et leurs agents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list_interactions.py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Lister les interactions et leur statut</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list_ecritures.py</w:t>
            </w:r>
          </w:p>
        </w:tc>
        <w:tc>
          <w:tcPr>
            <w:tcW w:type="dxa" w:w="6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Inspecter les écritures d'une interaction ou d'un acteur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list_validations.py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Lister les validations avec leur statut</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status_rag.py</w:t>
            </w:r>
          </w:p>
        </w:tc>
        <w:tc>
          <w:tcPr>
            <w:tcW w:type="dxa" w:w="6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État de l'index RAG ChromaDB par acteur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app.py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Interface web FastAPI (port 8000)</w:t>
            </w:r>
          </w:p>
        </w:tc>
      </w:tr>
    </w:tbl>
    <w:p>
      <w:pPr>
        <w:spacing w:after="80" w:before="0"/>
      </w:pPr>
    </w:p>
    <w:p>
      <w:pPr>
        <w:spacing w:after="80" w:before="0"/>
      </w:pPr>
    </w:p>
    <w:p>
      <w:pPr>
        <w:pStyle w:val="Heading2"/>
        <w:spacing w:after="100" w:before="260"/>
      </w:pPr>
      <w:r>
        <w:rPr>
          <w:rFonts w:ascii="Arial" w:cs="Arial" w:eastAsia="Arial" w:hAnsi="Arial"/>
          <w:b/>
          <w:bCs/>
          <w:color w:val="2E75B6"/>
          <w:sz w:val="26"/>
          <w:szCs w:val="26"/>
        </w:rPr>
        <w:t xml:space="preserve">10.3 Fichiers YAML de référence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18"/>
                <w:szCs w:val="18"/>
              </w:rPr>
              <w:t xml:space="preserve">Fichier</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18"/>
                <w:szCs w:val="18"/>
              </w:rPr>
              <w:t xml:space="preserve">Contenu</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c_ant_layer.yaml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Définition de C-ANT (16 champs)</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c_sog_layer.yaml</w:t>
            </w:r>
          </w:p>
        </w:tc>
        <w:tc>
          <w:tcPr>
            <w:tcW w:type="dxa" w:w="6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Définition de C-SOG (11 champs, hérite C-ANT)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c_consentement_layer.yaml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Définition de C-CONSENTEMENT (7 champs, hérite C-ANT)</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c_solidite_layer.yaml</w:t>
            </w:r>
          </w:p>
        </w:tc>
        <w:tc>
          <w:tcPr>
            <w:tcW w:type="dxa" w:w="6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Définition de C-SOLIDITE (6 champs)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exemple_interaction.yaml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Interaction simple avec validation HUMAIN</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exemple_interaction_c_ant.yaml</w:t>
            </w:r>
          </w:p>
        </w:tc>
        <w:tc>
          <w:tcPr>
            <w:tcW w:type="dxa" w:w="6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Interaction ANT — problématisation baie Saint-Brieuc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exemple_interaction_multicouche.yaml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Zone humide — C-ANT + C-SOG + C-CONSENTEMENT + C-SOLIDITE (14 écritures)</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exemple_interaction_chainee.yaml</w:t>
            </w:r>
          </w:p>
        </w:tc>
        <w:tc>
          <w:tcPr>
            <w:tcW w:type="dxa" w:w="6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Dissidence — chaînage vers interaction précédente</w:t>
            </w:r>
          </w:p>
        </w:tc>
      </w:tr>
    </w:tbl>
    <w:p>
      <w:pPr>
        <w:spacing w:after="80" w:before="0"/>
      </w:pPr>
    </w:p>
    <w:p>
      <w:pPr>
        <w:spacing w:after="80" w:before="0"/>
      </w:pPr>
    </w:p>
    <w:p>
      <w:r>
        <w:br w:type="page"/>
      </w:r>
    </w:p>
    <w:p>
      <w:pPr>
        <w:pStyle w:val="Heading1"/>
        <w:pBdr>
          <w:bottom w:val="single" w:color="1F3864" w:sz="8" w:space="1"/>
        </w:pBdr>
        <w:spacing w:after="140" w:before="360"/>
      </w:pPr>
      <w:r>
        <w:rPr>
          <w:rFonts w:ascii="Arial" w:cs="Arial" w:eastAsia="Arial" w:hAnsi="Arial"/>
          <w:b/>
          <w:bCs/>
          <w:color w:val="1F3864"/>
          <w:sz w:val="32"/>
          <w:szCs w:val="32"/>
        </w:rPr>
        <w:t xml:space="preserve">11. Interface web (FastAPI)</w:t>
      </w:r>
    </w:p>
    <w:p>
      <w:pPr>
        <w:spacing w:after="80" w:before="0"/>
        <w:jc w:val="left"/>
      </w:pPr>
      <w:r>
        <w:rPr>
          <w:rFonts w:ascii="Arial" w:cs="Arial" w:eastAsia="Arial" w:hAnsi="Arial"/>
          <w:b w:val="false"/>
          <w:bCs w:val="false"/>
          <w:i w:val="false"/>
          <w:iCs w:val="false"/>
          <w:color w:val="1A1A1A"/>
          <w:sz w:val="20"/>
          <w:szCs w:val="20"/>
        </w:rPr>
        <w:t xml:space="preserve">L'interface web est accessible sur http://localhost:8000 après lancement de python3 app.py. Elle offre six sections :</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18"/>
                <w:szCs w:val="18"/>
              </w:rPr>
              <w:t xml:space="preserve">Section</w:t>
            </w:r>
          </w:p>
        </w:tc>
        <w:tc>
          <w:tcPr>
            <w:tcW w:type="dxa" w:w="7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18"/>
                <w:szCs w:val="18"/>
              </w:rPr>
              <w:t xml:space="preserve">Fonctionnalités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Accueil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Compteurs du registre (acteurs, interactions, écritures, couches, validations en attente). Actions rapides.</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Acteurs</w:t>
            </w:r>
          </w:p>
        </w:tc>
        <w:tc>
          <w:tcPr>
            <w:tcW w:type="dxa" w:w="7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Liste de tous les acteurs avec leur agent LLM et nombre d'écritures.</w:t>
            </w:r>
          </w:p>
          <w:p>
            <w:pPr>
              <w:spacing w:after="80" w:before="0"/>
              <w:jc w:val="left"/>
            </w:pPr>
            <w:r>
              <w:rPr>
                <w:rFonts w:ascii="Arial" w:cs="Arial" w:eastAsia="Arial" w:hAnsi="Arial"/>
                <w:b w:val="false"/>
                <w:bCs w:val="false"/>
                <w:i w:val="false"/>
                <w:iCs w:val="false"/>
                <w:color w:val="1A1A1A"/>
                <w:sz w:val="18"/>
                <w:szCs w:val="18"/>
              </w:rPr>
              <w:t xml:space="preserve">Création d'acteur directement depuis l'interface (label + choix du LLM).</w:t>
            </w:r>
          </w:p>
          <w:p>
            <w:pPr>
              <w:spacing w:after="80" w:before="0"/>
              <w:jc w:val="left"/>
            </w:pPr>
            <w:r>
              <w:rPr>
                <w:rFonts w:ascii="Arial" w:cs="Arial" w:eastAsia="Arial" w:hAnsi="Arial"/>
                <w:b w:val="false"/>
                <w:bCs w:val="false"/>
                <w:i w:val="false"/>
                <w:iCs w:val="false"/>
                <w:color w:val="1A1A1A"/>
                <w:sz w:val="18"/>
                <w:szCs w:val="18"/>
              </w:rPr>
              <w:t xml:space="preserve">Détail d'un acteur : métadonnées, agent, 20 dernières écritures.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Interactions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Liste avec statut (VALIDATED / PENDING_VALIDATION).</w:t>
            </w:r>
          </w:p>
          <w:p>
            <w:pPr>
              <w:spacing w:after="80" w:before="0"/>
              <w:jc w:val="left"/>
            </w:pPr>
            <w:r>
              <w:rPr>
                <w:rFonts w:ascii="Arial" w:cs="Arial" w:eastAsia="Arial" w:hAnsi="Arial"/>
                <w:b w:val="false"/>
                <w:bCs w:val="false"/>
                <w:i w:val="false"/>
                <w:iCs w:val="false"/>
                <w:color w:val="1A1A1A"/>
                <w:sz w:val="18"/>
                <w:szCs w:val="18"/>
              </w:rPr>
              <w:t xml:space="preserve">Détail complet : écritures avec champs de couche et chaînage visible.</w:t>
            </w:r>
          </w:p>
          <w:p>
            <w:pPr>
              <w:spacing w:after="80" w:before="0"/>
              <w:jc w:val="left"/>
            </w:pPr>
            <w:r>
              <w:rPr>
                <w:rFonts w:ascii="Arial" w:cs="Arial" w:eastAsia="Arial" w:hAnsi="Arial"/>
                <w:b w:val="false"/>
                <w:bCs w:val="false"/>
                <w:i w:val="false"/>
                <w:iCs w:val="false"/>
                <w:color w:val="1A1A1A"/>
                <w:sz w:val="18"/>
                <w:szCs w:val="18"/>
              </w:rPr>
              <w:t xml:space="preserve">Création d'interaction en deux étapes depuis l'interface.</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 Interaction</w:t>
            </w:r>
          </w:p>
        </w:tc>
        <w:tc>
          <w:tcPr>
            <w:tcW w:type="dxa" w:w="7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Étape 1 : slug, couches, acteurs, validations explicites.</w:t>
            </w:r>
          </w:p>
          <w:p>
            <w:pPr>
              <w:spacing w:after="80" w:before="0"/>
              <w:jc w:val="left"/>
            </w:pPr>
            <w:r>
              <w:rPr>
                <w:rFonts w:ascii="Arial" w:cs="Arial" w:eastAsia="Arial" w:hAnsi="Arial"/>
                <w:b w:val="false"/>
                <w:bCs w:val="false"/>
                <w:i w:val="false"/>
                <w:iCs w:val="false"/>
                <w:color w:val="1A1A1A"/>
                <w:sz w:val="18"/>
                <w:szCs w:val="18"/>
              </w:rPr>
              <w:t xml:space="preserve">Étape 2 : ajout des écritures une par une avec champs dynamiques par couche. Bouton ✕ pour supprimer une écriture.</w:t>
            </w:r>
          </w:p>
          <w:p>
            <w:pPr>
              <w:spacing w:after="80" w:before="0"/>
              <w:jc w:val="left"/>
            </w:pPr>
            <w:r>
              <w:rPr>
                <w:rFonts w:ascii="Arial" w:cs="Arial" w:eastAsia="Arial" w:hAnsi="Arial"/>
                <w:b w:val="false"/>
                <w:bCs w:val="false"/>
                <w:i w:val="false"/>
                <w:iCs w:val="false"/>
                <w:color w:val="1A1A1A"/>
                <w:sz w:val="18"/>
                <w:szCs w:val="18"/>
              </w:rPr>
              <w:t xml:space="preserve">Enregistrement direct en base (sans passer par create_interaction.py — évite le database is locked).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Validations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Liste de toutes les validations. Bouton Valider directement dans l'interface. Met à jour le RAG automatiquement après validation complète.</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R1 Symétrie</w:t>
            </w:r>
          </w:p>
        </w:tc>
        <w:tc>
          <w:tcPr>
            <w:tcW w:type="dxa" w:w="7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Tableau de bord des anomalies R1 sur toutes les interactions. Liens vers les interactions concernées.</w:t>
            </w:r>
          </w:p>
        </w:tc>
      </w:tr>
    </w:tbl>
    <w:p>
      <w:pPr>
        <w:spacing w:after="80" w:before="0"/>
      </w:pPr>
    </w:p>
    <w:p>
      <w:pPr>
        <w:spacing w:after="80" w:before="0"/>
      </w:pPr>
    </w:p>
    <w:p>
      <w:r>
        <w:br w:type="page"/>
      </w:r>
    </w:p>
    <w:p>
      <w:pPr>
        <w:pStyle w:val="Heading1"/>
        <w:pBdr>
          <w:bottom w:val="single" w:color="1F3864" w:sz="8" w:space="1"/>
        </w:pBdr>
        <w:spacing w:after="140" w:before="360"/>
      </w:pPr>
      <w:r>
        <w:rPr>
          <w:rFonts w:ascii="Arial" w:cs="Arial" w:eastAsia="Arial" w:hAnsi="Arial"/>
          <w:b/>
          <w:bCs/>
          <w:color w:val="1F3864"/>
          <w:sz w:val="32"/>
          <w:szCs w:val="32"/>
        </w:rPr>
        <w:t xml:space="preserve">12. Prochaines étapes</w:t>
      </w:r>
    </w:p>
    <w:p>
      <w:pPr>
        <w:pStyle w:val="Heading2"/>
        <w:spacing w:after="100" w:before="260"/>
      </w:pPr>
      <w:r>
        <w:rPr>
          <w:rFonts w:ascii="Arial" w:cs="Arial" w:eastAsia="Arial" w:hAnsi="Arial"/>
          <w:b/>
          <w:bCs/>
          <w:color w:val="2E75B6"/>
          <w:sz w:val="26"/>
          <w:szCs w:val="26"/>
        </w:rPr>
        <w:t xml:space="preserve">12.1 Session A+E — Priorité haute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760"/>
        <w:gridCol w:w="140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18"/>
                <w:szCs w:val="18"/>
              </w:rPr>
              <w:t xml:space="preserve">Étape</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18"/>
                <w:szCs w:val="18"/>
              </w:rPr>
              <w:t xml:space="preserve">Description</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18"/>
                <w:szCs w:val="18"/>
              </w:rPr>
              <w:t xml:space="preserve">Priorité</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A — C-GOUVERNANCE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Créer c_gouvernance_layer.yaml avec les faisceaux de droits Ostrom (accès, prélèvement, gestion, exclusion, aliénation) et l'échelle de communalité Rochfeld (PRIVE_EXCLUSIF / PARTAGE / COMMUN_GOUVERNE / COMMUN_NON_APPROPRIABLE). Couplage obligatoire avec C-SOG via attribution_cout.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Priorité haute</w:t>
            </w:r>
          </w:p>
        </w:tc>
      </w:tr>
      <w:tr>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A — C-BILAN</w:t>
            </w:r>
          </w:p>
        </w:tc>
        <w:tc>
          <w:tcPr>
            <w:tcW w:type="dxa" w:w="5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Créer c_bilan_layer.yaml pour les écritures de position bilan : droits détenus, obligations pendantes, clôtures périodiques, soldes nets.</w:t>
            </w:r>
          </w:p>
        </w:tc>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Priorité moyenne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A — C-LIFECYCLE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Créer c_lifecycle_layer.yaml pour les phases du cycle de vie des assets-actifs (CONCEPTION / ACTIVATION / MAINTENANCE / DECLIN / RESTAURATION / DISPARITION). Hérite de C-SOG.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Priorité moyenne</w:t>
            </w:r>
          </w:p>
        </w:tc>
      </w:tr>
      <w:tr>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E — Propositions d'écritures</w:t>
            </w:r>
          </w:p>
        </w:tc>
        <w:tc>
          <w:tcPr>
            <w:tcW w:type="dxa" w:w="5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Ajouter une fonctionnalité 'Demander à un agent de proposer les écritures' : l'utilisateur décrit l'interaction en langage naturel, l'agent interroge son RAG et rédige les écritures DÉBIT/CRÉDIT, soumises au workflow de validation.</w:t>
            </w:r>
          </w:p>
        </w:tc>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Saut qualitatif majeur</w:t>
            </w:r>
          </w:p>
        </w:tc>
      </w:tr>
    </w:tbl>
    <w:p>
      <w:pPr>
        <w:spacing w:after="80" w:before="0"/>
      </w:pPr>
    </w:p>
    <w:p>
      <w:pPr>
        <w:spacing w:after="80" w:before="0"/>
      </w:pPr>
    </w:p>
    <w:p>
      <w:pPr>
        <w:pStyle w:val="Heading2"/>
        <w:spacing w:after="100" w:before="260"/>
      </w:pPr>
      <w:r>
        <w:rPr>
          <w:rFonts w:ascii="Arial" w:cs="Arial" w:eastAsia="Arial" w:hAnsi="Arial"/>
          <w:b/>
          <w:bCs/>
          <w:color w:val="2E75B6"/>
          <w:sz w:val="26"/>
          <w:szCs w:val="26"/>
        </w:rPr>
        <w:t xml:space="preserve">12.2 Session F+G+H — Moyen et long terme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760"/>
        <w:gridCol w:w="140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18"/>
                <w:szCs w:val="18"/>
              </w:rPr>
              <w:t xml:space="preserve">Étape</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18"/>
                <w:szCs w:val="18"/>
              </w:rPr>
              <w:t xml:space="preserve">Description</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18"/>
                <w:szCs w:val="18"/>
              </w:rPr>
              <w:t xml:space="preserve">Horizon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F — Visualisation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Export JSON-LD ou GEXF pour D3.js (intégré à l'interface) ou Gephi. Acteurs = nœuds, interactions = arêtes, couches = couleurs.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Moyen terme</w:t>
            </w:r>
          </w:p>
        </w:tc>
      </w:tr>
      <w:tr>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G — Terrain réel</w:t>
            </w:r>
          </w:p>
        </w:tc>
        <w:tc>
          <w:tcPr>
            <w:tcW w:type="dxa" w:w="5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Appliquer P2M-CA à un cas concret : traduire des matériaux d'enquête (interviews, documents, observations) en interactions P2M-CA. Test réel du modèle.</w:t>
            </w:r>
          </w:p>
        </w:tc>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Moyen terme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H — C-ECOLOGISATION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Méta-couche héritant de C-SOG, C-GOUVERNANCE, C-ANT. Impose le couplage obligatoire entre écritures de coût et écritures d'attribution. Protocoles anti-greenwashing.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Long terme (après G)</w:t>
            </w:r>
          </w:p>
        </w:tc>
      </w:tr>
      <w:tr>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I — Auto-description</w:t>
            </w:r>
          </w:p>
        </w:tc>
        <w:tc>
          <w:tcPr>
            <w:tcW w:type="dxa" w:w="5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Le modèle s'inscrit lui-même dans un registre P2M-CA. Philosophiquement cohérent avec ANT. Techniquement complexe pour l'amorçage.</w:t>
            </w:r>
          </w:p>
        </w:tc>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1A1A"/>
                <w:sz w:val="18"/>
                <w:szCs w:val="18"/>
              </w:rPr>
              <w:t xml:space="preserve">Long terme</w:t>
            </w:r>
          </w:p>
        </w:tc>
      </w:tr>
    </w:tbl>
    <w:p>
      <w:pPr>
        <w:spacing w:after="80" w:before="0"/>
      </w:pPr>
    </w:p>
    <w:p>
      <w:pPr>
        <w:spacing w:after="80" w:before="0"/>
      </w:pPr>
    </w:p>
    <w:p>
      <w:pPr>
        <w:pStyle w:val="Heading2"/>
        <w:spacing w:after="100" w:before="260"/>
      </w:pPr>
      <w:r>
        <w:rPr>
          <w:rFonts w:ascii="Arial" w:cs="Arial" w:eastAsia="Arial" w:hAnsi="Arial"/>
          <w:b/>
          <w:bCs/>
          <w:color w:val="2E75B6"/>
          <w:sz w:val="26"/>
          <w:szCs w:val="26"/>
        </w:rPr>
        <w:t xml:space="preserve">12.3 Phrase de reprise pour une prochaine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pPr>
              <w:spacing w:after="40" w:before="40"/>
            </w:pPr>
            <w:r>
              <w:rPr>
                <w:rFonts w:ascii="Arial" w:cs="Arial" w:eastAsia="Arial" w:hAnsi="Arial"/>
                <w:b/>
                <w:bCs/>
                <w:color w:val="2F5496"/>
                <w:sz w:val="18"/>
                <w:szCs w:val="18"/>
              </w:rPr>
              <w:t xml:space="preserve">Copier-coller pour la prochaine session — </w:t>
            </w:r>
            <w:r>
              <w:rPr>
                <w:rFonts w:ascii="Arial" w:cs="Arial" w:eastAsia="Arial" w:hAnsi="Arial"/>
                <w:i/>
                <w:iCs/>
                <w:color w:val="1A1A1A"/>
                <w:sz w:val="18"/>
                <w:szCs w:val="18"/>
              </w:rPr>
              <w:t xml:space="preserve">Je reprends le projet P2M-CA v2. On avait construit un prototype local Python/SQLite/ChromaDB/FastAPI avec une interface web. Les scripts CLI, les couches C-ANT, C-SOG, C-CONSENTEMENT, C-SOLIDITE et C-AGENT sont opérationnels. Je veux attaquer l'étape A (couches C-GOUVERNANCE, C-BILAN, C-LIFECYCLE) et l'étape E (propositions d'écritures par les agents LLM).</w:t>
            </w:r>
          </w:p>
        </w:tc>
      </w:tr>
    </w:tbl>
    <w:p>
      <w:pPr>
        <w:spacing w:after="80" w:before="0"/>
      </w:pPr>
    </w:p>
    <w:p>
      <w:pPr>
        <w:spacing w:after="80" w:before="0"/>
      </w:pPr>
    </w:p>
    <w:p>
      <w:r>
        <w:br w:type="page"/>
      </w:r>
    </w:p>
    <w:p>
      <w:pPr>
        <w:pStyle w:val="Heading1"/>
        <w:pBdr>
          <w:bottom w:val="single" w:color="1F3864" w:sz="8" w:space="1"/>
        </w:pBdr>
        <w:spacing w:after="140" w:before="360"/>
      </w:pPr>
      <w:r>
        <w:rPr>
          <w:rFonts w:ascii="Arial" w:cs="Arial" w:eastAsia="Arial" w:hAnsi="Arial"/>
          <w:b/>
          <w:bCs/>
          <w:color w:val="1F3864"/>
          <w:sz w:val="32"/>
          <w:szCs w:val="32"/>
        </w:rPr>
        <w:t xml:space="preserve">Références</w:t>
      </w:r>
    </w:p>
    <w:p>
      <w:pPr>
        <w:pStyle w:val="ListParagraph"/>
        <w:numPr>
          <w:ilvl w:val="0"/>
          <w:numId w:val="2"/>
        </w:numPr>
        <w:spacing w:after="60" w:before="60"/>
      </w:pPr>
      <w:r>
        <w:rPr>
          <w:rFonts w:ascii="Arial" w:cs="Arial" w:eastAsia="Arial" w:hAnsi="Arial"/>
          <w:color w:val="1A1A1A"/>
          <w:sz w:val="18"/>
          <w:szCs w:val="18"/>
        </w:rPr>
        <w:t xml:space="preserve">Callon, M. (1986). Éléments pour une sociologie de la traduction. L'Année sociologique, 36, 169–208.</w:t>
      </w:r>
    </w:p>
    <w:p>
      <w:pPr>
        <w:pStyle w:val="ListParagraph"/>
        <w:numPr>
          <w:ilvl w:val="0"/>
          <w:numId w:val="2"/>
        </w:numPr>
        <w:spacing w:after="60" w:before="60"/>
      </w:pPr>
      <w:r>
        <w:rPr>
          <w:rFonts w:ascii="Arial" w:cs="Arial" w:eastAsia="Arial" w:hAnsi="Arial"/>
          <w:color w:val="1A1A1A"/>
          <w:sz w:val="18"/>
          <w:szCs w:val="18"/>
        </w:rPr>
        <w:t xml:space="preserve">Callon, M., Caliskan, K. &amp; MacKenzie, D. (2025a). Ecologization, part 1. Economy and Society, 54(2), 185–208.</w:t>
      </w:r>
    </w:p>
    <w:p>
      <w:pPr>
        <w:pStyle w:val="ListParagraph"/>
        <w:numPr>
          <w:ilvl w:val="0"/>
          <w:numId w:val="2"/>
        </w:numPr>
        <w:spacing w:after="60" w:before="60"/>
      </w:pPr>
      <w:r>
        <w:rPr>
          <w:rFonts w:ascii="Arial" w:cs="Arial" w:eastAsia="Arial" w:hAnsi="Arial"/>
          <w:color w:val="1A1A1A"/>
          <w:sz w:val="18"/>
          <w:szCs w:val="18"/>
        </w:rPr>
        <w:t xml:space="preserve">Callon, M., Caliskan, K. &amp; MacKenzie, D. (2025b). Ecologization, part 2. Economy and Society, 54(3), 381–407.</w:t>
      </w:r>
    </w:p>
    <w:p>
      <w:pPr>
        <w:pStyle w:val="ListParagraph"/>
        <w:numPr>
          <w:ilvl w:val="0"/>
          <w:numId w:val="2"/>
        </w:numPr>
        <w:spacing w:after="60" w:before="60"/>
      </w:pPr>
      <w:r>
        <w:rPr>
          <w:rFonts w:ascii="Arial" w:cs="Arial" w:eastAsia="Arial" w:hAnsi="Arial"/>
          <w:color w:val="1A1A1A"/>
          <w:sz w:val="18"/>
          <w:szCs w:val="18"/>
        </w:rPr>
        <w:t xml:space="preserve">Chiapello, È. &amp; Gilbert, P. (2013). Sociologie des outils de gestion. La Découverte, Paris.</w:t>
      </w:r>
    </w:p>
    <w:p>
      <w:pPr>
        <w:pStyle w:val="ListParagraph"/>
        <w:numPr>
          <w:ilvl w:val="0"/>
          <w:numId w:val="2"/>
        </w:numPr>
        <w:spacing w:after="60" w:before="60"/>
      </w:pPr>
      <w:r>
        <w:rPr>
          <w:rFonts w:ascii="Arial" w:cs="Arial" w:eastAsia="Arial" w:hAnsi="Arial"/>
          <w:color w:val="1A1A1A"/>
          <w:sz w:val="18"/>
          <w:szCs w:val="18"/>
        </w:rPr>
        <w:t xml:space="preserve">Chiapello, È. &amp; Gilbert, P. (2016). L'« agence » des outils de gestion. In Théories des organisations (pp. 177–198). Economica.</w:t>
      </w:r>
    </w:p>
    <w:p>
      <w:pPr>
        <w:pStyle w:val="ListParagraph"/>
        <w:numPr>
          <w:ilvl w:val="0"/>
          <w:numId w:val="2"/>
        </w:numPr>
        <w:spacing w:after="60" w:before="60"/>
      </w:pPr>
      <w:r>
        <w:rPr>
          <w:rFonts w:ascii="Arial" w:cs="Arial" w:eastAsia="Arial" w:hAnsi="Arial"/>
          <w:color w:val="1A1A1A"/>
          <w:sz w:val="18"/>
          <w:szCs w:val="18"/>
        </w:rPr>
        <w:t xml:space="preserve">Commons, J. R. (1934). Institutional Economics. Macmillan.</w:t>
      </w:r>
    </w:p>
    <w:p>
      <w:pPr>
        <w:pStyle w:val="ListParagraph"/>
        <w:numPr>
          <w:ilvl w:val="0"/>
          <w:numId w:val="2"/>
        </w:numPr>
        <w:spacing w:after="60" w:before="60"/>
      </w:pPr>
      <w:r>
        <w:rPr>
          <w:rFonts w:ascii="Arial" w:cs="Arial" w:eastAsia="Arial" w:hAnsi="Arial"/>
          <w:color w:val="1A1A1A"/>
          <w:sz w:val="18"/>
          <w:szCs w:val="18"/>
        </w:rPr>
        <w:t xml:space="preserve">Grigg, I. (2005). Triple Entry Accounting. Systemics, Inc.</w:t>
      </w:r>
    </w:p>
    <w:p>
      <w:pPr>
        <w:pStyle w:val="ListParagraph"/>
        <w:numPr>
          <w:ilvl w:val="0"/>
          <w:numId w:val="2"/>
        </w:numPr>
        <w:spacing w:after="60" w:before="60"/>
      </w:pPr>
      <w:r>
        <w:rPr>
          <w:rFonts w:ascii="Arial" w:cs="Arial" w:eastAsia="Arial" w:hAnsi="Arial"/>
          <w:color w:val="1A1A1A"/>
          <w:sz w:val="18"/>
          <w:szCs w:val="18"/>
        </w:rPr>
        <w:t xml:space="preserve">Ostrom, E. (1990). Governing the Commons. Cambridge University Press.</w:t>
      </w:r>
    </w:p>
    <w:p>
      <w:pPr>
        <w:pStyle w:val="ListParagraph"/>
        <w:numPr>
          <w:ilvl w:val="0"/>
          <w:numId w:val="2"/>
        </w:numPr>
        <w:spacing w:after="60" w:before="60"/>
      </w:pPr>
      <w:r>
        <w:rPr>
          <w:rFonts w:ascii="Arial" w:cs="Arial" w:eastAsia="Arial" w:hAnsi="Arial"/>
          <w:color w:val="1A1A1A"/>
          <w:sz w:val="18"/>
          <w:szCs w:val="18"/>
        </w:rPr>
        <w:t xml:space="preserve">Rochfeld, J. et al. (2021). Échelle de communalité. GIP Mission de recherche Droit et Justice.</w:t>
      </w:r>
    </w:p>
    <w:p>
      <w:pPr>
        <w:pStyle w:val="ListParagraph"/>
        <w:numPr>
          <w:ilvl w:val="0"/>
          <w:numId w:val="2"/>
        </w:numPr>
        <w:spacing w:after="60" w:before="60"/>
      </w:pPr>
      <w:r>
        <w:rPr>
          <w:rFonts w:ascii="Arial" w:cs="Arial" w:eastAsia="Arial" w:hAnsi="Arial"/>
          <w:color w:val="1A1A1A"/>
          <w:sz w:val="18"/>
          <w:szCs w:val="18"/>
        </w:rPr>
        <w:t xml:space="preserve">Schlager, E. &amp; Ostrom, E. (1992). Property-Rights Regimes and Natural Resources. Land Economics, 68(3), 249–262.</w:t>
      </w:r>
    </w:p>
    <w:p>
      <w:pPr>
        <w:pStyle w:val="ListParagraph"/>
        <w:numPr>
          <w:ilvl w:val="0"/>
          <w:numId w:val="2"/>
        </w:numPr>
        <w:spacing w:after="60" w:before="60"/>
      </w:pPr>
      <w:r>
        <w:rPr>
          <w:rFonts w:ascii="Arial" w:cs="Arial" w:eastAsia="Arial" w:hAnsi="Arial"/>
          <w:color w:val="1A1A1A"/>
          <w:sz w:val="18"/>
          <w:szCs w:val="18"/>
        </w:rPr>
        <w:t xml:space="preserve">W3C (2022). Decentralized Identifiers (DIDs) v1.0. https://www.w3.org/TR/did-core/</w:t>
      </w:r>
    </w:p>
    <w:p>
      <w:pPr>
        <w:pStyle w:val="ListParagraph"/>
        <w:numPr>
          <w:ilvl w:val="0"/>
          <w:numId w:val="2"/>
        </w:numPr>
        <w:spacing w:after="60" w:before="60"/>
      </w:pPr>
      <w:r>
        <w:rPr>
          <w:rFonts w:ascii="Arial" w:cs="Arial" w:eastAsia="Arial" w:hAnsi="Arial"/>
          <w:color w:val="1A1A1A"/>
          <w:sz w:val="18"/>
          <w:szCs w:val="18"/>
        </w:rPr>
        <w:t xml:space="preserve">Wenger, E. (1998). Communities of Practice. Cambridge University Press.</w:t>
      </w:r>
    </w:p>
    <w:p>
      <w:pPr>
        <w:spacing w:after="80" w:before="0"/>
      </w:pPr>
    </w:p>
    <w:p>
      <w:pPr>
        <w:spacing w:after="80" w:before="0"/>
      </w:pPr>
    </w:p>
    <w:p>
      <w:pPr>
        <w:spacing w:after="80" w:before="0"/>
        <w:jc w:val="left"/>
      </w:pPr>
      <w:r>
        <w:rPr>
          <w:rFonts w:ascii="Arial" w:cs="Arial" w:eastAsia="Arial" w:hAnsi="Arial"/>
          <w:b w:val="false"/>
          <w:bCs w:val="false"/>
          <w:i/>
          <w:iCs/>
          <w:color w:val="595959"/>
          <w:sz w:val="20"/>
          <w:szCs w:val="20"/>
        </w:rPr>
        <w:t xml:space="preserve">Pour les couches interprétatives de référence (C-ANT, C-SOG…), voir les fichiers YAML dans ~/p2mca/.</w:t>
      </w:r>
    </w:p>
    <w:p>
      <w:pPr>
        <w:spacing w:after="80" w:before="0"/>
        <w:jc w:val="left"/>
      </w:pPr>
      <w:r>
        <w:rPr>
          <w:rFonts w:ascii="Arial" w:cs="Arial" w:eastAsia="Arial" w:hAnsi="Arial"/>
          <w:b w:val="false"/>
          <w:bCs w:val="false"/>
          <w:i/>
          <w:iCs/>
          <w:color w:val="595959"/>
          <w:sz w:val="20"/>
          <w:szCs w:val="20"/>
        </w:rPr>
        <w:t xml:space="preserve">Pierre Musseau-Milesi avec Claude / Anthropic — Avril 2026</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1"/>
      </w:pBdr>
      <w:spacing w:after="0" w:before="120"/>
      <w:jc w:val="right"/>
    </w:pPr>
    <w:r>
      <w:rPr>
        <w:rFonts w:ascii="Arial" w:cs="Arial" w:eastAsia="Arial" w:hAnsi="Arial"/>
        <w:color w:val="595959"/>
        <w:sz w:val="16"/>
        <w:szCs w:val="16"/>
      </w:rPr>
      <w:t xml:space="preserve">Pierre Musseau-Milesi avec Claude / Anthropic — Avril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1"/>
      </w:pBdr>
      <w:spacing w:after="120" w:before="0"/>
    </w:pPr>
    <w:r>
      <w:rPr>
        <w:rFonts w:ascii="Arial" w:cs="Arial" w:eastAsia="Arial" w:hAnsi="Arial"/>
        <w:color w:val="595959"/>
        <w:sz w:val="16"/>
        <w:szCs w:val="16"/>
      </w:rPr>
      <w:t xml:space="preserve">P2M-CA v2.0 — Modele de base, couches et prototype — Avril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6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F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2026-04-09T14:57:11.772Z</dcterms:created>
  <dcterms:modified xsi:type="dcterms:W3CDTF">2026-04-09T14:57:11.773Z</dcterms:modified>
</cp:coreProperties>
</file>

<file path=docProps/custom.xml><?xml version="1.0" encoding="utf-8"?>
<Properties xmlns="http://schemas.openxmlformats.org/officeDocument/2006/custom-properties" xmlns:vt="http://schemas.openxmlformats.org/officeDocument/2006/docPropsVTypes"/>
</file>