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D2807" w14:textId="77777777" w:rsidR="00D1406E" w:rsidRDefault="00990CEE">
      <w:pPr>
        <w:spacing w:before="1440" w:line="480" w:lineRule="auto"/>
        <w:jc w:val="center"/>
      </w:pPr>
      <w:r>
        <w:rPr>
          <w:b/>
          <w:bCs/>
          <w:sz w:val="28"/>
          <w:szCs w:val="28"/>
        </w:rPr>
        <w:t>Cripping Feminist Social Work:</w:t>
      </w:r>
    </w:p>
    <w:p w14:paraId="26B57C19" w14:textId="77777777" w:rsidR="00D1406E" w:rsidRDefault="00990CEE">
      <w:pPr>
        <w:spacing w:line="480" w:lineRule="auto"/>
        <w:jc w:val="center"/>
      </w:pPr>
      <w:r>
        <w:rPr>
          <w:b/>
          <w:bCs/>
          <w:sz w:val="28"/>
          <w:szCs w:val="28"/>
        </w:rPr>
        <w:t>Compulsory Able-Bodiedness, Epistemic Injustice, and Sexual Violence</w:t>
      </w:r>
    </w:p>
    <w:p w14:paraId="1B667F9C" w14:textId="77777777" w:rsidR="00D1406E" w:rsidRDefault="00990CEE">
      <w:pPr>
        <w:spacing w:line="480" w:lineRule="auto"/>
        <w:jc w:val="center"/>
      </w:pPr>
      <w:r>
        <w:rPr>
          <w:b/>
          <w:bCs/>
          <w:sz w:val="28"/>
          <w:szCs w:val="28"/>
        </w:rPr>
        <w:t>Against Disabled People</w:t>
      </w:r>
    </w:p>
    <w:p w14:paraId="463A43CF" w14:textId="77777777" w:rsidR="00D1406E" w:rsidRDefault="00D1406E">
      <w:pPr>
        <w:spacing w:line="480" w:lineRule="auto"/>
      </w:pPr>
    </w:p>
    <w:p w14:paraId="4448489F" w14:textId="77777777" w:rsidR="00D1406E" w:rsidRDefault="00D1406E">
      <w:pPr>
        <w:spacing w:line="480" w:lineRule="auto"/>
      </w:pPr>
    </w:p>
    <w:p w14:paraId="2416CF3C" w14:textId="77777777" w:rsidR="00D1406E" w:rsidRDefault="00D1406E">
      <w:pPr>
        <w:spacing w:line="480" w:lineRule="auto"/>
      </w:pPr>
    </w:p>
    <w:p w14:paraId="1A18F19D" w14:textId="77777777" w:rsidR="00D1406E" w:rsidRDefault="00990CEE">
      <w:pPr>
        <w:spacing w:line="480" w:lineRule="auto"/>
        <w:jc w:val="center"/>
      </w:pPr>
      <w:r>
        <w:rPr>
          <w:b/>
          <w:bCs/>
        </w:rPr>
        <w:t>Abstract</w:t>
      </w:r>
    </w:p>
    <w:p w14:paraId="49F9CC15" w14:textId="77777777" w:rsidR="00D1406E" w:rsidRDefault="00D1406E">
      <w:pPr>
        <w:spacing w:line="480" w:lineRule="auto"/>
      </w:pPr>
    </w:p>
    <w:p w14:paraId="0F171660" w14:textId="77777777" w:rsidR="00D1406E" w:rsidRDefault="00990CEE">
      <w:pPr>
        <w:spacing w:line="480" w:lineRule="auto"/>
        <w:jc w:val="both"/>
      </w:pPr>
      <w:r>
        <w:t xml:space="preserve">Sexual violence against disabled people has rarely been theorized as a structural phenomenon at the meeting point of feminist social work and crip theory, despite the rich critical traditions each field has developed. This conceptual article argues that sexual violence experienced by disabled people is not a product of individual vulnerability but an effect of interlocking institutional, epistemic, and normative systems. Drawing on crip theory (McRuer, 2006; Kafer, 2013), feminist disability studies (Garland-Thomson, 2002; Hollomotz, 2011), epistemic injustice frameworks (Fricker, 2007; Williams &amp; Jobe, 2024), and disability justice activism (Mingus, 2017; Sins Invalid, 2018), we develop a structural analysis organized around three claims. First, compulsory able-bodiedness and forced intimacy produce specific power asymmetries that increase exposure to sexual violence. Second, testimonial injustice and institutional betrayal (Smith &amp; Freyd, 2014) explain the systematic silencing of disabled victims within the very institutions charged with their protection. Third, feminist social work practice is itself traversed by psycho-emotional disablism (Reeve, 2002) and curative logics that risk reproducing rather than dismantling conditions of </w:t>
        <w:lastRenderedPageBreak/>
        <w:t>violence. We conclude by outlining what "cripping" feminist social work would require in terms of practice, training, and epistemological orientation. Implications for social work education and intersectional feminist praxis are discussed.</w:t>
      </w:r>
    </w:p>
    <w:p w14:paraId="03C22510" w14:textId="77777777" w:rsidR="00D1406E" w:rsidRDefault="00D1406E">
      <w:pPr>
        <w:spacing w:line="480" w:lineRule="auto"/>
      </w:pPr>
    </w:p>
    <w:p w14:paraId="4A149587" w14:textId="77777777" w:rsidR="00D1406E" w:rsidRDefault="00990CEE">
      <w:pPr>
        <w:spacing w:line="480" w:lineRule="auto"/>
        <w:jc w:val="both"/>
      </w:pPr>
      <w:r>
        <w:t>Keywords: crip theory, sexual violence, disability, epistemic injustice, feminist social work, intersectionality</w:t>
      </w:r>
    </w:p>
    <w:p w14:paraId="12B93729" w14:textId="77777777" w:rsidR="00D1406E" w:rsidRDefault="00D1406E">
      <w:pPr>
        <w:pageBreakBefore/>
      </w:pPr>
    </w:p>
    <w:p w14:paraId="6685CE93" w14:textId="77777777" w:rsidR="00D1406E" w:rsidRDefault="00990CEE">
      <w:pPr>
        <w:pStyle w:val="Titre1"/>
      </w:pPr>
      <w:r>
        <w:t>Introduction</w:t>
      </w:r>
    </w:p>
    <w:p w14:paraId="3652BD76" w14:textId="77777777" w:rsidR="00D1406E" w:rsidRDefault="00990CEE">
      <w:pPr>
        <w:spacing w:line="480" w:lineRule="auto"/>
        <w:ind w:firstLine="720"/>
        <w:jc w:val="both"/>
      </w:pPr>
      <w:r>
        <w:t>Sexual violence against disabled people is, in the words of Mueller, Forber-Pratt, and Sriken (2019), a domain where disability remains "missing from the conversation." Meta-analyses consistently document that disabled people face a significantly elevated risk of sexual violence compared to non-disabled people, with estimates ranging from 1.5 to 2.3 times higher across studies and the risk rising sharply for people with psychosocial or intellectual disabilities (Hughes et al., 2012; Mailhot Amborski et al., 2022). Yet these figures circulate largely within epidemiological or legal literatures, disconnected from the theoretical frameworks that feminist social work has developed to understand gender-based violence, and equally disconnected from the critical disability scholarship that has fundamentally reframed the politics of disabled life.</w:t>
      </w:r>
    </w:p>
    <w:p w14:paraId="1F3B2C77" w14:textId="77777777" w:rsidR="00D1406E" w:rsidRDefault="00D1406E">
      <w:pPr>
        <w:spacing w:line="480" w:lineRule="auto"/>
      </w:pPr>
    </w:p>
    <w:p w14:paraId="3C25877B" w14:textId="77777777" w:rsidR="00D1406E" w:rsidRDefault="00990CEE">
      <w:pPr>
        <w:spacing w:line="480" w:lineRule="auto"/>
        <w:ind w:firstLine="720"/>
        <w:jc w:val="both"/>
      </w:pPr>
      <w:r>
        <w:t>This disconnection is not incidental. It reflects a deeper structural pattern: crip theory has extensively theorized normative corporeality, institutional power, and the politics of care and sexuality (McRuer, 2006; Kafer, 2013; Price, 2015), but has largely left sexual violence as a named reality rather than a theorized object. Feminist social work has produced rich frameworks for understanding gender-based violence, institutional complicity, and survivor-centered practice, but has rarely integrated disability as a constitutive rather than supplementary dimension of analysis. The result is a persistent disconnection with concrete consequences: disabled survivors encounter services and practitioners ill-equipped to recognize the specific conditions of their exposure, and researchers lack the conceptual tools to analyze those conditions without defaulting to individualistic framings of vulnerability.</w:t>
      </w:r>
    </w:p>
    <w:p w14:paraId="06CB40A5" w14:textId="77777777" w:rsidR="00D1406E" w:rsidRDefault="00D1406E">
      <w:pPr>
        <w:spacing w:line="480" w:lineRule="auto"/>
      </w:pPr>
    </w:p>
    <w:p w14:paraId="3E7BADF1" w14:textId="77777777" w:rsidR="00D1406E" w:rsidRDefault="00990CEE">
      <w:pPr>
        <w:spacing w:line="480" w:lineRule="auto"/>
        <w:ind w:firstLine="720"/>
        <w:jc w:val="both"/>
      </w:pPr>
    </w:p>
    <w:p w14:paraId="3E7BADF2" w14:textId="77777777" w:rsidR="00D1406E" w:rsidRDefault="00990CEE">
      <w:pPr>
        <w:spacing w:line="480" w:lineRule="auto"/>
        <w:ind w:firstLine="720"/>
        <w:jc w:val="both"/>
      </w:pPr>
      <w:r>
        <w:t xml:space="preserve">The concept of vulnerability is precisely where this disconnection is most visible, and most consequential. When disability and sexual violence are addressed together, the dominant framing positions disabled people as inherently, intrinsically vulnerable: their bodies or minds are understood to create a special susceptibility that calls for protection. This framing has been extensively criticized from within disability studies (Hollomotz, 2009, 2011) and feminist theory (Fineman, 2008), and a substantial body of critical disability and critical social work scholarship has developed alternative analyses of structural violence, institutional harm, and the carceral organization of care (Ben-Moshe, 2020; Chapman &amp; Withers, 2019; Rossiter &amp; Rinaldi, 2018; Shaikh et al., 2022; Steele, 2020). Our contribution is not to claim that these critiques are missing, but to argue that they have not yet been brought systematically to bear on the specific problem of sexual violence against disabled people in the institutional landscapes of continental Europe — and that doing so requires the conceptual integration we develop here.</w:t>
      </w:r>
    </w:p>
    <w:p w14:paraId="3E7BADF3" w14:textId="77777777" w:rsidR="00D1406E" w:rsidRDefault="00990CEE">
      <w:pPr>
        <w:spacing w:line="480" w:lineRule="auto"/>
        <w:ind w:firstLine="720"/>
        <w:jc w:val="both"/>
      </w:pPr>
      <w:r>
        <w:t xml:space="preserve">This article advances such an integration from a continental European, and specifically Belgian and French, vantage. The medico-social systems through which Belgium and France organize support for disabled people remain heavily structured by large residential institutions, day-care facilities, and specialized services that operate outside the deinstitutionalization trajectories more familiar in Anglophone contexts (Revillard, 2020; Ville et al., 2020). Mechanisms of independent advocacy, statutory patient rights, external oversight, and survivor-led safeguarding, well established in parts of the United Kingdom, Canada, and the United States, remain comparatively underdeveloped (Courteau et al., 2019). The Anglophone scholarship we engage was not produced from this institutional landscape, and its translation into Belgian and French social work is neither automatic nor neutral. Our aim is to bring crip theory, feminist disability studies, epistemic injustice frameworks, and disability justice activism into a sustained dialogue with continental European social work scholarship that has begun to engage gender, disability, and violence (Bouchet, 2024; Bouchet et al., 2025; Masson, 2013; Puiseux, 2022) but that has not yet articulated a structural account of sexual violence adequate to the specificity of medico-social institutional life.</w:t>
      </w:r>
    </w:p>
    <w:p w14:paraId="29CCD2A4" w14:textId="77777777" w:rsidR="00D1406E" w:rsidRDefault="00D1406E">
      <w:pPr>
        <w:spacing w:line="480" w:lineRule="auto"/>
      </w:pPr>
    </w:p>
    <w:p w14:paraId="31B99A1F" w14:textId="77777777" w:rsidR="00D1406E" w:rsidRDefault="00990CEE">
      <w:pPr>
        <w:spacing w:line="480" w:lineRule="auto"/>
        <w:ind w:firstLine="720"/>
        <w:jc w:val="both"/>
      </w:pPr>
    </w:p>
    <w:p w14:paraId="31B99A20" w14:textId="77777777" w:rsidR="00D1406E" w:rsidRDefault="00990CEE">
      <w:pPr>
        <w:spacing w:line="480" w:lineRule="auto"/>
        <w:ind w:firstLine="720"/>
        <w:jc w:val="both"/>
      </w:pPr>
      <w:r>
        <w:t xml:space="preserve">We argue that sexual violence against disabled people in these contexts is best understood not as an expression of individual fragility but as an effect of three interlocking systems. The first is normative: McRuer’s (2006) compulsory able-bodiedness produces a hierarchy of bodies in which disabled corporealities are rendered available for forms of control and intrusion that non-disabled bodies are not, and Mingus’s (2017) concept of forced intimacy names the everyday dimension of this normative violence in care relationships. The second is epistemic: disabled people who report sexual violence face a systematic credibility deficit (Williams &amp; Jobe, 2024) that Fricker’s (2007) framework of testimonial injustice allows us to name precisely, compounded by what Freyd theorizes as institutional betrayal (Smith &amp; Freyd, 2013, 2014) and by what Samra (2025) reframes as a deeper, ontological injustice that operates before disclosure. The third is professional: feminist social work itself, we argue, is traversed by psycho-emotional disablism (Reeve, 2002, 2012) and by curative logics (Graziano, 2026) that, in continental medico-social settings, risk reproducing the asymmetries of power in which violence thrives.</w:t>
      </w:r>
    </w:p>
    <w:p w14:paraId="385A681C" w14:textId="77777777" w:rsidR="00D1406E" w:rsidRDefault="00D1406E">
      <w:pPr>
        <w:spacing w:line="480" w:lineRule="auto"/>
      </w:pPr>
    </w:p>
    <w:p w14:paraId="7F58D3A0" w14:textId="77777777" w:rsidR="00D1406E" w:rsidRDefault="00990CEE">
      <w:pPr>
        <w:spacing w:line="480" w:lineRule="auto"/>
        <w:ind w:firstLine="720"/>
        <w:jc w:val="both"/>
      </w:pPr>
      <w:r>
        <w:t xml:space="preserve">What is genuinely new here is not any of these concepts taken singly but the claim their articulation makes possible. In the continental medico-social regime, forced intimacy is not one risk factor among others; it is the structural medium that binds the normative system to the epistemic one. Because intimate bodily access is routinized as care, it produces exposure to violation and, in the same movement, disables its recognition: epistemic injustice therefore operates not only after a disclosure, in the discounting of a disabled person’s testimony, but before it, by foreclosing the perceptual and interpretive resources through which violation could be named at all. This pre-disclosure conjunction is what each field, taken alone, has missed. Crip theory has theorized compulsory able-bodiedness without following it into the scene of sexual violence; feminist social work has theorized gender-based violence without treating disability as a constitutive axis; and the epistemic-injustice literature has largely addressed credibility once testimony is already given. Naming this conjunction is what allows us to treat sexual violence against disabled people as structurally produced rather than individually risked, and to locate feminist social work, in this institutional landscape, as implicated in its production rather than external to it.</w:t>
      </w:r>
    </w:p>
    <w:p w14:paraId="7F58D3A1" w14:textId="77777777" w:rsidR="00D1406E" w:rsidRDefault="00D1406E">
      <w:pPr>
        <w:spacing w:line="480" w:lineRule="auto"/>
      </w:pPr>
    </w:p>
    <w:p w14:paraId="7F58D3A2" w14:textId="77777777" w:rsidR="00D1406E" w:rsidRDefault="00990CEE">
      <w:pPr>
        <w:spacing w:line="480" w:lineRule="auto"/>
        <w:ind w:firstLine="720"/>
        <w:jc w:val="both"/>
      </w:pPr>
      <w:r>
        <w:t xml:space="preserve"> The article is structured as follows. The next section clarifies the conceptual approach, positionality, and scope that frame the argument. A subsequent background section situates the contribution within longstanding critical disability studies and critical social work scholarship on institutional violence and structural critique. Three substantive sections then take up, in turn, the normative infrastructure of compulsory able-bodiedness and forced intimacy, which shifts the analytical frame from individual vulnerability to structural exposure; the epistemic and institutional mechanisms (testimonial, hermeneutical, and ontological injustice, and institutional betrayal) through which this violence is rendered invisible; and feminist social work as both a site of reproduction and a site of resistance, drawing on disability justice frameworks (Sins Invalid, 2018; Wright &amp; Manuel, 2024) to articulate what a crip feminist social work praxis might concretely involve. The article concludes by discussing implications for social work education, practice, and the broader project of intersectional feminist knowledge-building.</w:t>
      </w:r>
    </w:p>
    <w:p w14:paraId="0DBBE969" w14:textId="77777777" w:rsidR="00D1406E" w:rsidRDefault="00D1406E">
      <w:pPr>
        <w:spacing w:line="480" w:lineRule="auto"/>
      </w:pPr>
    </w:p>
    <w:p w14:paraId="7CF628D9" w14:textId="77777777" w:rsidR="00D1406E" w:rsidRDefault="00990CEE">
      <w:pPr>
        <w:spacing w:line="480" w:lineRule="auto"/>
        <w:ind w:firstLine="720"/>
        <w:jc w:val="both"/>
      </w:pPr>
    </w:p>
    <w:p w14:paraId="0A8A0685" w14:textId="77777777" w:rsidR="00D1406E" w:rsidRDefault="00990CEE">
      <w:pPr>
        <w:pStyle w:val="Titre1"/>
      </w:pPr>
      <w:r>
        <w:t>Conceptual Approach, Positionality, and Scope</w:t>
      </w:r>
    </w:p>
    <w:p w14:paraId="6C28CF31" w14:textId="77777777" w:rsidR="00D1406E" w:rsidRDefault="00990CEE">
      <w:pPr>
        <w:spacing w:line="480" w:lineRule="auto"/>
        <w:ind w:firstLine="720"/>
        <w:jc w:val="both"/>
      </w:pPr>
    </w:p>
    <w:p w14:paraId="6C28CF32" w14:textId="77777777" w:rsidR="00D1406E" w:rsidRDefault="00990CEE">
      <w:pPr>
        <w:spacing w:line="480" w:lineRule="auto"/>
        <w:ind w:firstLine="720"/>
        <w:jc w:val="both"/>
      </w:pPr>
      <w:r>
        <w:t xml:space="preserve">This is a conceptual article. It does not present empirical findings, and it does not claim to provide an exhaustive review of the literature on disability and sexual violence. Yet the framework it develops is not derived from the literature alone: it emerges from, and is shaped to make sense of, our own ongoing empirical research on how French and Belgian medico-social institutions and the professionals working in them recognize, deny, or absorb disclosures of sexual violence by disabled people (Authors, under review). The conceptual apparatus assembled here is the theoretical yield of that fieldwork as much as a reading of the scholarship. The corpus we engage was assembled deliberately, through theoretical triangulation across four bodies of scholarship — crip theory, feminist disability studies, epistemic injustice frameworks, and feminist and critical social work — that we read as offering complementary resources for an integrated structural analysis. We engage seminal and recent works in each of these traditions, alongside disability justice scholarship that does not always appear in academic databases but constitutes a foundational contribution to the theorization of disability and violence (Berne et al., 2018; Mingus, 2011, 2017; Piepzna-Samarasinha, 2018; Sins Invalid, 2018). We engage activist and non-academic scholarship as a normal feature of disability studies inquiry, not as a methodological exception requiring justification.</w:t>
      </w:r>
    </w:p>
    <w:p w14:paraId="74A17173" w14:textId="77777777" w:rsidR="00D1406E" w:rsidRDefault="00D1406E">
      <w:pPr>
        <w:spacing w:line="480" w:lineRule="auto"/>
      </w:pPr>
    </w:p>
    <w:p w14:paraId="708A4322" w14:textId="77777777" w:rsidR="00D1406E" w:rsidRDefault="00990CEE">
      <w:pPr>
        <w:spacing w:line="480" w:lineRule="auto"/>
        <w:ind w:firstLine="720"/>
        <w:jc w:val="both"/>
      </w:pPr>
    </w:p>
    <w:p w14:paraId="708A4323" w14:textId="77777777" w:rsidR="00D1406E" w:rsidRDefault="00990CEE">
      <w:pPr>
        <w:spacing w:line="480" w:lineRule="auto"/>
        <w:ind w:firstLine="720"/>
        <w:jc w:val="both"/>
      </w:pPr>
      <w:r>
        <w:t xml:space="preserve">Our analytical strategy follows the tradition of intersectional theory-building (Collins &amp; Bilge, 2020; Crenshaw, 1991): we treat the normative, epistemic, and professional systems analyzed in this article not as parallel or additive structures but as mutually constitutive. Compulsory able-bodiedness underwrites epistemic hierarchies that in turn shape professional practice, while professional practice reproduces the normative arrangements from which it derives its authority. The contribution we claim is thus not the discovery of any single one of these dynamics — each has been theorized within its own tradition — but the integrated structural account that becomes possible when they are read together, and the specific traction such an account gains when applied to the medico-social institutional contexts of continental Europe.</w:t>
      </w:r>
    </w:p>
    <w:p w14:paraId="033E6106" w14:textId="77777777" w:rsidR="00D1406E" w:rsidRDefault="00D1406E">
      <w:pPr>
        <w:spacing w:line="480" w:lineRule="auto"/>
      </w:pPr>
    </w:p>
    <w:p w14:paraId="0B1CC56D" w14:textId="77777777" w:rsidR="00D1406E" w:rsidRDefault="00990CEE">
      <w:pPr>
        <w:spacing w:line="480" w:lineRule="auto"/>
        <w:ind w:firstLine="720"/>
        <w:jc w:val="both"/>
      </w:pPr>
    </w:p>
    <w:p w14:paraId="69CE9A73" w14:textId="77777777" w:rsidR="00D1406E" w:rsidRDefault="00D1406E">
      <w:pPr>
        <w:spacing w:line="480" w:lineRule="auto"/>
      </w:pPr>
    </w:p>
    <w:p w14:paraId="360812EC" w14:textId="77777777" w:rsidR="00D1406E" w:rsidRDefault="00990CEE">
      <w:pPr>
        <w:spacing w:line="480" w:lineRule="auto"/>
        <w:ind w:firstLine="720"/>
        <w:jc w:val="both"/>
      </w:pPr>
    </w:p>
    <w:p w14:paraId="6ECABA87" w14:textId="77777777" w:rsidR="00D1406E" w:rsidRDefault="00D1406E">
      <w:pPr>
        <w:spacing w:line="480" w:lineRule="auto"/>
      </w:pPr>
    </w:p>
    <w:p w14:paraId="7262C23A" w14:textId="77777777" w:rsidR="00D1406E" w:rsidRDefault="00990CEE">
      <w:pPr>
        <w:spacing w:line="480" w:lineRule="auto"/>
        <w:ind w:firstLine="720"/>
        <w:jc w:val="both"/>
      </w:pPr>
    </w:p>
    <w:p w14:paraId="7262C23B" w14:textId="77777777" w:rsidR="00D1406E" w:rsidRDefault="00990CEE">
      <w:pPr>
        <w:spacing w:line="480" w:lineRule="auto"/>
        <w:ind w:firstLine="720"/>
        <w:jc w:val="both"/>
      </w:pPr>
      <w:r>
        <w:t xml:space="preserve">A note on positionality is warranted. We write from a sociological and social work perspective situated in a Belgian and French context, engaging primarily Anglophone theoretical frameworks whose institutional and policy assumptions do not translate directly. The Anglophone literature on disability, gender, and violence has been produced largely from contexts in which deinstitutionalization, independent living movements, statutory advocacy mechanisms, and survivor-centered safeguarding frameworks have substantial, if uneven, institutional purchase. The continental medico-social tradition is organized differently: residential and semi-residential facilities continue to provide the primary infrastructure of support for many disabled people; safeguarding is largely internal to provider organizations; and independent disabled-led advocacy remains comparatively under-resourced (Revillard, 2020; Ville et al., 2020). We name this asymmetry not to provincialize the analysis but to specify the institutional terrain on which our conceptual claims are meant to do work.</w:t>
      </w:r>
    </w:p>
    <w:p w14:paraId="7262C23C" w14:textId="77777777" w:rsidR="00D1406E" w:rsidRDefault="00990CEE">
      <w:pPr>
        <w:spacing w:line="480" w:lineRule="auto"/>
        <w:ind w:firstLine="720"/>
        <w:jc w:val="both"/>
      </w:pPr>
      <w:r>
        <w:t xml:space="preserve">A note on scope is also warranted. By “disability” we follow the convention of contemporary disability studies and disability justice movements, treating the term as a social and political position rather than a list of impairments. Where our argument applies with particular force to specific subpopulations — people with intellectual disabilities, people with psychosocial or psychiatric disabilities, people with neurodevelopmental disabilities — we name them explicitly, recognizing that the credibility hierarchies, communication conditions, and institutional arrangements at issue affect these groups in distinct and compounded ways (Daley et al., 2019; Samra, 2025; Williams &amp; Jobe, 2024). By “feminist social work” we refer both to the Anglophone tradition of feminist and anti-oppressive social work theory (Dominelli, 2002; Fook, 2002) and to the gendered care professions of continental Europe — </w:t>
      </w:r>
      <w:r>
        <w:rPr>
          <w:i/>
        </w:rPr>
        <w:t xml:space="preserve">travail social</w:t>
      </w:r>
      <w:r>
        <w:t xml:space="preserve">, </w:t>
      </w:r>
      <w:r>
        <w:rPr>
          <w:i/>
        </w:rPr>
        <w:t xml:space="preserve">aide sociale</w:t>
      </w:r>
      <w:r>
        <w:t xml:space="preserve">, </w:t>
      </w:r>
      <w:r>
        <w:rPr>
          <w:i/>
        </w:rPr>
        <w:t xml:space="preserve">éducation spécialisée</w:t>
      </w:r>
      <w:r>
        <w:t xml:space="preserve"> — that are not identical to professional social work in the Anglophone sense but that occupy structurally analogous positions in the medico-social organization of disabled life. Contrary to a common assumption, France does have a regulated social work profession: the assistant de service social, certified by a state diploma (the diplôme d’État d’assistant de service social, DEASS), alongside the éducateur spécialisé and a broader medico-social workforce. What differs from the Anglophone configuration is less the existence of the profession than its embedding within specialized medico-social institutions and its comparatively limited autonomy from the medical field. Where the differences matter for our argument, we note them; where the structural positions converge, we treat the analysis as portable. We use “crip” as a reclaimed critical term following McRuer (2006) and Kafer (2013), not as a neutral descriptor.</w:t>
      </w:r>
    </w:p>
    <w:p w14:paraId="51C22E91" w14:textId="77777777" w:rsidR="00D1406E" w:rsidRDefault="00990CEE">
      <w:pPr>
        <w:pStyle w:val="Titre1"/>
      </w:pPr>
      <w:r>
        <w:t>Background: Critical Disability Studies and Critical Social Work on Structural Violence</w:t>
      </w:r>
    </w:p>
    <w:p w14:paraId="51C22E93" w14:textId="77777777" w:rsidR="00D1406E" w:rsidRDefault="00990CEE">
      <w:pPr>
        <w:spacing w:line="480" w:lineRule="auto"/>
        <w:ind w:firstLine="720"/>
        <w:jc w:val="both"/>
      </w:pPr>
      <w:r>
        <w:t xml:space="preserve">The structural account of sexual violence we develop in the following sections builds on, rather than fills a void in, two long-standing critical traditions. Both critical disability studies and critical social work have, for decades, theorized institutional violence, the carceral organization of care, and the imbrication of disablism with other axes of oppression. Naming this prior work is essential. The contribution this article claims is not to introduce structural analysis into fields that lack it but to articulate, in specifically integrated form, what these traditions allow us to see when they are read together against the institutional landscape of continental European medico-social services and the still under-theorized object of sexual violence.</w:t>
      </w:r>
    </w:p>
    <w:p w14:paraId="51C22E94" w14:textId="77777777" w:rsidR="00D1406E" w:rsidRDefault="00990CEE">
      <w:pPr>
        <w:spacing w:line="480" w:lineRule="auto"/>
        <w:ind w:firstLine="720"/>
        <w:jc w:val="both"/>
      </w:pPr>
      <w:r>
        <w:rPr>
          <w:i/>
        </w:rPr>
        <w:t xml:space="preserve">Critical disability studies and the analysis of institutional violence. </w:t>
      </w:r>
      <w:r>
        <w:t xml:space="preserve">The critique of institutional violence against disabled people is constitutive of contemporary disability studies, not an emergent agenda. Sobsey’s (1994) early synthesis already documented institutional and semi-institutional settings as primary sites of abuse, and a substantial scholarship has since developed this analysis well beyond the question of individual perpetrators. Ben-Moshe’s (2020) </w:t>
      </w:r>
      <w:r>
        <w:rPr>
          <w:i/>
        </w:rPr>
        <w:t>Decarcerating Disability</w:t>
      </w:r>
      <w:r>
        <w:t xml:space="preserve"> and the collection she co-edited on </w:t>
      </w:r>
      <w:r>
        <w:rPr>
          <w:i/>
        </w:rPr>
        <w:t>Disability Incarcerated</w:t>
      </w:r>
      <w:r>
        <w:t xml:space="preserve"> (Ben-Moshe et al., 2014) reconceptualize disability institutions as continuous with the carceral state, refusing the analytic separation between prison, psychiatric hospital, group home, and residential facility. Rossiter and Rinaldi’s (2018) </w:t>
      </w:r>
      <w:r>
        <w:rPr>
          <w:i/>
        </w:rPr>
        <w:t>Institutional Violence and Disability</w:t>
      </w:r>
      <w:r>
        <w:t xml:space="preserve"> extends this analysis through Canadian case studies of long-term care, demonstrating how violence is produced through ordinary institutional functioning rather than aberrant practice. Steele’s (2020) work on disability, criminal law, and lawful violence theorizes the legal infrastructures through which institutional harm to disabled people is rendered legitimate. In Mad Studies, Daley, Costa, and Beresford’s (2019) </w:t>
      </w:r>
      <w:r>
        <w:rPr>
          <w:i/>
        </w:rPr>
        <w:t>Madness, Violence and Power</w:t>
      </w:r>
      <w:r>
        <w:t xml:space="preserve"> gathers a sustained critique of psychiatric institutional violence that intersects directly with the questions we raise about credibility, coercion, and care. These literatures share a structural analytic: violence against disabled people is treated as constitutive of institutional life rather than as exception to it.</w:t>
      </w:r>
    </w:p>
    <w:p w14:paraId="51C22E95" w14:textId="77777777" w:rsidR="00D1406E" w:rsidRDefault="00990CEE">
      <w:pPr>
        <w:spacing w:line="480" w:lineRule="auto"/>
        <w:ind w:firstLine="720"/>
        <w:jc w:val="both"/>
      </w:pPr>
      <w:r>
        <w:rPr>
          <w:i/>
        </w:rPr>
        <w:t xml:space="preserve">Subfields and intersectional reorientations. </w:t>
      </w:r>
      <w:r>
        <w:t xml:space="preserve">The structural critique has been deepened by sub-traditions that refuse the universalization of the disabled subject. Mad Studies (Daley et al., 2019; LeFrançois et al., 2013) has insisted that psychiatric power and the violence of involuntary intervention require their own analytic vocabulary. DisCrit (Annamma, Connor, &amp; Ferri, 2013) has theorized the co-production of disability and race in carceral and educational systems. Schalk’s (2018, 2022) Black disability studies, Erevelles’s (2011) materialist analysis, Kim’s (2017) crip-of-color critique, and Bell’s (2006) intervention on White disability studies have collectively reoriented the field away from a single-axis politics. These contributions are not optional add-ons to a generic disability analysis: they specify the structural mechanisms through which disabled people of color, disabled women of color, disabled queer and trans people experience compounding exposure to violence — both interpersonal and institutional — that single-axis frameworks systematically miss.</w:t>
      </w:r>
    </w:p>
    <w:p w14:paraId="51C22E96" w14:textId="77777777" w:rsidR="00D1406E" w:rsidRDefault="00990CEE">
      <w:pPr>
        <w:spacing w:line="480" w:lineRule="auto"/>
        <w:ind w:firstLine="720"/>
        <w:jc w:val="both"/>
      </w:pPr>
      <w:r>
        <w:rPr>
          <w:i/>
        </w:rPr>
        <w:t xml:space="preserve">Critical social work as a tradition of structural critique. </w:t>
      </w:r>
      <w:r>
        <w:t xml:space="preserve">Critical social work has engaged this terrain from its own angle. Chapman and Withers’ (2019) </w:t>
      </w:r>
      <w:r>
        <w:rPr>
          <w:i/>
        </w:rPr>
        <w:t>A Violent History of Benevolence</w:t>
      </w:r>
      <w:r>
        <w:t xml:space="preserve"> offers a sustained analysis of social work as a profession constituted through interlocking moral economies of colonial, racial, ableist, and class-based violence — an analysis that displaces the field’s self-presentation as a profession of care and exposes the structural reproduction of harm through ordinary professional functioning. Shaikh, LeFrançois, and Macías’s (2022) </w:t>
      </w:r>
      <w:r>
        <w:rPr>
          <w:i/>
        </w:rPr>
        <w:t>Critical Social Work Praxis</w:t>
      </w:r>
      <w:r>
        <w:t xml:space="preserve"> assembles a critical-theoretical apparatus for thinking about race, madness, gender, and the state in social work practice. Dominelli’s (2002) anti-oppressive social work and Fook’s (2002) critical social work have provided foundational vocabularies for thinking about power asymmetries in professional relationships. Within feminist social work, Wendell’s (1989, 1996) feminist disability theory and Morris’s (1991) early engagement with the able-bodied assumptions of feminist social work practice have laid the conceptual groundwork for the kind of internal critique we develop in this article.</w:t>
      </w:r>
    </w:p>
    <w:p w14:paraId="51C22E98" w14:textId="77777777" w:rsidR="00D1406E" w:rsidRDefault="00990CEE">
      <w:pPr>
        <w:spacing w:line="480" w:lineRule="auto"/>
        <w:ind w:firstLine="720"/>
        <w:jc w:val="both"/>
      </w:pPr>
      <w:r>
        <w:rPr>
          <w:i/>
        </w:rPr>
        <w:t xml:space="preserve">A francophone theorization of the medico-social. </w:t>
      </w:r>
      <w:r>
        <w:t xml:space="preserve">The Anglophone literatures on which this article principally draws emerged from contexts in which deinstitutionalization, statutory rights frameworks, and survivor-led advocacy networks have substantial institutional purchase. The continental medico-social, by contrast, is a distinct regime of disability governance with its own genealogy. Stiker’s (2013) longue durée history of the figure of infirmity in French culture, Castel’s (1995) analysis of the social question and its dispositifs, and Revillard’s (2020) recent sociology of disability rights as “vulnerable rights” in France together specify a tradition in which large residential and semi-residential institutions are not residual anachronisms but active components of public welfare; in which professional authority is distributed across medical, paramedical, and educational actors organized around a normative horizon of social inclusion that retains, in practice, paternalist structures; and in which disabled-led advocacy has historically been mediated by parent associations and public administrators rather than by independent disabled subjects (Ville et al., 2020). The francophone elaboration of </w:t>
      </w:r>
      <w:r>
        <w:rPr>
          <w:i/>
        </w:rPr>
        <w:t>validisme</w:t>
      </w:r>
      <w:r>
        <w:t xml:space="preserve"> and </w:t>
      </w:r>
      <w:r>
        <w:rPr>
          <w:i/>
        </w:rPr>
        <w:t>capacitisme</w:t>
      </w:r>
      <w:r>
        <w:t xml:space="preserve"> (Masson, 2013; Puiseux, 2022) is not a translation of Anglophone </w:t>
      </w:r>
      <w:r>
        <w:rPr>
          <w:i/>
        </w:rPr>
        <w:t>ableism</w:t>
      </w:r>
      <w:r>
        <w:t xml:space="preserve"> but a politicization of this specific medico-social inheritance. Engaging these resources matters here because the structural exposure of disabled people to sexual violence in Belgium and France is shaped, in ways that cannot be read off Anglophone theorizations, by precisely this medico-social regime: the density of institutional placement, the configuration of professional authority within it, and the comparative weakness of independent monitoring structures.</w:t>
      </w:r>
    </w:p>
    <w:p w14:paraId="51C22E97" w14:textId="77777777" w:rsidR="00D1406E" w:rsidRDefault="00990CEE">
      <w:pPr>
        <w:spacing w:line="480" w:lineRule="auto"/>
        <w:ind w:firstLine="720"/>
        <w:jc w:val="both"/>
      </w:pPr>
      <w:r>
        <w:rPr>
          <w:i/>
        </w:rPr>
        <w:t xml:space="preserve">What this article adds. </w:t>
      </w:r>
      <w:r>
        <w:t xml:space="preserve">Read together, these literatures establish that sexual violence against disabled people is not under-theorized for lack of critical resources. Critical disability studies has theorized institutional violence; Mad Studies has theorized psychiatric coercion; DisCrit and Black disability studies have theorized the racialized production of disablement and exposure; critical social work has theorized the violence of benevolent professions. What remains incomplete is the articulation of these resources into an integrated structural account of sexual violence specifically — and the development of such an account in dialogue with the institutional and political specificities of continental European medico-social systems. The Anglophone scholarship we engage emerges from contexts shaped by deinstitutionalization, statutory safeguarding, and disabled-led advocacy infrastructures that do not have direct equivalents in Belgium and France. The francophone scholarship on disability, gender, and violence (Bouchet, 2024; Bouchet et al., 2025; Masson, 2013; Puiseux, 2022; Revillard, 2020) has begun to map this terrain but has not systematically engaged crip theory, disability justice, or the epistemic injustice framework on which we draw. This article works in the space defined by both gaps. The structural systems we analyze — compulsory able-bodiedness and forced intimacy; testimonial, hermeneutical, and ontological injustice; psycho-emotional disablism and curative logics — are read here as mutually constitutive components of a single analytic framework, applicable to the institutional landscapes within which feminist social work practice in continental Europe is actually organized.</w:t>
      </w:r>
    </w:p>
    <w:p w14:paraId="51C22E92" w14:textId="77777777" w:rsidR="00D1406E" w:rsidRDefault="00990CEE">
      <w:pPr>
        <w:pStyle w:val="Titre1"/>
      </w:pPr>
      <w:r>
        <w:t>From Individual Vulnerability to Structural Exposure</w:t>
      </w:r>
    </w:p>
    <w:p w14:paraId="2181687D" w14:textId="77777777" w:rsidR="00D1406E" w:rsidRDefault="00990CEE">
      <w:pPr>
        <w:spacing w:line="480" w:lineRule="auto"/>
        <w:ind w:firstLine="720"/>
        <w:jc w:val="both"/>
      </w:pPr>
      <w:r>
        <w:t>The dominant framing of disabled people's exposure to sexual violence relies on a concept of vulnerability understood as inherent — located in the disabled body or mind itself. In this framing, cognitive impairment reduces the capacity to recognize danger; physical dependence limits the capacity to resist or escape; communication difficulties prevent disclosure. The logic is additive: disability accumulates risk factors. Intervention, in turn, is conceived as protective management of a pre-given fragility. This framing is not simply theoretically inadequate. It is actively harmful. By locating vulnerability in the person rather than in the conditions surrounding them, it naturalizes the very arrangements that produce exposure, deflects attention from institutional responsibility, and reproduces the paternalistic logics that disability justice movements have identified as foundational to disablist oppression (Hollomotz, 2009; Mingus, 2017; Sins Invalid, 2018).</w:t>
      </w:r>
    </w:p>
    <w:p w14:paraId="7C9247E4" w14:textId="77777777" w:rsidR="00D1406E" w:rsidRDefault="00D1406E">
      <w:pPr>
        <w:spacing w:line="480" w:lineRule="auto"/>
      </w:pPr>
    </w:p>
    <w:p w14:paraId="12DCF6C8" w14:textId="77777777" w:rsidR="00D1406E" w:rsidRDefault="00990CEE">
      <w:pPr>
        <w:spacing w:line="480" w:lineRule="auto"/>
        <w:ind w:firstLine="720"/>
        <w:jc w:val="both"/>
      </w:pPr>
      <w:r>
        <w:lastRenderedPageBreak/>
        <w:t>The critical reframing begins with Hollomotz (2009, 2011), who argues that vulnerability must be understood ecologically rather than individually. Drawing on a social model of disability and on Kelly's (1988) continuum of sexual violence, Hollomotz demonstrates that the conditions most consistently associated with elevated risk are not impairment characteristics but social arrangements: segregation from mainstream community life, overprotection that limits the development of self-protective knowledge, dependency on a small and closed network of caregivers, and the systematic absence of accessible information about rights, consent, and reporting. Hollomotz's (2013) sociological extension of this argument connects individual exposure to broader structures of oppression, arguing that disablist violence exists on a continuum with the everyday subordination of disabled people's preferences and judgments to the authority of non-disabled others. Vulnerability, on this account, is not a property of bodies — it is a property of environments.</w:t>
      </w:r>
    </w:p>
    <w:p w14:paraId="41F4215C" w14:textId="77777777" w:rsidR="00D1406E" w:rsidRDefault="00D1406E">
      <w:pPr>
        <w:spacing w:line="480" w:lineRule="auto"/>
      </w:pPr>
    </w:p>
    <w:p w14:paraId="4DB0A3EF" w14:textId="77777777" w:rsidR="00D1406E" w:rsidRDefault="00990CEE">
      <w:pPr>
        <w:spacing w:line="480" w:lineRule="auto"/>
        <w:ind w:firstLine="720"/>
        <w:jc w:val="both"/>
      </w:pPr>
      <w:r>
        <w:t>The intersectional dimension of this question is immediately visible when race, class, and gender are introduced into the analysis. Schalk (2018, 2022) demonstrates that the production of disability through racial violence — police brutality, incarceration, poverty, inadequate healthcare — means that disabled people of color navigate compounding exposure to sexual violence within institutional landscapes where the normative hierarchies of compulsory able-bodiedness are compounded by racial regimes that further devalue their testimony, restrict their access to services, and increase their dependency on institutional actors whose accountability is structurally limited. Erevelles (2011) makes a related argument from a materialist perspective, showing that the intersection of disability, race, and class produces forms of structural vulnerability that cannot be captured by frameworks that treat these axes of power as separate rather than mutually constitutive.</w:t>
      </w:r>
    </w:p>
    <w:p w14:paraId="0C8DD5AE" w14:textId="77777777" w:rsidR="00D1406E" w:rsidRDefault="00D1406E">
      <w:pPr>
        <w:spacing w:line="480" w:lineRule="auto"/>
      </w:pPr>
    </w:p>
    <w:p w14:paraId="384B1D1F" w14:textId="77777777" w:rsidR="00D1406E" w:rsidRDefault="00990CEE">
      <w:pPr>
        <w:spacing w:line="480" w:lineRule="auto"/>
        <w:ind w:firstLine="720"/>
        <w:jc w:val="both"/>
      </w:pPr>
      <w:r>
        <w:t>Crip theory sharpens this reframing by connecting it to a broader analysis of normative power. McRuer's (2002, 2006) foundational concept of compulsory able-bodiedness names the mandatory character of corporeal normalcy in contemporary societies: just as Rich's (1980) compulsory heterosexuality describes a system in which heterosexuality is not simply preferred but required, compulsory able-bodiedness describes a system in which the able body is the unmarked norm against which all other bodies are measured, found lacking, and subjected to corrective or controlling interventions. Price's (2011, 2015) work on the bodymind, which refuses the Cartesian dualism separating physical from mental experience, reinforces this point: the normative violence of compulsory able-bodiedness operates on the bodymind as an integrated whole. McRuer and Mollow's (2012) edited collection on sex and disability further demonstrates that the normative regulation of disabled sexuality, its simultaneous desexualization and hyperexposure, constitutes a specific form of sexual governance that provides the cultural context within which sexual violation of disabled people is rendered routine or invisible.</w:t>
      </w:r>
    </w:p>
    <w:p w14:paraId="34A90ED8" w14:textId="77777777" w:rsidR="00D1406E" w:rsidRDefault="00D1406E">
      <w:pPr>
        <w:spacing w:line="480" w:lineRule="auto"/>
      </w:pPr>
    </w:p>
    <w:p w14:paraId="54AB537A" w14:textId="77777777" w:rsidR="00D1406E" w:rsidRDefault="00990CEE">
      <w:pPr>
        <w:spacing w:line="480" w:lineRule="auto"/>
        <w:ind w:firstLine="720"/>
        <w:jc w:val="both"/>
      </w:pPr>
      <w:r>
        <w:t>Puar's (2017) concept of debility adds a further dimension: where disability names a recognized identity category that can make claims on the state, debility names the slow bodily and social attrition produced by poverty, racism, and structural neglect — a condition that falls outside the frameworks of disability rights and that produces forms of exposure to violence that are particularly difficult to name and address within existing social work frameworks.</w:t>
      </w:r>
    </w:p>
    <w:p w14:paraId="4BAE5572" w14:textId="77777777" w:rsidR="00D1406E" w:rsidRDefault="00D1406E">
      <w:pPr>
        <w:spacing w:line="480" w:lineRule="auto"/>
      </w:pPr>
    </w:p>
    <w:p w14:paraId="7A10E65B" w14:textId="77777777" w:rsidR="00D1406E" w:rsidRDefault="00990CEE">
      <w:pPr>
        <w:spacing w:line="480" w:lineRule="auto"/>
        <w:ind w:firstLine="720"/>
        <w:jc w:val="both"/>
      </w:pPr>
      <w:r>
        <w:t xml:space="preserve">It is Mingus's (2017) concept of forced intimacy that most directly names the structural link between compulsory able-bodiedness and the conditions of sexual violence. Forced intimacy </w:t>
        <w:lastRenderedPageBreak/>
        <w:t>designates the systematic requirement, built into the daily lives of many disabled people, to surrender bodily privacy and intimate access to strangers and institutional actors in order to meet basic needs: to be bathed, dressed, transferred, fed, medicated. This is not incidental to disabled life as currently organized — it is a structural feature of institutional and semi-institutional care arrangements that is particularly marked in the medico-social systems of continental Europe, where residential and day care facilities continue to provide the primary infrastructure of support for many disabled people (Revillard, 2020). Mingus is explicit that forced intimacy is not the same as sexual violence, but she is equally explicit that it creates the normative and practical conditions in which sexual violation becomes possible, recognizable as routine rather than transgressive, and difficult to name or resist. Forced intimacy operates simultaneously as a condition of exposure to violence, as a mechanism by which violation is made difficult to recognize and report, and as a feature of professional practice that feminist social work must learn to identify rather than naturalize. If forced intimacy is not itself sexual violence, the mechanisms by which it produces conditions of violation deserve more direct theorization than the literature has yet provided. Three operate together with particular consequence. The first is the desensitization of bodily boundary: when intimate physical contact with non-related others is a routine and unrenounceable feature of daily life, the perceptual and somatic markers that ordinarily signal violation — the unfamiliar hand, the unsanctioned proximity, the inappropriate gesture — lose their differentiating force. What would register as transgressive in another life is integrated, by repetition and by necessity, into the texture of care. The second is interpretive blurring: the institutional and professional vocabularies that frame intimate contact as “care” supply ready descriptions for acts that fall outside it. A worker who exceeds what hygiene or transfer requires can locate the action within the same lexical and gestural field as legitimate care, and so can the institutional culture that surrounds him; what becomes difficult is not the action but its renaming as violation. The third is asymmetry of interpretive authority: in care relationships organized by forced intimacy, the worker holds substantial authority to define what is happening — what counts as accidental, as necessary, as proportionate. The disabled person’s interpretation, by contrast, is filtered through institutional doubts about cognitive, communicative, or emotional reliability that the next section examines. The relation between forced intimacy and sexual violence is thus neither identity nor analogy: forced intimacy is the structural medium in which the perceptual, lexical, and authority conditions for sexual violation are simultaneously assembled. The following two sections develop this argument across the epistemic and the professional registers.</w:t>
      </w:r>
    </w:p>
    <w:p w14:paraId="75621922" w14:textId="77777777" w:rsidR="00D1406E" w:rsidRDefault="00D1406E">
      <w:pPr>
        <w:spacing w:line="480" w:lineRule="auto"/>
      </w:pPr>
    </w:p>
    <w:p w14:paraId="4F6B12BB" w14:textId="77777777" w:rsidR="00D1406E" w:rsidRDefault="00990CEE">
      <w:pPr>
        <w:spacing w:line="480" w:lineRule="auto"/>
        <w:ind w:firstLine="720"/>
        <w:jc w:val="both"/>
      </w:pPr>
      <w:r>
        <w:t xml:space="preserve">Disability is co-produced through relations rather than residing in bodies. Garland-Thomson’s (2011) concept of misfitting names this directly: a misfit emerges from the encounter between a body and an environment, not from a body in isolation. Wendell (1989, 1996) makes the same point from feminist theory: when social environments reject certain bodies, the resulting harm is structural, and feminist theory has to treat it as such rather than route it through the language of individual fragility. Fineman’s (2008) vulnerable subject theory has been read as offering a way out of individualistic framings, but Arsenault-Gallant (2025) shows that the theory still locates the work of repair in the resilience of the subject: when resilience is what institutions are meant to foster, those whose impairments are not amenable to that horizon are returned to the position of the deficient individual, and the arrangements that produced their exposure recede from view.</w:t>
      </w:r>
    </w:p>
    <w:p w14:paraId="59BA60A1" w14:textId="77777777" w:rsidR="00D1406E" w:rsidRDefault="00D1406E">
      <w:pPr>
        <w:spacing w:line="480" w:lineRule="auto"/>
      </w:pPr>
    </w:p>
    <w:p w14:paraId="5E19F261" w14:textId="77777777" w:rsidR="00D1406E" w:rsidRDefault="00990CEE">
      <w:pPr>
        <w:spacing w:line="480" w:lineRule="auto"/>
        <w:ind w:firstLine="720"/>
        <w:jc w:val="both"/>
      </w:pPr>
      <w:r>
        <w:t>The analytical shift traced in this section — from vulnerability as individual attribute to exposure as structural condition — has direct consequences for how feminist social work frames its object and its practice. Critical social work has, of course, already begun this work. Anti-oppressive and structural social work scholarship has long argued that disability is relational rather than individual and that practice must engage the arrangements that produce exposure (Chapman &amp; Withers, 2019; Dominelli, 2002; Fook, 2002; Shaikh et al., 2022); within feminist disability scholarship, Wendell (1989, 1996) and Morris (1991) opened this terrain decades ago. Our analysis is meant to contribute to that ongoing reorientation by specifying how the structural exposure of disabled people to sexual violence is produced, made invisible, and reproduced through the very forms of professional intervention that feminist social work has developed to oppose gender-based violence. If exposure is produced by compulsory able-bodiedness, forced intimacy, and the misfit between disabled bodies and institutional environments, then the relevant question for social work is not how to protect an inherently vulnerable person but how to analyze and challenge the arrangements that produce structural exposure. This requires a different set of conceptual tools — and, as the following section argues, a reckoning with the epistemic and institutional mechanisms that systematically prevent those arrangements from being seen.</w:t>
      </w:r>
    </w:p>
    <w:p w14:paraId="247450AD" w14:textId="77777777" w:rsidR="00D1406E" w:rsidRDefault="00990CEE">
      <w:pPr>
        <w:pStyle w:val="Titre1"/>
      </w:pPr>
      <w:r>
        <w:t>Epistemic Silencing and Institutional Betrayal</w:t>
      </w:r>
    </w:p>
    <w:p w14:paraId="1D47C3BB" w14:textId="77777777" w:rsidR="00D1406E" w:rsidRDefault="00990CEE">
      <w:pPr>
        <w:spacing w:line="480" w:lineRule="auto"/>
        <w:ind w:firstLine="720"/>
        <w:jc w:val="both"/>
      </w:pPr>
      <w:r>
        <w:t>If the first system producing sexual violence against disabled people is normative — organized around compulsory able-bodiedness and forced intimacy — the second is epistemic. Disabled people who report sexual violence do not simply face the general disbelief that feminist scholars have documented as a structural feature of sexual assault disclosure (Kelly, 1988; Lonsway &amp; Archambault, 2012). They face a compounded credibility deficit rooted in the intersection of gender, disability, and institutional position — a deficit that operates through mechanisms that Fricker's (2007) framework of epistemic injustice allows us to name precisely, and that is reinforced by what Freyd and colleagues theorize as institutional betrayal (Smith &amp; Freyd, 2013, 2014).</w:t>
      </w:r>
    </w:p>
    <w:p w14:paraId="652CB054" w14:textId="77777777" w:rsidR="00D1406E" w:rsidRDefault="00D1406E">
      <w:pPr>
        <w:spacing w:line="480" w:lineRule="auto"/>
      </w:pPr>
    </w:p>
    <w:p w14:paraId="7E7566B8" w14:textId="77777777" w:rsidR="00D1406E" w:rsidRDefault="00990CEE">
      <w:pPr>
        <w:spacing w:line="480" w:lineRule="auto"/>
        <w:ind w:firstLine="720"/>
        <w:jc w:val="both"/>
      </w:pPr>
      <w:r>
        <w:lastRenderedPageBreak/>
        <w:t>Fricker (2007) distinguishes two primary forms of epistemic injustice. Testimonial injustice occurs when a speaker's credibility is deflated by identity prejudice: the hearer's assessment of whether to believe what is said is distorted by stereotypes attached to the speaker's social position. Hermeneutical injustice occurs at a more structural level, when the shared interpretive resources available in a given social context are inadequate to make sense of a significant aspect of someone's experience — not because the person lacks the capacity to describe what happened to them, but because the concepts, categories, and narrative frameworks that would allow their experience to be communicated and recognized are absent or distorted. Both forms operate with particular force in the case of disabled people reporting sexual violence, and their interaction produces what we might call a compounded epistemic silencing that is further shaped by race, gender, and class. This asymmetry has an empirical anchor in francophone disability arenas: in mobilizations over disabled people’s right to a sexual life, the authority to speak is routinely redistributed from disabled people, positioned as bearers of experiential testimony, to non-disabled professionals positioned as legitimate experts (Authors, 2018).</w:t>
      </w:r>
    </w:p>
    <w:p w14:paraId="78F2A9BC" w14:textId="77777777" w:rsidR="00D1406E" w:rsidRDefault="00D1406E">
      <w:pPr>
        <w:spacing w:line="480" w:lineRule="auto"/>
      </w:pPr>
    </w:p>
    <w:p w14:paraId="10668C1C" w14:textId="77777777" w:rsidR="00D1406E" w:rsidRDefault="00990CEE">
      <w:pPr>
        <w:spacing w:line="480" w:lineRule="auto"/>
        <w:ind w:firstLine="720"/>
        <w:jc w:val="both"/>
      </w:pPr>
      <w:r>
        <w:t xml:space="preserve">The intersectional dimension of this silencing is not incidental. Kim's (2017) crip-of-color critique demonstrates that the credibility hierarchies structuring disability-related epistemic injustice are compounded by racial stereotypes that further devalue the testimony of disabled people of color, and by gendered assumptions about emotional reliability and narrative coherence that operate with particular force against disabled women. Benedet and Grant's (2007) legal analysis of sexual assault complaints by women with mental disabilities documents this compounding empirically: the women in their study encountered a legal system that divided disabled complainants into those understood as permanently incapable of consent and those understood as incapable of credible refusal — a binary that erased the complex, contextual, and relational character of their actual experiences of violation. Benedet and Grant (2014) reach a convergent conclusion in their analysis of how courts handle sexual assault cases involving women </w:t>
        <w:lastRenderedPageBreak/>
        <w:t>with mental disabilities: the legal system's inability to recognize the specific forms that power and authority take in care relationships reflects not individual bias but a structural incapacity to interpret disabled women's experiences of violation through frameworks adequate to those experiences.</w:t>
      </w:r>
    </w:p>
    <w:p w14:paraId="4919B68F" w14:textId="77777777" w:rsidR="00D1406E" w:rsidRDefault="00D1406E">
      <w:pPr>
        <w:spacing w:line="480" w:lineRule="auto"/>
      </w:pPr>
    </w:p>
    <w:p w14:paraId="7A7D621D" w14:textId="77777777" w:rsidR="00D1406E" w:rsidRDefault="00990CEE">
      <w:pPr>
        <w:spacing w:line="480" w:lineRule="auto"/>
        <w:ind w:firstLine="720"/>
        <w:jc w:val="both"/>
      </w:pPr>
      <w:r>
        <w:t>The testimonial dimension of this exclusion has been documented empirically by Williams and Jobe (2024) in a qualitative study of people with learning disabilities and autism who reported sexual violence to police and social services in the United Kingdom. Their analysis shows that these individuals encountered a systematic assumption of unreliability: their accounts were filtered through stereotypes attributing confusion, suggestibility, and inconsistency to their diagnostic categories, and assessed against implicit standards of the credible witness that are further complicated by the communication styles associated with neurodivergence or intellectual disability. Crucially, Williams and Jobe (2024) show that the credibility deficit operated through routine professional judgments about competence, consistency, and capacity that presented themselves as neutral assessments of evidence rather than as identity-based discounting.</w:t>
      </w:r>
    </w:p>
    <w:p w14:paraId="3729EE64" w14:textId="77777777" w:rsidR="00D1406E" w:rsidRDefault="00D1406E">
      <w:pPr>
        <w:spacing w:line="480" w:lineRule="auto"/>
      </w:pPr>
    </w:p>
    <w:p w14:paraId="5EAB55E8" w14:textId="77777777" w:rsidR="00D1406E" w:rsidRDefault="00990CEE">
      <w:pPr>
        <w:spacing w:line="480" w:lineRule="auto"/>
        <w:ind w:firstLine="720"/>
        <w:jc w:val="both"/>
      </w:pPr>
      <w:r>
        <w:t xml:space="preserve">The hermeneutical dimension of epistemic injustice is in some ways more insidious, because it operates before disclosure rather than in response to it. For disabled people living within institutional or semi-institutional care arrangements structured by forced intimacy, the interpretive resources for naming sexual violation are often systematically unavailable. When intimate physical contact with carers is a routine feature of daily life, the conceptual boundary between care and violation is blurred at the level of lived experience. Sobsey (1994) identified this dynamic early in the disability violence literature, showing that the patterns of compliance and deference to </w:t>
        <w:lastRenderedPageBreak/>
        <w:t>authority systematically instilled in disabled people in institutional settings simultaneously disable the self-protective responses that violation recognition requires. Dohmen's (2016) concept of intimate hermeneutical injustice captures a further dimension: the injustice is not merely that others fail to understand the disabled person's experience, but that the disabled person themselves may lack access to the interpretive resources that would allow them to understand and communicate it. Peña-Guzmán and Reynolds (2019) identify a related mechanism they term epistemic overconfidence: when a disabled person's report of violation is reframed by a professional as behavioral disturbance or symptom of their condition, the disclosure is rendered unrecognizable as a disclosure at all.</w:t>
      </w:r>
    </w:p>
    <w:p w14:paraId="6E0B8E7A" w14:textId="77777777" w:rsidR="00D1406E" w:rsidRDefault="00D1406E">
      <w:pPr>
        <w:spacing w:line="480" w:lineRule="auto"/>
      </w:pPr>
    </w:p>
    <w:p w14:paraId="4C65DF6C" w14:textId="77777777" w:rsidR="00D1406E" w:rsidRDefault="00990CEE">
      <w:pPr>
        <w:spacing w:line="480" w:lineRule="auto"/>
        <w:ind w:firstLine="720"/>
        <w:jc w:val="both"/>
      </w:pPr>
      <w:r>
        <w:t>The concept of institutional betrayal (Smith &amp; Freyd, 2013, 2014) adds a further and largely under-theorized dimension to this analysis. Institutional betrayal designates the harm inflicted by an institution on individuals who depend on it and trust it to act in their interests — harm that takes the form not only of failing to prevent abuse but of actively creating conditions in which abuse is more likely, normalizing the contexts in which it occurs, making reporting difficult or punitive, and responding inadequately when reports are made. The relevance for disabled people in institutional and semi-institutional care settings is structural and immediate, yet it has been developed more fully within the disability studies literature than within feminist social work scholarship on gender-based violence, where it remains comparatively underdeveloped.</w:t>
      </w:r>
    </w:p>
    <w:p w14:paraId="7B390ADF" w14:textId="77777777" w:rsidR="00D1406E" w:rsidRDefault="00D1406E">
      <w:pPr>
        <w:spacing w:line="480" w:lineRule="auto"/>
      </w:pPr>
    </w:p>
    <w:p w14:paraId="566308A4" w14:textId="77777777" w:rsidR="00D1406E" w:rsidRDefault="00990CEE">
      <w:pPr>
        <w:spacing w:line="480" w:lineRule="auto"/>
        <w:ind w:firstLine="720"/>
        <w:jc w:val="both"/>
      </w:pPr>
      <w:r>
        <w:t xml:space="preserve">The institutional arrangements that disabled people navigate share the defining features that Freyd identifies as conditions for institutional betrayal: they are environments of dependency and trust with strong incentives to protect their own reputation, and they routinely position the </w:t>
        <w:lastRenderedPageBreak/>
        <w:t>accounts of disabled residents as less authoritative than the professional judgments of staff. In the continental European medico-social context, these dynamics take specific forms shaped by the tradition of specialized residential institutions serving large populations and the relative weakness of independent advocacy and external oversight mechanisms (Revillard, 2020; Ville et al., 2020). Our own multi-method fieldwork in French and Belgian medico-social settings (semi-structured interviews, analysis of internal reporting protocols, and field journals from longitudinal immersion, presented as composite reconstructions to protect anonymity) documents this configuration recurring across both national reporting systems (Authors, under review). Three mechanisms operate together. Possible signs of violation are absorbed into the explanatory reservoir of the disability itself: a bruise is reattributed to the resident’s known self-injurious movements, a change in behaviour to their syndrome or medication, so that observations that would prompt concern in a non-disabled person are neutralised before they circulate. A disabled person’s own account is pre-emptively disqualified by invoking their cognitive or communicative limitations. And where concern does surface, responsibility for acting diffuses: each professional assumes a colleague will report, the matter is noted in a file rather than escalated, and no formal signalement follows. The institution thereby protects the continuity of the care relationship and its own reputation before it protects the resident: the precise inversion that institutional betrayal names, holding across two jurisdictions with different statutory reporting duties. Thiara and colleagues' (2012) study of disabled women experiencing domestic violence in British social care settings documents how these institutional dynamics operate at the interpersonal level: social workers and care managers systematically prioritized the continuation of care arrangements over the protection of women from violence, managing disclosure in ways that protected institutional relationships rather than survivor wellbeing.</w:t>
      </w:r>
    </w:p>
    <w:p w14:paraId="304F708B" w14:textId="77777777" w:rsidR="00D1406E" w:rsidRDefault="00D1406E">
      <w:pPr>
        <w:spacing w:line="480" w:lineRule="auto"/>
      </w:pPr>
    </w:p>
    <w:p w14:paraId="729D4CB9" w14:textId="77777777" w:rsidR="00D1406E" w:rsidRDefault="00990CEE">
      <w:pPr>
        <w:spacing w:line="480" w:lineRule="auto"/>
        <w:ind w:firstLine="720"/>
        <w:jc w:val="both"/>
      </w:pPr>
      <w:r>
        <w:t>Together, these mechanisms — testimonial injustice, hermeneutical injustice, intimate hermeneutical injustice, institutional betrayal, and epistemic overconfidence — constitute an interlocking system of epistemic silencing that operates largely beneath the threshold of conscious intent. The silencing is structural, reproduced through ordinary professional practice, ordinary institutional self-protection, and ordinary applications of the normative hierarchies between disabled and non-disabled knowers that compulsory able-bodiedness underwrites. Social workers occupy a position within this epistemic system that is neither neutral nor fixed: they are simultaneously among the professionals most likely to encounter disabled people at risk or in the aftermath of violation, and among those most thoroughly embedded in the institutional arrangements that produce epistemic silencing. The following section examines what this positioning requires.</w:t>
      </w:r>
    </w:p>
    <w:p w14:paraId="1795594F" w14:textId="77777777" w:rsidR="00D1406E" w:rsidRDefault="00990CEE">
      <w:pPr>
        <w:pStyle w:val="Titre1"/>
      </w:pPr>
      <w:r>
        <w:t>Feminist Social Work as Site of Reproduction and Resistance</w:t>
      </w:r>
    </w:p>
    <w:p w14:paraId="578FE82A" w14:textId="77777777" w:rsidR="00D1406E" w:rsidRDefault="00990CEE">
      <w:pPr>
        <w:spacing w:line="480" w:lineRule="auto"/>
        <w:ind w:firstLine="720"/>
        <w:jc w:val="both"/>
      </w:pPr>
      <w:r>
        <w:lastRenderedPageBreak/>
        <w:t xml:space="preserve">Having analyzed the normative and epistemic systems that produce sexual violence against disabled people, this third section turns to feminist social work itself, not as an external solution but as a practice internally traversed by those systems, one that must reckon with its own disablist logics before it can become a site of genuine resistance.</w:t>
      </w:r>
    </w:p>
    <w:p w14:paraId="578FE82B" w14:textId="77777777" w:rsidR="00D1406E" w:rsidRDefault="00990CEE">
      <w:pPr>
        <w:spacing w:line="480" w:lineRule="auto"/>
        <w:ind w:firstLine="720"/>
        <w:jc w:val="both"/>
      </w:pPr>
      <w:r>
        <w:t>Consider, by way of orientation, the trajectory of a disclosure that this article is meant to make analytically legible. A woman in her thirties with a moderate intellectual disability has lived for fourteen years in a Belgian residential service. Daily care includes assistance with showering, dressing, transfers, and menstrual management; the same handful of workers provide this care on rotating shifts. Over a period of months, one worker’s contact begins to exceed what those tasks require. The woman tells another resident, then a day-program worker, that he “touches her wrongly.” The institution’s protocol routes the disclosure to her case manager, who knows the worker professionally and has, on prior occasions, attributed the woman’s statements about interpersonal events to confusion or to the volatility associated with her diagnosis. The case manager re-reads the disclosure through this prior interpretive frame: as a possible misperception of necessary care, as a likely conflict between resident and worker that requires mediation, as a candidate for closer behavioural monitoring rather than for safeguarding investigation. The worker remains in post during the assessment. The woman, asked to clarify her account in successive interviews structured by professional vocabularies she does not share, becomes less consistent and more distressed; this is recorded as further evidence of unreliability. The case is closed without further action. This trajectory is composite rather than singular, and its features are documented across the literature on institutional sexual violence (Hollomotz, 2011; Sobsey, 1994; Thiara et al., 2012) and in publicly available inspection and audit reports from Belgian and French regulators (Courteau et al., 2019). It is not exceptional. It is the routine product of three systems working in concert: the normative condition of forced intimacy that makes the worker’s excess legible as continuous with legitimate care; the epistemic system that distributes credibility to professional judgment and away from the resident’s account; the professional system that absorbs the disclosure into institutional self-management. The remainder of this section traces, in feminist social work specifically, the mechanisms by which this absorption occurs — and the conditions under which it might be refused.</w:t>
      </w:r>
    </w:p>
    <w:p w14:paraId="46CA8380" w14:textId="77777777" w:rsidR="00D1406E" w:rsidRDefault="00D1406E">
      <w:pPr>
        <w:spacing w:line="480" w:lineRule="auto"/>
      </w:pPr>
    </w:p>
    <w:p w14:paraId="6223A315" w14:textId="77777777" w:rsidR="00D1406E" w:rsidRDefault="00990CEE">
      <w:pPr>
        <w:spacing w:line="480" w:lineRule="auto"/>
        <w:ind w:firstLine="720"/>
        <w:jc w:val="both"/>
      </w:pPr>
      <w:r>
        <w:t>The foundational feminist disability scholarship on which this section draws, exemplified by Garland-Thomson's (1997, 2005) field-defining work, insists that the relationship between feminism and disability is not additive but transformative. Wendell (1989, 1996) argues that taking disabled experience seriously as a theoretical resource requires feminism to revise its own assumptions about autonomy, productivity, and the normative body. Morris (1991) extends this argument by demonstrating that the values of independence and self-determination that feminist social work has championed are themselves organized around an able-bodied norm: when independence is understood as freedom from reliance on others, it implicitly devalues the interdependence that characterizes disabled life. Thomas's (1999) concept of disablism, the social imposition of restrictions on disabled people's activity and the undermining of their psycho-emotional wellbeing, provides the conceptual bridge between structural analysis and relational practice.</w:t>
      </w:r>
    </w:p>
    <w:p w14:paraId="0C3457D1" w14:textId="77777777" w:rsidR="00D1406E" w:rsidRDefault="00D1406E">
      <w:pPr>
        <w:spacing w:line="480" w:lineRule="auto"/>
      </w:pPr>
    </w:p>
    <w:p w14:paraId="4F1991B7" w14:textId="77777777" w:rsidR="00D1406E" w:rsidRDefault="00990CEE">
      <w:pPr>
        <w:spacing w:line="480" w:lineRule="auto"/>
        <w:ind w:firstLine="720"/>
        <w:jc w:val="both"/>
      </w:pPr>
      <w:r>
        <w:t xml:space="preserve">Reeve's (2002, 2012, 2014) development of the concept of psycho-emotional disablism names this relational dimension with particular precision. Drawing on Foucault's analysis of normalization and on Honneth's theory of recognition, Reeve argues that disablist oppression </w:t>
        <w:lastRenderedPageBreak/>
        <w:t>operates through interpersonal interactions and internalized self-perceptions: the experience of being spoken over, treated as less than fully competent, or having one's judgments systematically subordinated to those of professionals. Social workers, despite professional commitments to empowerment and anti-oppressive practice, routinely enact psycho-emotional disablism through the ordinary conduct of professional relationships: through communication styles that address carers rather than disabled people themselves, through assessment frameworks that center functional deficits rather than capacities and preferences. Reeve (2012) argues explicitly that social work education must introduce the concept of recognition as a foundational relational competency. In the context of sexual violence, the consequences of failing to develop this competency are severe: a disabled person whose account of violation is met with doubt or redirected toward care needs encounters in the social work relationship a replication of the epistemic silencing analyzed in the previous section.</w:t>
      </w:r>
    </w:p>
    <w:p w14:paraId="22F7FA71" w14:textId="77777777" w:rsidR="00D1406E" w:rsidRDefault="00D1406E">
      <w:pPr>
        <w:spacing w:line="480" w:lineRule="auto"/>
      </w:pPr>
    </w:p>
    <w:p w14:paraId="1E4F762D" w14:textId="77777777" w:rsidR="00D1406E" w:rsidRDefault="00990CEE">
      <w:pPr>
        <w:spacing w:line="480" w:lineRule="auto"/>
        <w:ind w:firstLine="720"/>
        <w:jc w:val="both"/>
      </w:pPr>
      <w:r>
        <w:t>The forced intimacy thread is directly relevant here. When social workers have been trained within frameworks that understand intimate physical contact as a legitimate and necessary feature of care work, they are structurally ill-equipped to recognize the same dynamics as conditions of violation when they occur within care relationships. Thiara and colleagues (2012) document this dynamic with particular clarity: the social workers in their study were not indifferent to the wellbeing of the disabled women they supported, but the organizational frameworks within which they operated consistently prioritized the maintenance of care arrangements over the protection of women from violence. The problem was not individual callousness but structural capture — the absorption of professional judgment into institutional interests that institutional betrayal theory identifies as a primary mechanism of betrayal.</w:t>
      </w:r>
    </w:p>
    <w:p w14:paraId="69756DDE" w14:textId="77777777" w:rsidR="00D1406E" w:rsidRDefault="00D1406E">
      <w:pPr>
        <w:spacing w:line="480" w:lineRule="auto"/>
      </w:pPr>
    </w:p>
    <w:p w14:paraId="5904CF77" w14:textId="77777777" w:rsidR="00D1406E" w:rsidRDefault="00990CEE">
      <w:pPr>
        <w:spacing w:line="480" w:lineRule="auto"/>
        <w:ind w:firstLine="720"/>
        <w:jc w:val="both"/>
      </w:pPr>
      <w:r>
        <w:t>The curative logics that Graziano (2026) identifies in caring professions constitute a second mechanism of reproduction that feminist social work must confront. Drawing on McRuer's (2006) analysis of compulsory able-bodiedness, Graziano demonstrates that caring professions are organized around an implicit telos of restoration to normalcy — a telos that positions the disabled person as a problem to be solved rather than as a person whose life as currently lived has value and whose bodily self-determination deserves respect. Kafer's (2013) analysis of curative time is directly applicable here: when the goal of social work intervention is to move the disabled person along a trajectory toward approximating non-disabled norms, the disabled person's own assessment of their situation — including their assessment of risk, violation, and harm — is systematically subordinated to professional judgments about what a person at their level of functioning can reliably perceive and report.</w:t>
      </w:r>
    </w:p>
    <w:p w14:paraId="2897DEB3" w14:textId="77777777" w:rsidR="00D1406E" w:rsidRDefault="00D1406E">
      <w:pPr>
        <w:spacing w:line="480" w:lineRule="auto"/>
      </w:pPr>
    </w:p>
    <w:p w14:paraId="65474407" w14:textId="77777777" w:rsidR="00D1406E" w:rsidRDefault="00990CEE">
      <w:pPr>
        <w:spacing w:line="480" w:lineRule="auto"/>
        <w:ind w:firstLine="720"/>
        <w:jc w:val="both"/>
      </w:pPr>
      <w:r>
        <w:t>The intersection of race and disability introduces a further dimension that feminist social work cannot address through a disability-only lens. Schalk's (2022) analysis of Black disability politics demonstrates that the organizations most effectively challenging the conditions producing disabled people's vulnerability to violence have been those that understood racial justice and disability justice as inseparable struggles. Kim's (2017) crip-of-color critique insists that disability justice is most powerful when it functions not as an identity but as a methodology — a way of analyzing the production of vulnerability across multiple axes of power simultaneously. This methodological orientation is precisely what feminist social work needs in order to develop practice adequate to the intersectional realities of the disabled people it encounters.</w:t>
      </w:r>
    </w:p>
    <w:p w14:paraId="7A09B9EC" w14:textId="77777777" w:rsidR="00D1406E" w:rsidRDefault="00D1406E">
      <w:pPr>
        <w:spacing w:line="480" w:lineRule="auto"/>
      </w:pPr>
    </w:p>
    <w:p w14:paraId="622E9CD3" w14:textId="77777777" w:rsidR="00D1406E" w:rsidRDefault="00990CEE">
      <w:pPr>
        <w:spacing w:line="480" w:lineRule="auto"/>
        <w:ind w:firstLine="720"/>
        <w:jc w:val="both"/>
      </w:pPr>
      <w:r>
        <w:lastRenderedPageBreak/>
        <w:t>Wright and Manuel's (2024) work on cripping and queering gender-based violence prevention constitutes the most sustained attempt in the recent literature to translate these theoretical commitments into concrete practice implications. Their analysis demonstrates that mainstream gender-based violence prevention frameworks reproduce the able-bodied norm by centering subjects assumed to have unimpaired access to information, resources, and exit options — rendering disabled survivors structurally invisible within prevention and response systems designed without them. More generatively, they argue that disability justice principles offer a substantively different framework: one that begins with interdependence rather than autonomy as the foundational value, that centers collective access rather than individual resilience as the goal, and that treats the dismantling of forced intimacy and institutional dependency as primary prevention.</w:t>
      </w:r>
    </w:p>
    <w:p w14:paraId="314341DD" w14:textId="77777777" w:rsidR="00D1406E" w:rsidRDefault="00D1406E">
      <w:pPr>
        <w:spacing w:line="480" w:lineRule="auto"/>
      </w:pPr>
    </w:p>
    <w:p w14:paraId="7C4294BF" w14:textId="77777777" w:rsidR="00D1406E" w:rsidRDefault="00990CEE">
      <w:pPr>
        <w:spacing w:line="480" w:lineRule="auto"/>
        <w:ind w:firstLine="720"/>
        <w:jc w:val="both"/>
      </w:pPr>
      <w:r>
        <w:t>The ten principles of disability justice articulated by the Sins Invalid collective (Berne et al., 2018) provide the most developed framework for translating this orientation into practice. Three principles are particularly salient for feminist social work engaging with sexual violence. The principle of intersectionality insists that disability cannot be analyzed or addressed in isolation from race, gender, class, and other axes of power. The principle of collective access challenges the individualized accommodation model that currently structures most disability-related social work intervention — a model that reproduces the isolation and dependency that create conditions for violation — in favor of arrangements that build shared access into the design of services from the outset. The principle of cross-movement solidarity insists that the struggle against sexual violence and the struggle against disablist oppression are not parallel movements addressing separate populations but interconnected struggles whose separation weakens both.</w:t>
      </w:r>
    </w:p>
    <w:p w14:paraId="21515EF2" w14:textId="77777777" w:rsidR="00D1406E" w:rsidRDefault="00D1406E">
      <w:pPr>
        <w:spacing w:line="480" w:lineRule="auto"/>
      </w:pPr>
    </w:p>
    <w:p w14:paraId="49B4319F" w14:textId="77777777" w:rsidR="00D1406E" w:rsidRDefault="00990CEE">
      <w:pPr>
        <w:spacing w:line="480" w:lineRule="auto"/>
        <w:ind w:firstLine="720"/>
        <w:jc w:val="both"/>
      </w:pPr>
      <w:r>
        <w:t>Mingus's concept of access intimacy offers a final and generative resource for thinking about what a crip feminist social work relationship might concretely involve. Where forced intimacy names the structural violence of compelled bodily access, access intimacy names its structural opposite (Price, 2024): the quality of a relationship or environment in which a disabled person's access needs are understood, anticipated, and met without requiring the person to expose, explain, or justify themselves. In the context of sexual violence response, access intimacy describes what a social work relationship would need to offer a disabled survivor: the creation of conditions in which their knowledge of their own experience is received as authoritative. Piepzna-Samarasinha's (2018) concept of care webs extends this framework through an image of what care organized around interdependence rather than professional authority might actually look like, and a measure of how far current social work practice remains from that image.</w:t>
      </w:r>
    </w:p>
    <w:p w14:paraId="20E07416" w14:textId="77777777" w:rsidR="00D1406E" w:rsidRDefault="00990CEE">
      <w:pPr>
        <w:pStyle w:val="Titre1"/>
      </w:pPr>
      <w:r>
        <w:t>Discussion: Implications for Practice, Education, and Epistemology</w:t>
      </w:r>
    </w:p>
    <w:p w14:paraId="5DD222DE" w14:textId="77777777" w:rsidR="00D1406E" w:rsidRDefault="00990CEE">
      <w:pPr>
        <w:spacing w:line="480" w:lineRule="auto"/>
        <w:ind w:firstLine="720"/>
        <w:jc w:val="both"/>
      </w:pPr>
      <w:r>
        <w:t>Having developed a structural analysis of sexual violence against disabled people as the joint product of normative, epistemic, and professional systems, we now draw out its implications for social work education, practice, and the epistemological project of intersectional feminist social work.</w:t>
      </w:r>
    </w:p>
    <w:p w14:paraId="6190854C" w14:textId="77777777" w:rsidR="00D1406E" w:rsidRDefault="00D1406E">
      <w:pPr>
        <w:spacing w:line="480" w:lineRule="auto"/>
      </w:pPr>
    </w:p>
    <w:p w14:paraId="0056AEF9" w14:textId="77777777" w:rsidR="00D1406E" w:rsidRDefault="00990CEE">
      <w:pPr>
        <w:spacing w:line="480" w:lineRule="auto"/>
        <w:ind w:firstLine="720"/>
        <w:jc w:val="both"/>
      </w:pPr>
      <w:r>
        <w:t xml:space="preserve">The first implication concerns the framing of vulnerability in social work education and training. If exposure to sexual violence is produced by structural arrangements rather than </w:t>
        <w:lastRenderedPageBreak/>
        <w:t>individual characteristics, then the professional formation of social workers must equip practitioners to analyze those arrangements rather than to manage the characteristics of at-risk individuals. This means moving away from risk assessment frameworks that center impairment as the primary variable toward ecological and structural analyses that examine the care arrangements, institutional cultures, and normative environments surrounding disabled people. It means introducing crip theory and disability justice frameworks into social work curricula not as specialized content for disability services practitioners but as foundational analytical tools for all social workers. And it means developing pedagogical approaches that invite social work students to examine their own investments in curative logics and normative corporeality — not through individualized reflection alone, but through structural analysis of the professional and institutional frameworks in which those logics are embedded (Dominelli, 2002).</w:t>
      </w:r>
    </w:p>
    <w:p w14:paraId="18832B53" w14:textId="77777777" w:rsidR="00D1406E" w:rsidRDefault="00D1406E">
      <w:pPr>
        <w:spacing w:line="480" w:lineRule="auto"/>
      </w:pPr>
    </w:p>
    <w:p w14:paraId="7B21D0B6" w14:textId="77777777" w:rsidR="00D1406E" w:rsidRDefault="00990CEE">
      <w:pPr>
        <w:spacing w:line="480" w:lineRule="auto"/>
        <w:ind w:firstLine="720"/>
        <w:jc w:val="both"/>
      </w:pPr>
      <w:r>
        <w:t xml:space="preserve">The second implication concerns the intersectional specificity of disclosure practice. Feminist social work has developed extensive knowledge about trauma-informed, survivor-centered disclosure practice in the context of gender-based violence (Fook, 2002; Lonsway &amp; Archambault, 2012); this knowledge needs to be systematically extended by engagement with disability justice frameworks and with the intersectional realities that Williams and Jobe (2024), Benedet and Grant (2007, 2014), and Kim (2017) document. Concretely, this means training practitioners to recognize and suspend the credibility hierarchies that position their own professional interpretations as more reliable than disabled people's accounts of their experience; to create communication conditions that are genuinely accessible rather than nominally accommodating; and to understand disclosure not as a discrete event to be assessed but as a relational process shaped by the power dynamics of the professional relationship itself. Access </w:t>
        <w:lastRenderedPageBreak/>
        <w:t>intimacy is not a communication technique; it is the quality of a professional relationship in which a disabled person's epistemic authority over their own experience is consistently affirmed.</w:t>
      </w:r>
    </w:p>
    <w:p w14:paraId="5B50E237" w14:textId="77777777" w:rsidR="00D1406E" w:rsidRDefault="00D1406E">
      <w:pPr>
        <w:spacing w:line="480" w:lineRule="auto"/>
      </w:pPr>
    </w:p>
    <w:p w14:paraId="49032CE0" w14:textId="77777777" w:rsidR="00D1406E" w:rsidRDefault="00990CEE">
      <w:pPr>
        <w:spacing w:line="480" w:lineRule="auto"/>
        <w:ind w:firstLine="720"/>
        <w:jc w:val="both"/>
      </w:pPr>
      <w:r>
        <w:t>The third implication concerns institutional accountability — and it is here that the continental European context introduces specificities that the Anglophone literature does not fully address. In the medico-social systems of Belgium and France, where large residential institutions continue to provide the primary infrastructure of support for many disabled people and where independent advocacy mechanisms remain underdeveloped relative to Anglophone contexts (Revillard, 2020; Ville et al., 2020), the institutional dimension of the problem is particularly acute. Challenging institutional betrayal in these contexts requires supporting the development of independent, external, and genuinely accessible reporting mechanisms; contesting the organizational cultures and incentive structures that produce bystander silence among staff; and insisting on the meaningful inclusion of disabled people in the design and evaluation of safeguarding systems. Concrete reference points exist in adjacent jurisdictions and could be tested in continental medico-social settings. Provincial and state-level patient and resident advocate offices in Canada and the United States, for example, occupy a structural position outside the provider organization and have a statutory mandate to investigate complaints, audit conditions, and escalate concerns to oversight authorities; comparable mechanisms in Belgium and France remain limited largely to internal complaint procedures and ombudsperson functions whose independence is contested. Some statutory resources nonetheless already exist and could be strengthened and made genuinely accessible: in France, the loi 2002-2 rénovant l’action sociale et médico-sociale established users’ rights instruments (a charte des droits et libertés, a conseil de la vie sociale, and a personne qualifiée whom users may call on to assert their rights), while the Défenseur des droits offers an independent avenue for complaints of rights violations and discrimination and the Contrôleur général des lieux de privation de liberté monitors settings involving deprivation of liberty. The limitation is less the absence of such instruments than their uneven implementation, their weak independence from provider organizations, and their limited accessibility to residents with intellectual or communication disabilities. Resident councils with binding consultation rights on safeguarding policy, of the kind familiar in some Nordic and Anglophone long-term care contexts, would address the systematic exclusion of disabled people from the design of the systems within which they live. Disabled-led monitoring bodies — such as those that emerged from the Canadian Huronia survivor advocacy and from UK self-advocacy networks following Winterbourne View — offer further models in which disabled people, rather than provider organizations, hold investigative authority. The point of citing these mechanisms is not to import them uncritically: each was shaped by a specific political and legal context, and their transposition into Belgian and French medico-social settings would require attention to organizational structures, funding regimes, and the distribution of public and private provider authority. The point is that the absence of such mechanisms in continental medico-social systems is contingent rather than necessary, and that feminist social work in Belgium and France can take their development as a concrete object of advocacy, research, and practice rather than treating institutional accountability as a horizon left unfilled by the Anglophone literature.</w:t>
      </w:r>
    </w:p>
    <w:p w14:paraId="19DD5F80" w14:textId="77777777" w:rsidR="00D1406E" w:rsidRDefault="00D1406E">
      <w:pPr>
        <w:spacing w:line="480" w:lineRule="auto"/>
      </w:pPr>
    </w:p>
    <w:p w14:paraId="5CA567F9" w14:textId="77777777" w:rsidR="00D1406E" w:rsidRDefault="00990CEE">
      <w:pPr>
        <w:spacing w:line="480" w:lineRule="auto"/>
        <w:ind w:firstLine="720"/>
        <w:jc w:val="both"/>
      </w:pPr>
      <w:r>
        <w:t xml:space="preserve">The fourth implication is epistemological, and in some ways the most fundamental. The analysis developed in this article depends on a commitment to what Garland-Thomson (2002) calls the integration of disability into feminist theory — not as an addendum to an already-constituted framework but as a transformation of the framework itself. When disability is taken seriously as a category of analysis rather than a population characteristic, it reveals the able-bodied assumptions embedded in concepts — vulnerability, autonomy, resilience, empowerment — that feminist social work has treated as foundational. Collins and Bilge's (2020) intersectionality framework provides </w:t>
        <w:lastRenderedPageBreak/>
        <w:t>the methodological tools for this transformation, but only if disability is treated as a full axis of power analysis rather than as an afterthought appended to analyses of race, gender, and class.</w:t>
      </w:r>
    </w:p>
    <w:p w14:paraId="50929752" w14:textId="77777777" w:rsidR="00D1406E" w:rsidRDefault="00D1406E">
      <w:pPr>
        <w:spacing w:line="480" w:lineRule="auto"/>
      </w:pPr>
    </w:p>
    <w:p w14:paraId="22C3F2CB" w14:textId="77777777" w:rsidR="00D1406E" w:rsidRDefault="00990CEE">
      <w:pPr>
        <w:spacing w:line="480" w:lineRule="auto"/>
        <w:ind w:firstLine="720"/>
        <w:jc w:val="both"/>
      </w:pPr>
      <w:r>
        <w:t>This epistemological commitment has implications for research as well as practice. The literature reviewed in this article is almost entirely Anglophone, and predominantly produced in North American and British contexts. The francophone scholarship on disability, gender, and violence, which is growing rapidly as the recent work of Bouchet and colleagues (2025) and Revillard (2020) demonstrates, has not yet systematically engaged with crip theory or disability justice frameworks. Future work needs to develop the structural analysis proposed here in dialogue with these contexts, attending to the specific forms that institutional betrayal takes in medico-social systems organized around different logics of disability governance, and to the emerging francophone theorization of capacitisme and validisme (Masson, 2013; Puiseux, 2022) as analytical resources that are not simply translations of Anglophone frameworks but reflections of distinct political and intellectual traditions. Situating the analysis transnationally, rather than universalizing a single national model, also responds to longstanding calls to decolonize disability studies and to attend to the global circuits of debility, austerity, and disablement (McRuer, 2018; Meekosha, 2011).</w:t>
      </w:r>
    </w:p>
    <w:p w14:paraId="52460C98" w14:textId="77777777" w:rsidR="00D1406E" w:rsidRDefault="00D1406E">
      <w:pPr>
        <w:spacing w:line="480" w:lineRule="auto"/>
      </w:pPr>
    </w:p>
    <w:p w14:paraId="645DFB8E" w14:textId="77777777" w:rsidR="00D1406E" w:rsidRDefault="00990CEE">
      <w:pPr>
        <w:spacing w:line="480" w:lineRule="auto"/>
        <w:ind w:firstLine="720"/>
        <w:jc w:val="both"/>
      </w:pPr>
      <w:r>
        <w:t xml:space="preserve">A final implication concerns the question, increasingly explicit within critical disability studies and critical social work, of whether the response to institutional violence should be reformist or abolitionist. The literature on which this article draws is itself divided. Reformist positions seek to make existing institutions less violent through better training, stronger safeguarding mechanisms, independent advocacy, and survivor-centered disclosure practice. Abolitionist positions, articulated most forcefully in the disability justice and Mad Studies traditions and elaborated in social work by scholars such as Ben-Moshe (2020) and Chapman and Withers (2019), argue that institutions structured by forced intimacy, dependency, and professional authority cannot be reformed in ways that durably remove the conditions of violation, and that the work to be done is the dismantling of large residential and semi-institutional infrastructures and their replacement by community-based, disabled-led, interdependent forms of support (Piepzna-Samarasinha, 2018; Sins Invalid, 2018). Our argument does not require that this debate be resolved within a single article. It does, however, require that feminist social work hold the question open rather than default to reformist common sense. The implications we draw in this section — for education, disclosure practice, and institutional accountability — are reformist in scope and operate within existing institutional landscapes; we name them as such. They are necessary insofar as disabled people continue to live within those landscapes today; they are insufficient insofar as the abolitionist analysis of how those landscapes produce violence is correct. Cripping feminist social work, in this sense, includes refusing the choice between accepting institutions as given and treating their dismantling as someone else’s political project.</w:t>
      </w:r>
    </w:p>
    <w:p w14:paraId="645DFB8F" w14:textId="77777777" w:rsidR="00D1406E" w:rsidRDefault="00990CEE">
      <w:pPr>
        <w:spacing w:line="480" w:lineRule="auto"/>
        <w:ind w:firstLine="720"/>
        <w:jc w:val="both"/>
      </w:pPr>
      <w:r>
        <w:t xml:space="preserve">We conclude by returning to the core claim of this article: that sexual violence against disabled people is not a problem of individual vulnerability requiring protective management, but a structural problem requiring structural analysis and structural transformation. The concept of forced intimacy threads through all three systems, at once describing the conditions that produce exposure and naming what feminist social work must learn to recognize and contest: compulsory able-bodiedness produces it as a structural feature of disabled life, its routinization blurs the boundaries through which violation would be recognized, and curative professional cultures actively </w:t>
        <w:lastRenderedPageBreak/>
        <w:t>normalize forced intimacy as a condition of care rather than a condition of violence. Breaking this thread requires more than better training or improved safeguarding procedure; it requires the kind of structural, intersectional, and epistemologically committed feminist praxis that crip theory and disability justice make possible.</w:t>
      </w:r>
    </w:p>
    <w:p w14:paraId="04887CB6" w14:textId="77777777" w:rsidR="00D1406E" w:rsidRDefault="00D1406E">
      <w:pPr>
        <w:spacing w:line="480" w:lineRule="auto"/>
      </w:pPr>
    </w:p>
    <w:p w14:paraId="03250AD8" w14:textId="77777777" w:rsidR="00D1406E" w:rsidRDefault="00990CEE">
      <w:pPr>
        <w:spacing w:line="480" w:lineRule="auto"/>
        <w:ind w:firstLine="720"/>
        <w:jc w:val="both"/>
      </w:pPr>
      <w:r>
        <w:t>Cripping feminist social work is not a specialization. It is a commitment: to the disabled people whose experiences of violation have been systematically rendered invisible, to the intersectional feminist values that the field claims as its foundation, and to the structural transformation without which those values remain aspirational rather than realized.</w:t>
      </w:r>
    </w:p>
    <w:p w14:paraId="3F1DA0D7" w14:textId="77777777" w:rsidR="00D1406E" w:rsidRDefault="00D1406E">
      <w:pPr>
        <w:pageBreakBefore/>
      </w:pPr>
    </w:p>
    <w:p w14:paraId="6EB01D90" w14:textId="77777777" w:rsidR="00D1406E" w:rsidRDefault="00990CEE">
      <w:pPr>
        <w:pStyle w:val="Titre1"/>
      </w:pPr>
      <w:r>
        <w:t>References</w:t>
      </w:r>
    </w:p>
    <w:p w14:paraId="0AAA0003" w14:textId="77777777" w:rsidR="00D1406E" w:rsidRDefault="00990CEE">
      <w:pPr>
        <w:spacing w:line="480" w:lineRule="auto"/>
        <w:ind w:left="720" w:hanging="720"/>
        <w:jc w:val="both"/>
      </w:pPr>
      <w:r>
        <w:t>Authors. (2018). Article on the redistribution of testimonial authority in disability mobilizations [details withheld to preserve blind review].</w:t>
      </w:r>
    </w:p>
    <w:p w14:paraId="0AAA0004" w14:textId="77777777" w:rsidR="00D1406E" w:rsidRDefault="00D1406E">
      <w:pPr>
        <w:spacing w:line="480" w:lineRule="auto"/>
      </w:pPr>
    </w:p>
    <w:p w14:paraId="0AAA0001" w14:textId="77777777" w:rsidR="00D1406E" w:rsidRDefault="00990CEE">
      <w:pPr>
        <w:spacing w:line="480" w:lineRule="auto"/>
        <w:ind w:left="720" w:hanging="720"/>
        <w:jc w:val="both"/>
      </w:pPr>
      <w:r>
        <w:t>Authors. (under review). Title and details withheld to preserve blind peer review.</w:t>
      </w:r>
    </w:p>
    <w:p w14:paraId="0AAA0002" w14:textId="77777777" w:rsidR="00D1406E" w:rsidRDefault="00D1406E">
      <w:pPr>
        <w:spacing w:line="480" w:lineRule="auto"/>
      </w:pPr>
    </w:p>
    <w:p w14:paraId="11AAA001" w14:textId="77777777" w:rsidR="00D1406E" w:rsidRDefault="00990CEE">
      <w:pPr>
        <w:spacing w:line="480" w:lineRule="auto"/>
        <w:ind w:left="720" w:hanging="720"/>
        <w:jc w:val="both"/>
      </w:pPr>
      <w:r>
        <w:t xml:space="preserve">Annamma, S. A., Connor, D., &amp; Ferri, B. (2013). Dis/ability critical race studies (DisCrit): Theorizing at the intersections of race and dis/ability. </w:t>
      </w:r>
      <w:r>
        <w:rPr>
          <w:i/>
        </w:rPr>
        <w:t>Race Ethnicity and Education, 16</w:t>
      </w:r>
      <w:r>
        <w:t>(1), 1–31. https://doi.org/10.1080/13613324.2012.730511</w:t>
      </w:r>
    </w:p>
    <w:p w14:paraId="11AAA002" w14:textId="77777777" w:rsidR="00D1406E" w:rsidRDefault="00D1406E">
      <w:pPr>
        <w:spacing w:line="480" w:lineRule="auto"/>
      </w:pPr>
    </w:p>
    <w:p w14:paraId="756B1CC3" w14:textId="77777777" w:rsidR="00D1406E" w:rsidRDefault="00990CEE">
      <w:pPr>
        <w:spacing w:line="480" w:lineRule="auto"/>
        <w:ind w:left="720" w:hanging="720"/>
        <w:jc w:val="both"/>
      </w:pPr>
      <w:r>
        <w:t>Arsenault-Gallant, H. (2025). Uncovering ableism in Martha Fineman's ontological vulnerability and resilience theory: A critical disability theory perspective. Critical Disability Discourses, 10(1). https://cdd.journals.yorku.ca/index.php/cdd/article/view/39776</w:t>
      </w:r>
    </w:p>
    <w:p w14:paraId="293B63FF" w14:textId="77777777" w:rsidR="00D1406E" w:rsidRDefault="00D1406E">
      <w:pPr>
        <w:spacing w:line="480" w:lineRule="auto"/>
      </w:pPr>
    </w:p>
    <w:p w14:paraId="6677EA8D" w14:textId="77777777" w:rsidR="00D1406E" w:rsidRDefault="00990CEE">
      <w:pPr>
        <w:spacing w:line="480" w:lineRule="auto"/>
        <w:ind w:left="720" w:hanging="720"/>
        <w:jc w:val="both"/>
      </w:pPr>
      <w:r>
        <w:t>Bell, C. (2006). Introducing White disability studies: A modest proposal. In L. J. Davis (Ed.), The disability studies reader (2nd ed., pp. 275-282). Routledge.</w:t>
      </w:r>
    </w:p>
    <w:p w14:paraId="216E16EA" w14:textId="77777777" w:rsidR="00D1406E" w:rsidRDefault="00D1406E">
      <w:pPr>
        <w:spacing w:line="480" w:lineRule="auto"/>
      </w:pPr>
    </w:p>
    <w:p w14:paraId="1771D3DF" w14:textId="77777777" w:rsidR="00D1406E" w:rsidRDefault="00990CEE">
      <w:pPr>
        <w:spacing w:line="480" w:lineRule="auto"/>
        <w:ind w:left="720" w:hanging="720"/>
        <w:jc w:val="both"/>
      </w:pPr>
      <w:r>
        <w:t xml:space="preserve">Ben-Moshe, L. (2020). </w:t>
      </w:r>
      <w:r>
        <w:rPr>
          <w:i/>
        </w:rPr>
        <w:t>Decarcerating disability: Deinstitutionalization and prison abolition</w:t>
      </w:r>
      <w:r>
        <w:t>. University of Minnesota Press.</w:t>
      </w:r>
    </w:p>
    <w:p w14:paraId="11AAA003" w14:textId="77777777" w:rsidR="00D1406E" w:rsidRDefault="00D1406E">
      <w:pPr>
        <w:spacing w:line="480" w:lineRule="auto"/>
      </w:pPr>
    </w:p>
    <w:p w14:paraId="11AAA004" w14:textId="77777777" w:rsidR="00D1406E" w:rsidRDefault="00990CEE">
      <w:pPr>
        <w:spacing w:line="480" w:lineRule="auto"/>
        <w:ind w:left="720" w:hanging="720"/>
        <w:jc w:val="both"/>
      </w:pPr>
      <w:r>
        <w:t xml:space="preserve">Ben-Moshe, L., Chapman, C., &amp; Carey, A. C. (Eds.). (2014). </w:t>
      </w:r>
      <w:r>
        <w:rPr>
          <w:i/>
        </w:rPr>
        <w:t>Disability incarcerated: Imprisonment and disability in the United States and Canada</w:t>
      </w:r>
      <w:r>
        <w:t>. Palgrave Macmillan.</w:t>
      </w:r>
    </w:p>
    <w:p w14:paraId="11AAA005" w14:textId="77777777" w:rsidR="00D1406E" w:rsidRDefault="00D1406E">
      <w:pPr>
        <w:spacing w:line="480" w:lineRule="auto"/>
      </w:pPr>
    </w:p>
    <w:p w14:paraId="11AAA006" w14:textId="77777777" w:rsidR="00D1406E" w:rsidRDefault="00990CEE">
      <w:pPr>
        <w:spacing w:line="480" w:lineRule="auto"/>
        <w:ind w:left="720" w:hanging="720"/>
        <w:jc w:val="both"/>
      </w:pPr>
      <w:r>
        <w:t>Benedet, J., &amp; Grant, I. (2007). Hearing the sexual assault complaints of women with mental disabilities: Consent, capacity, and mistaken belief. McGill Law Journal, 52(2), 243-289.</w:t>
      </w:r>
    </w:p>
    <w:p w14:paraId="04D9C2B8" w14:textId="77777777" w:rsidR="00D1406E" w:rsidRDefault="00D1406E">
      <w:pPr>
        <w:spacing w:line="480" w:lineRule="auto"/>
      </w:pPr>
    </w:p>
    <w:p w14:paraId="310FC2DE" w14:textId="77777777" w:rsidR="00D1406E" w:rsidRDefault="00990CEE">
      <w:pPr>
        <w:spacing w:line="480" w:lineRule="auto"/>
        <w:ind w:left="720" w:hanging="720"/>
        <w:jc w:val="both"/>
      </w:pPr>
      <w:r>
        <w:t>Benedet, J., &amp; Grant, I. (2014). Sexual assault and the meaning of power and authority for women with mental disabilities. Feminist Legal Studies, 22(2), 131-154. https://doi.org/10.1007/s10691-014-9263-3</w:t>
      </w:r>
    </w:p>
    <w:p w14:paraId="44B39710" w14:textId="77777777" w:rsidR="00D1406E" w:rsidRDefault="00D1406E">
      <w:pPr>
        <w:spacing w:line="480" w:lineRule="auto"/>
      </w:pPr>
    </w:p>
    <w:p w14:paraId="11AAB002" w14:textId="77777777" w:rsidR="00D1406E" w:rsidRDefault="00990CEE">
      <w:pPr>
        <w:spacing w:line="480" w:lineRule="auto"/>
        <w:ind w:left="720" w:hanging="720"/>
        <w:jc w:val="both"/>
      </w:pPr>
      <w:r>
        <w:t>Berne, P., Morales, A. L., Langstaff, D., &amp; Sins Invalid. (2018). Ten principles of disability justice. WSQ: Women's Studies Quarterly, 46(1-2), 227-230. https://doi.org/10.1353/wsq.2018.0003</w:t>
      </w:r>
    </w:p>
    <w:p w14:paraId="6574B418" w14:textId="77777777" w:rsidR="00D1406E" w:rsidRDefault="00D1406E">
      <w:pPr>
        <w:spacing w:line="480" w:lineRule="auto"/>
      </w:pPr>
    </w:p>
    <w:p w14:paraId="1A107896" w14:textId="77777777" w:rsidR="00D1406E" w:rsidRDefault="00990CEE">
      <w:pPr>
        <w:spacing w:line="480" w:lineRule="auto"/>
        <w:ind w:left="720" w:hanging="720"/>
        <w:jc w:val="both"/>
      </w:pPr>
      <w:r>
        <w:t>Bouchet, C. (2024). Incorporating disability within intersectional analysis: General challenges and French specificities. French Politics, 22, 1-18. https://doi.org/10.1057/s41253-024-00270-3</w:t>
      </w:r>
    </w:p>
    <w:p w14:paraId="04EEE119" w14:textId="77777777" w:rsidR="00D1406E" w:rsidRDefault="00D1406E">
      <w:pPr>
        <w:spacing w:line="480" w:lineRule="auto"/>
      </w:pPr>
    </w:p>
    <w:p w14:paraId="5DFAF581" w14:textId="77777777" w:rsidR="00D1406E" w:rsidRDefault="00990CEE">
      <w:pPr>
        <w:spacing w:line="480" w:lineRule="auto"/>
        <w:ind w:left="720" w:hanging="720"/>
        <w:jc w:val="both"/>
      </w:pPr>
      <w:r>
        <w:t>Bouchet, C., Boudinet, M., &amp; Couraud, A. (2025). Quand les violences de genre oublient le handicap : éclairage à partir des expériences des femmes handicapées. Terrains &amp; travaux, 46(1), 173-196. https://doi.org/10.3917/tt.046.0173</w:t>
      </w:r>
    </w:p>
    <w:p w14:paraId="7FA93984" w14:textId="77777777" w:rsidR="00D1406E" w:rsidRDefault="00D1406E">
      <w:pPr>
        <w:spacing w:line="480" w:lineRule="auto"/>
      </w:pPr>
    </w:p>
    <w:p w14:paraId="492DEA30" w14:textId="77777777" w:rsidR="00D1406E" w:rsidRDefault="00990CEE">
      <w:pPr>
        <w:spacing w:line="480" w:lineRule="auto"/>
        <w:ind w:left="720" w:hanging="720"/>
        <w:jc w:val="both"/>
      </w:pPr>
      <w:r>
        <w:t>Bouchet, C., Boudinet, M., Koushyar Soucasse, M., &amp; Larrieu, G. (Eds.). (2025). La théorie féministe au défi du handicap : recueil de textes des feminist disability studies. Cambourakis.</w:t>
      </w:r>
    </w:p>
    <w:p w14:paraId="017E1BBE" w14:textId="77777777" w:rsidR="00D1406E" w:rsidRDefault="00D1406E">
      <w:pPr>
        <w:spacing w:line="480" w:lineRule="auto"/>
      </w:pPr>
    </w:p>
    <w:p w14:paraId="11AAC002" w14:textId="77777777" w:rsidR="00D1406E" w:rsidRDefault="00990CEE">
      <w:pPr>
        <w:spacing w:line="480" w:lineRule="auto"/>
        <w:ind w:left="720" w:hanging="720"/>
        <w:jc w:val="both"/>
      </w:pPr>
      <w:r>
        <w:t xml:space="preserve">Castel, R. (1995). </w:t>
      </w:r>
      <w:r>
        <w:rPr>
          <w:i/>
        </w:rPr>
        <w:t>Les métamorphoses de la question sociale : une chronique du salariat</w:t>
      </w:r>
      <w:r>
        <w:t>. Fayard.</w:t>
      </w:r>
    </w:p>
    <w:p w14:paraId="11AAC001" w14:textId="77777777" w:rsidR="00D1406E" w:rsidRDefault="00D1406E">
      <w:pPr>
        <w:spacing w:line="480" w:lineRule="auto"/>
      </w:pPr>
    </w:p>
    <w:p w14:paraId="5B3E1DF3" w14:textId="77777777" w:rsidR="00D1406E" w:rsidRDefault="00990CEE">
      <w:pPr>
        <w:spacing w:line="480" w:lineRule="auto"/>
        <w:ind w:left="720" w:hanging="720"/>
        <w:jc w:val="both"/>
      </w:pPr>
      <w:r>
        <w:t xml:space="preserve">Chapman, C., &amp; Withers, A. J. (2019). </w:t>
      </w:r>
      <w:r>
        <w:rPr>
          <w:i/>
        </w:rPr>
        <w:t>A violent history of benevolence: Interlocking oppression in the moral economies of social working</w:t>
      </w:r>
      <w:r>
        <w:t>. University of Toronto Press.</w:t>
      </w:r>
    </w:p>
    <w:p w14:paraId="11AAC003" w14:textId="77777777" w:rsidR="00D1406E" w:rsidRDefault="00D1406E">
      <w:pPr>
        <w:spacing w:line="480" w:lineRule="auto"/>
      </w:pPr>
    </w:p>
    <w:p w14:paraId="11AAC004" w14:textId="77777777" w:rsidR="00D1406E" w:rsidRDefault="00990CEE">
      <w:pPr>
        <w:spacing w:line="480" w:lineRule="auto"/>
        <w:ind w:left="720" w:hanging="720"/>
        <w:jc w:val="both"/>
      </w:pPr>
      <w:r>
        <w:t>Collins, P. H., &amp; Bilge, S. (2020). Intersectionality (2nd ed.). Polity Press.</w:t>
      </w:r>
    </w:p>
    <w:p w14:paraId="790FD102" w14:textId="77777777" w:rsidR="00D1406E" w:rsidRDefault="00D1406E">
      <w:pPr>
        <w:spacing w:line="480" w:lineRule="auto"/>
      </w:pPr>
    </w:p>
    <w:p w14:paraId="6ED242D8" w14:textId="77777777" w:rsidR="00D1406E" w:rsidRDefault="00990CEE">
      <w:pPr>
        <w:spacing w:line="480" w:lineRule="auto"/>
        <w:ind w:left="720" w:hanging="720"/>
        <w:jc w:val="both"/>
      </w:pPr>
      <w:r>
        <w:t>Courteau, R., Deseyne, C., Laborde, F., &amp; Verien, D. (2019). Violences, femmes et handicap : denoncer l'invisible et agir (Rapport d'information no 14). Senat. https://www.senat.fr/rap/r19-014/r19-014_mono.html</w:t>
      </w:r>
    </w:p>
    <w:p w14:paraId="135B41BF" w14:textId="77777777" w:rsidR="00D1406E" w:rsidRDefault="00D1406E">
      <w:pPr>
        <w:spacing w:line="480" w:lineRule="auto"/>
      </w:pPr>
    </w:p>
    <w:p w14:paraId="2EF5F7CE" w14:textId="77777777" w:rsidR="00D1406E" w:rsidRDefault="00990CEE">
      <w:pPr>
        <w:spacing w:line="480" w:lineRule="auto"/>
        <w:ind w:left="720" w:hanging="720"/>
        <w:jc w:val="both"/>
      </w:pPr>
      <w:r>
        <w:t>Crenshaw, K. (1991). Mapping the margins: Intersectionality, identity politics, and violence against women of color. Stanford Law Review, 43(6), 1241-1299. https://doi.org/10.2307/1229039</w:t>
      </w:r>
    </w:p>
    <w:p w14:paraId="2D307540" w14:textId="77777777" w:rsidR="00D1406E" w:rsidRDefault="00D1406E">
      <w:pPr>
        <w:spacing w:line="480" w:lineRule="auto"/>
      </w:pPr>
    </w:p>
    <w:p w14:paraId="11AAD001" w14:textId="77777777" w:rsidR="00D1406E" w:rsidRDefault="00990CEE">
      <w:pPr>
        <w:spacing w:line="480" w:lineRule="auto"/>
        <w:ind w:left="720" w:hanging="720"/>
        <w:jc w:val="both"/>
      </w:pPr>
      <w:r>
        <w:t xml:space="preserve">Daley, A., Costa, L., &amp; Beresford, P. (Eds.). (2019). </w:t>
      </w:r>
      <w:r>
        <w:rPr>
          <w:i/>
        </w:rPr>
        <w:t>Madness, violence, and power: A critical collection</w:t>
      </w:r>
      <w:r>
        <w:t>. University of Toronto Press. https://doi.org/10.3138/9781442629974</w:t>
      </w:r>
    </w:p>
    <w:p w14:paraId="11AAD002" w14:textId="77777777" w:rsidR="00D1406E" w:rsidRDefault="00D1406E">
      <w:pPr>
        <w:spacing w:line="480" w:lineRule="auto"/>
      </w:pPr>
    </w:p>
    <w:p w14:paraId="4B583A3D" w14:textId="77777777" w:rsidR="00D1406E" w:rsidRDefault="00990CEE">
      <w:pPr>
        <w:spacing w:line="480" w:lineRule="auto"/>
        <w:ind w:left="720" w:hanging="720"/>
        <w:jc w:val="both"/>
      </w:pPr>
      <w:r>
        <w:lastRenderedPageBreak/>
        <w:t>Dohmen, J. (2016). A little of her language: Epistemic injustice and mental disability. Res Philosophica, 93(4), 669-691. https://doi.org/10.11612/resphil.1466</w:t>
      </w:r>
    </w:p>
    <w:p w14:paraId="12BF04B0" w14:textId="77777777" w:rsidR="00D1406E" w:rsidRDefault="00D1406E">
      <w:pPr>
        <w:spacing w:line="480" w:lineRule="auto"/>
      </w:pPr>
    </w:p>
    <w:p w14:paraId="45239533" w14:textId="77777777" w:rsidR="00D1406E" w:rsidRDefault="00990CEE">
      <w:pPr>
        <w:spacing w:line="480" w:lineRule="auto"/>
        <w:ind w:left="720" w:hanging="720"/>
        <w:jc w:val="both"/>
      </w:pPr>
      <w:r>
        <w:t>Dominelli, L. (2002). Anti-oppressive social work theory and practice. Palgrave Macmillan.</w:t>
      </w:r>
    </w:p>
    <w:p w14:paraId="011FA763" w14:textId="77777777" w:rsidR="00D1406E" w:rsidRDefault="00D1406E">
      <w:pPr>
        <w:spacing w:line="480" w:lineRule="auto"/>
      </w:pPr>
    </w:p>
    <w:p w14:paraId="36653CFC" w14:textId="77777777" w:rsidR="00D1406E" w:rsidRDefault="00990CEE">
      <w:pPr>
        <w:spacing w:line="480" w:lineRule="auto"/>
        <w:ind w:left="720" w:hanging="720"/>
        <w:jc w:val="both"/>
      </w:pPr>
      <w:r>
        <w:t>Erevelles, N. (2011). Disability and difference in global contexts: Enabling a transformative body politic. Palgrave Macmillan.</w:t>
      </w:r>
    </w:p>
    <w:p w14:paraId="64E155FB" w14:textId="77777777" w:rsidR="00D1406E" w:rsidRDefault="00D1406E">
      <w:pPr>
        <w:spacing w:line="480" w:lineRule="auto"/>
      </w:pPr>
    </w:p>
    <w:p w14:paraId="33AC5999" w14:textId="77777777" w:rsidR="00D1406E" w:rsidRDefault="00990CEE">
      <w:pPr>
        <w:spacing w:line="480" w:lineRule="auto"/>
        <w:ind w:left="720" w:hanging="720"/>
        <w:jc w:val="both"/>
      </w:pPr>
      <w:r>
        <w:t>Fineman, M. A. (2008). The vulnerable subject: Anchoring equality in the human condition. Yale Journal of Law &amp; Feminism, 20(1), 1-23.</w:t>
      </w:r>
    </w:p>
    <w:p w14:paraId="75F60D22" w14:textId="77777777" w:rsidR="00D1406E" w:rsidRDefault="00D1406E">
      <w:pPr>
        <w:spacing w:line="480" w:lineRule="auto"/>
      </w:pPr>
    </w:p>
    <w:p w14:paraId="7B62C749" w14:textId="77777777" w:rsidR="00D1406E" w:rsidRDefault="00990CEE">
      <w:pPr>
        <w:spacing w:line="480" w:lineRule="auto"/>
        <w:ind w:left="720" w:hanging="720"/>
        <w:jc w:val="both"/>
      </w:pPr>
      <w:r>
        <w:t>Fook, J. (2002). Social work: Critical theory and practice. Sage.</w:t>
      </w:r>
    </w:p>
    <w:p w14:paraId="178437FA" w14:textId="77777777" w:rsidR="00D1406E" w:rsidRDefault="00D1406E">
      <w:pPr>
        <w:spacing w:line="480" w:lineRule="auto"/>
      </w:pPr>
    </w:p>
    <w:p w14:paraId="4664406C" w14:textId="77777777" w:rsidR="00D1406E" w:rsidRDefault="00990CEE">
      <w:pPr>
        <w:spacing w:line="480" w:lineRule="auto"/>
        <w:ind w:left="720" w:hanging="720"/>
        <w:jc w:val="both"/>
      </w:pPr>
      <w:r>
        <w:t>Fricker, M. (2007). Epistemic injustice: Power and the ethics of knowing. Oxford University Press.</w:t>
      </w:r>
    </w:p>
    <w:p w14:paraId="0F083778" w14:textId="77777777" w:rsidR="00D1406E" w:rsidRDefault="00D1406E">
      <w:pPr>
        <w:spacing w:line="480" w:lineRule="auto"/>
      </w:pPr>
    </w:p>
    <w:p w14:paraId="4944ADF7" w14:textId="77777777" w:rsidR="00D1406E" w:rsidRDefault="00990CEE">
      <w:pPr>
        <w:spacing w:line="480" w:lineRule="auto"/>
        <w:ind w:left="720" w:hanging="720"/>
        <w:jc w:val="both"/>
      </w:pPr>
      <w:r>
        <w:t>Garland-Thomson, R. (1997). Extraordinary bodies: Figuring physical disability in American culture and literature. Columbia University Press.</w:t>
      </w:r>
    </w:p>
    <w:p w14:paraId="6AD2BF7C" w14:textId="77777777" w:rsidR="00D1406E" w:rsidRDefault="00D1406E">
      <w:pPr>
        <w:spacing w:line="480" w:lineRule="auto"/>
      </w:pPr>
    </w:p>
    <w:p w14:paraId="3208E153" w14:textId="77777777" w:rsidR="00D1406E" w:rsidRDefault="00990CEE">
      <w:pPr>
        <w:spacing w:line="480" w:lineRule="auto"/>
        <w:ind w:left="720" w:hanging="720"/>
        <w:jc w:val="both"/>
      </w:pPr>
      <w:r>
        <w:t>Garland-Thomson, R. (2002). Integrating disability, transforming feminist theory. NWSA Journal, 14(2), 1-32. https://doi.org/10.2979/NWS.2002.14.3.1</w:t>
      </w:r>
    </w:p>
    <w:p w14:paraId="19B8E893" w14:textId="77777777" w:rsidR="00D1406E" w:rsidRDefault="00D1406E">
      <w:pPr>
        <w:spacing w:line="480" w:lineRule="auto"/>
      </w:pPr>
    </w:p>
    <w:p w14:paraId="65BF0473" w14:textId="77777777" w:rsidR="00D1406E" w:rsidRDefault="00990CEE">
      <w:pPr>
        <w:spacing w:line="480" w:lineRule="auto"/>
        <w:ind w:left="720" w:hanging="720"/>
        <w:jc w:val="both"/>
      </w:pPr>
      <w:r>
        <w:t>Garland-Thomson, R. (2005). Feminist disability studies. Signs: Journal of Women in Culture and Society, 30(2), 1557-1587. https://doi.org/10.1086/423352</w:t>
      </w:r>
    </w:p>
    <w:p w14:paraId="6C1AA0B1" w14:textId="77777777" w:rsidR="00D1406E" w:rsidRDefault="00D1406E">
      <w:pPr>
        <w:spacing w:line="480" w:lineRule="auto"/>
      </w:pPr>
    </w:p>
    <w:p w14:paraId="54939C3D" w14:textId="77777777" w:rsidR="00D1406E" w:rsidRDefault="00990CEE">
      <w:pPr>
        <w:spacing w:line="480" w:lineRule="auto"/>
        <w:ind w:left="720" w:hanging="720"/>
        <w:jc w:val="both"/>
      </w:pPr>
      <w:r>
        <w:t>Garland-Thomson, R. (2011). Misfits: A feminist materialist disability concept. Hypatia, 26(3), 591-609. https://doi.org/10.1111/j.1527-2001.2011.01206.x</w:t>
      </w:r>
    </w:p>
    <w:p w14:paraId="3DDDA641" w14:textId="77777777" w:rsidR="00D1406E" w:rsidRDefault="00D1406E">
      <w:pPr>
        <w:spacing w:line="480" w:lineRule="auto"/>
      </w:pPr>
    </w:p>
    <w:p w14:paraId="7B3FDA23" w14:textId="77777777" w:rsidR="00D1406E" w:rsidRDefault="00990CEE">
      <w:pPr>
        <w:spacing w:line="480" w:lineRule="auto"/>
        <w:ind w:left="720" w:hanging="720"/>
        <w:jc w:val="both"/>
      </w:pPr>
      <w:r>
        <w:t>Graziano, T. A. (2026). Criptiquing disability models: Compulsory able-bodiedness, nursing practice, and reimagined disability. Nursing Philosophy, 27(1), e70075. https://doi.org/10.1111/nup.70075</w:t>
      </w:r>
    </w:p>
    <w:p w14:paraId="5BA05857" w14:textId="77777777" w:rsidR="00D1406E" w:rsidRDefault="00D1406E">
      <w:pPr>
        <w:spacing w:line="480" w:lineRule="auto"/>
      </w:pPr>
    </w:p>
    <w:p w14:paraId="42B7AF93" w14:textId="77777777" w:rsidR="00D1406E" w:rsidRDefault="00990CEE">
      <w:pPr>
        <w:spacing w:line="480" w:lineRule="auto"/>
        <w:ind w:left="720" w:hanging="720"/>
        <w:jc w:val="both"/>
      </w:pPr>
      <w:r>
        <w:t>Hollomotz, A. (2009). Beyond "vulnerability": An ecological model approach to conceptualizing risk of sexual violence against people with learning difficulties. British Journal of Social Work, 39(1), 99-112. https://doi.org/10.1093/bjsw/bcm089</w:t>
      </w:r>
    </w:p>
    <w:p w14:paraId="1BD76ABA" w14:textId="77777777" w:rsidR="00D1406E" w:rsidRDefault="00D1406E">
      <w:pPr>
        <w:spacing w:line="480" w:lineRule="auto"/>
      </w:pPr>
    </w:p>
    <w:p w14:paraId="3226309F" w14:textId="77777777" w:rsidR="00D1406E" w:rsidRDefault="00990CEE">
      <w:pPr>
        <w:spacing w:line="480" w:lineRule="auto"/>
        <w:ind w:left="720" w:hanging="720"/>
        <w:jc w:val="both"/>
      </w:pPr>
      <w:r>
        <w:t>Hollomotz, A. (2011). Learning difficulties and sexual vulnerability: A social approach. Jessica Kingsley.</w:t>
      </w:r>
    </w:p>
    <w:p w14:paraId="7E240F70" w14:textId="77777777" w:rsidR="00D1406E" w:rsidRDefault="00D1406E">
      <w:pPr>
        <w:spacing w:line="480" w:lineRule="auto"/>
      </w:pPr>
    </w:p>
    <w:p w14:paraId="4871270F" w14:textId="77777777" w:rsidR="00D1406E" w:rsidRDefault="00990CEE">
      <w:pPr>
        <w:spacing w:line="480" w:lineRule="auto"/>
        <w:ind w:left="720" w:hanging="720"/>
        <w:jc w:val="both"/>
      </w:pPr>
      <w:r>
        <w:t>Hollomotz, A. (2013). Disability, oppression and violence: Towards a sociological explanation. Sociology, 47(3), 477-493. https://doi.org/10.1177/0038038512448561</w:t>
      </w:r>
    </w:p>
    <w:p w14:paraId="37F44F87" w14:textId="77777777" w:rsidR="00D1406E" w:rsidRDefault="00D1406E">
      <w:pPr>
        <w:spacing w:line="480" w:lineRule="auto"/>
      </w:pPr>
    </w:p>
    <w:p w14:paraId="329BC928" w14:textId="77777777" w:rsidR="00D1406E" w:rsidRDefault="00990CEE">
      <w:pPr>
        <w:spacing w:line="480" w:lineRule="auto"/>
        <w:ind w:left="720" w:hanging="720"/>
        <w:jc w:val="both"/>
      </w:pPr>
      <w:r>
        <w:t xml:space="preserve">Hughes, K., Bellis, M. A., Jones, L., Wood, S., Bates, G., Eckley, L., McCoy, E., Mikton, C., Shakespeare, T., &amp; Officer, A. (2012). Prevalence and risk of violence against adults with </w:t>
        <w:lastRenderedPageBreak/>
        <w:t>disabilities: A systematic review and meta-analysis of observational studies. The Lancet, 379(9826), 1621-1629. https://doi.org/10.1016/S0140-6736(11)61851-5</w:t>
      </w:r>
    </w:p>
    <w:p w14:paraId="1D80D894" w14:textId="77777777" w:rsidR="00D1406E" w:rsidRDefault="00D1406E">
      <w:pPr>
        <w:spacing w:line="480" w:lineRule="auto"/>
      </w:pPr>
    </w:p>
    <w:p w14:paraId="73015F75" w14:textId="77777777" w:rsidR="00D1406E" w:rsidRDefault="00990CEE">
      <w:pPr>
        <w:spacing w:line="480" w:lineRule="auto"/>
        <w:ind w:left="720" w:hanging="720"/>
        <w:jc w:val="both"/>
      </w:pPr>
      <w:r>
        <w:t>Kafer, A. (2013). Feminist, queer, crip. Indiana University Press.</w:t>
      </w:r>
    </w:p>
    <w:p w14:paraId="16B80677" w14:textId="77777777" w:rsidR="00D1406E" w:rsidRDefault="00D1406E">
      <w:pPr>
        <w:spacing w:line="480" w:lineRule="auto"/>
      </w:pPr>
    </w:p>
    <w:p w14:paraId="2CDCB98E" w14:textId="77777777" w:rsidR="00D1406E" w:rsidRDefault="00990CEE">
      <w:pPr>
        <w:spacing w:line="480" w:lineRule="auto"/>
        <w:ind w:left="720" w:hanging="720"/>
        <w:jc w:val="both"/>
      </w:pPr>
      <w:r>
        <w:t>Kelly, L. (1988). Surviving sexual violence. Polity Press.</w:t>
      </w:r>
    </w:p>
    <w:p w14:paraId="2AC74A83" w14:textId="77777777" w:rsidR="00D1406E" w:rsidRDefault="00D1406E">
      <w:pPr>
        <w:spacing w:line="480" w:lineRule="auto"/>
      </w:pPr>
    </w:p>
    <w:p w14:paraId="3A8259D5" w14:textId="77777777" w:rsidR="00D1406E" w:rsidRDefault="00990CEE">
      <w:pPr>
        <w:spacing w:line="480" w:lineRule="auto"/>
        <w:ind w:left="720" w:hanging="720"/>
        <w:jc w:val="both"/>
      </w:pPr>
      <w:r>
        <w:t>Kim, J. B. (2017). Toward a crip-of-color critique: Thinking with Minich's "Enabling whom?" Lateral, 6(1). https://doi.org/10.25158/L6.1.9</w:t>
      </w:r>
    </w:p>
    <w:p w14:paraId="35BD1CD7" w14:textId="77777777" w:rsidR="00D1406E" w:rsidRDefault="00D1406E">
      <w:pPr>
        <w:spacing w:line="480" w:lineRule="auto"/>
      </w:pPr>
    </w:p>
    <w:p w14:paraId="3308437E" w14:textId="77777777" w:rsidR="00D1406E" w:rsidRDefault="00990CEE">
      <w:pPr>
        <w:spacing w:line="480" w:lineRule="auto"/>
        <w:ind w:left="720" w:hanging="720"/>
        <w:jc w:val="both"/>
      </w:pPr>
      <w:r>
        <w:t xml:space="preserve">LeFrançois, B. A., Menzies, R., &amp; Reaume, G. (Eds.). (2013). </w:t>
      </w:r>
      <w:r>
        <w:rPr>
          <w:i/>
        </w:rPr>
        <w:t>Mad matters: A critical reader in Canadian Mad Studies</w:t>
      </w:r>
      <w:r>
        <w:t>. Canadian Scholars’ Press.</w:t>
      </w:r>
    </w:p>
    <w:p w14:paraId="11AAL001" w14:textId="77777777" w:rsidR="00D1406E" w:rsidRDefault="00D1406E">
      <w:pPr>
        <w:spacing w:line="480" w:lineRule="auto"/>
      </w:pPr>
    </w:p>
    <w:p w14:paraId="11AAL002" w14:textId="77777777" w:rsidR="00D1406E" w:rsidRDefault="00990CEE">
      <w:pPr>
        <w:spacing w:line="480" w:lineRule="auto"/>
        <w:ind w:left="720" w:hanging="720"/>
        <w:jc w:val="both"/>
      </w:pPr>
      <w:r>
        <w:t>Lonsway, K. A., &amp; Archambault, J. (2012). The "justice gap" for sexual assault cases: Future directions for research and reform. Violence Against Women, 18(2), 145-168. https://doi.org/10.1177/1077801212440017</w:t>
      </w:r>
    </w:p>
    <w:p w14:paraId="5F11F504" w14:textId="77777777" w:rsidR="00D1406E" w:rsidRDefault="00D1406E">
      <w:pPr>
        <w:spacing w:line="480" w:lineRule="auto"/>
      </w:pPr>
    </w:p>
    <w:p w14:paraId="4EF175CA" w14:textId="77777777" w:rsidR="00D1406E" w:rsidRDefault="00990CEE">
      <w:pPr>
        <w:spacing w:line="480" w:lineRule="auto"/>
        <w:ind w:left="720" w:hanging="720"/>
        <w:jc w:val="both"/>
      </w:pPr>
      <w:r>
        <w:t>Mailhot Amborski, A., Bussières, E.-L., Vaillancourt-Morel, M.-P., &amp; Joyal, C. C. (2022). Sexual violence against persons with disabilities: A meta-analysis. Trauma, Violence, &amp; Abuse, 23(4), 1330-1343. https://doi.org/10.1177/1524838021995975</w:t>
      </w:r>
    </w:p>
    <w:p w14:paraId="2040B055" w14:textId="77777777" w:rsidR="00D1406E" w:rsidRDefault="00D1406E">
      <w:pPr>
        <w:spacing w:line="480" w:lineRule="auto"/>
      </w:pPr>
    </w:p>
    <w:p w14:paraId="6CB98092" w14:textId="77777777" w:rsidR="00D1406E" w:rsidRDefault="00990CEE">
      <w:pPr>
        <w:spacing w:line="480" w:lineRule="auto"/>
        <w:ind w:left="720" w:hanging="720"/>
        <w:jc w:val="both"/>
      </w:pPr>
      <w:r>
        <w:t>Masson, D. (2013). Femmes et handicap. Recherches feministes, 26(1), 111-129. https://doi.org/10.7202/1016897ar</w:t>
      </w:r>
    </w:p>
    <w:p w14:paraId="23865D1F" w14:textId="77777777" w:rsidR="00D1406E" w:rsidRDefault="00D1406E">
      <w:pPr>
        <w:spacing w:line="480" w:lineRule="auto"/>
      </w:pPr>
    </w:p>
    <w:p w14:paraId="74AF404E" w14:textId="77777777" w:rsidR="00D1406E" w:rsidRDefault="00990CEE">
      <w:pPr>
        <w:spacing w:line="480" w:lineRule="auto"/>
        <w:ind w:left="720" w:hanging="720"/>
        <w:jc w:val="both"/>
      </w:pPr>
      <w:r>
        <w:lastRenderedPageBreak/>
        <w:t>McRuer, R. (2002). Compulsory able-bodiedness and queer/disabled existence. In S. L. Snyder, B. J. Brueggemann, &amp; R. Garland-Thomson (Eds.), Disability studies: Enabling the humanities (pp. 88-99). Modern Language Association.</w:t>
      </w:r>
    </w:p>
    <w:p w14:paraId="0242EC92" w14:textId="77777777" w:rsidR="00D1406E" w:rsidRDefault="00D1406E">
      <w:pPr>
        <w:spacing w:line="480" w:lineRule="auto"/>
      </w:pPr>
    </w:p>
    <w:p w14:paraId="5C7A56A8" w14:textId="77777777" w:rsidR="00D1406E" w:rsidRDefault="00990CEE">
      <w:pPr>
        <w:spacing w:line="480" w:lineRule="auto"/>
        <w:ind w:left="720" w:hanging="720"/>
        <w:jc w:val="both"/>
      </w:pPr>
      <w:r>
        <w:t>McRuer, R. (2006). Crip theory: Cultural signs of queerness and disability. New York University Press.</w:t>
      </w:r>
    </w:p>
    <w:p w14:paraId="5C5B5F05" w14:textId="77777777" w:rsidR="00D1406E" w:rsidRDefault="00D1406E">
      <w:pPr>
        <w:spacing w:line="480" w:lineRule="auto"/>
      </w:pPr>
    </w:p>
    <w:p w14:paraId="38593A8D" w14:textId="77777777" w:rsidR="00D1406E" w:rsidRDefault="00990CEE">
      <w:pPr>
        <w:spacing w:line="480" w:lineRule="auto"/>
        <w:ind w:left="720" w:hanging="720"/>
        <w:jc w:val="both"/>
      </w:pPr>
      <w:r>
        <w:t>McRuer, R. (2018). Crip times: Disability, globalization, and resistance. New York University Press.</w:t>
      </w:r>
    </w:p>
    <w:p w14:paraId="5228171A" w14:textId="77777777" w:rsidR="00D1406E" w:rsidRDefault="00D1406E">
      <w:pPr>
        <w:spacing w:line="480" w:lineRule="auto"/>
      </w:pPr>
    </w:p>
    <w:p w14:paraId="670B1F27" w14:textId="77777777" w:rsidR="00D1406E" w:rsidRDefault="00990CEE">
      <w:pPr>
        <w:spacing w:line="480" w:lineRule="auto"/>
        <w:ind w:left="720" w:hanging="720"/>
        <w:jc w:val="both"/>
      </w:pPr>
      <w:r>
        <w:t>McRuer, R., &amp; Mollow, A. (Eds.). (2012). Sex and disability. Duke University Press.</w:t>
      </w:r>
    </w:p>
    <w:p w14:paraId="30B70BC9" w14:textId="77777777" w:rsidR="00D1406E" w:rsidRDefault="00D1406E">
      <w:pPr>
        <w:spacing w:line="480" w:lineRule="auto"/>
      </w:pPr>
    </w:p>
    <w:p w14:paraId="794BF815" w14:textId="77777777" w:rsidR="00D1406E" w:rsidRDefault="00990CEE">
      <w:pPr>
        <w:spacing w:line="480" w:lineRule="auto"/>
        <w:ind w:left="720" w:hanging="720"/>
        <w:jc w:val="both"/>
      </w:pPr>
      <w:r>
        <w:t>Meekosha, H. (2011). Decolonising disability: Thinking and acting globally. Disability &amp; Society, 26(6), 667-682. https://doi.org/10.1080/09687599.2011.602860</w:t>
      </w:r>
    </w:p>
    <w:p w14:paraId="72792434" w14:textId="77777777" w:rsidR="00D1406E" w:rsidRDefault="00D1406E">
      <w:pPr>
        <w:spacing w:line="480" w:lineRule="auto"/>
      </w:pPr>
    </w:p>
    <w:p w14:paraId="2C6ED25B" w14:textId="77777777" w:rsidR="00D1406E" w:rsidRDefault="00990CEE">
      <w:pPr>
        <w:spacing w:line="480" w:lineRule="auto"/>
        <w:ind w:left="720" w:hanging="720"/>
        <w:jc w:val="both"/>
      </w:pPr>
      <w:r>
        <w:t>Mingus, M. (2011, May 5). Access intimacy: The missing link. Leaving Evidence. https://leavingevidence.wordpress.com/2011/05/05/access-intimacy-the-missing-link/</w:t>
      </w:r>
    </w:p>
    <w:p w14:paraId="3288C374" w14:textId="77777777" w:rsidR="00D1406E" w:rsidRDefault="00D1406E">
      <w:pPr>
        <w:spacing w:line="480" w:lineRule="auto"/>
      </w:pPr>
    </w:p>
    <w:p w14:paraId="43BEFD2D" w14:textId="77777777" w:rsidR="00D1406E" w:rsidRDefault="00990CEE">
      <w:pPr>
        <w:spacing w:line="480" w:lineRule="auto"/>
        <w:ind w:left="720" w:hanging="720"/>
        <w:jc w:val="both"/>
      </w:pPr>
      <w:r>
        <w:t>Mingus, M. (2017, August 6). Forced intimacy: An ableist norm. Leaving Evidence. https://leavingevidence.wordpress.com/2017/08/06/forced-intimacy-an-ableist-norm/</w:t>
      </w:r>
    </w:p>
    <w:p w14:paraId="11037E7E" w14:textId="77777777" w:rsidR="00D1406E" w:rsidRDefault="00D1406E">
      <w:pPr>
        <w:spacing w:line="480" w:lineRule="auto"/>
      </w:pPr>
    </w:p>
    <w:p w14:paraId="4E1864C4" w14:textId="77777777" w:rsidR="00D1406E" w:rsidRDefault="00990CEE">
      <w:pPr>
        <w:spacing w:line="480" w:lineRule="auto"/>
        <w:ind w:left="720" w:hanging="720"/>
        <w:jc w:val="both"/>
      </w:pPr>
      <w:r>
        <w:t>Morris, J. (1991). Pride against prejudice: Transforming attitudes to disability. The Women's Press.</w:t>
      </w:r>
    </w:p>
    <w:p w14:paraId="18DE8780" w14:textId="77777777" w:rsidR="00D1406E" w:rsidRDefault="00D1406E">
      <w:pPr>
        <w:spacing w:line="480" w:lineRule="auto"/>
      </w:pPr>
    </w:p>
    <w:p w14:paraId="2C00FA3D" w14:textId="77777777" w:rsidR="00D1406E" w:rsidRDefault="00990CEE">
      <w:pPr>
        <w:spacing w:line="480" w:lineRule="auto"/>
        <w:ind w:left="720" w:hanging="720"/>
        <w:jc w:val="both"/>
      </w:pPr>
      <w:r>
        <w:t>Mueller, C. O., Forber-Pratt, A. J., &amp; Sriken, J. (2019). Disability: Missing from the conversation of violence. Journal of Social Issues, 75(3), 707-725. https://doi.org/10.1111/josi.12339</w:t>
      </w:r>
    </w:p>
    <w:p w14:paraId="3C8CCD9A" w14:textId="77777777" w:rsidR="00D1406E" w:rsidRDefault="00D1406E">
      <w:pPr>
        <w:spacing w:line="480" w:lineRule="auto"/>
      </w:pPr>
    </w:p>
    <w:p w14:paraId="00B865D1" w14:textId="77777777" w:rsidR="00D1406E" w:rsidRDefault="00990CEE">
      <w:pPr>
        <w:spacing w:line="480" w:lineRule="auto"/>
        <w:ind w:left="720" w:hanging="720"/>
        <w:jc w:val="both"/>
      </w:pPr>
      <w:r>
        <w:t>Pena-Guzman, D. M., &amp; Reynolds, J. M. (2019). The harm of ableism: Medical error and epistemic injustice. Kennedy Institute of Ethics Journal, 29(3), 205-242. https://doi.org/10.1353/ken.2019.0023</w:t>
      </w:r>
    </w:p>
    <w:p w14:paraId="3D26A060" w14:textId="77777777" w:rsidR="00D1406E" w:rsidRDefault="00D1406E">
      <w:pPr>
        <w:spacing w:line="480" w:lineRule="auto"/>
      </w:pPr>
    </w:p>
    <w:p w14:paraId="0DE3451E" w14:textId="77777777" w:rsidR="00D1406E" w:rsidRDefault="00990CEE">
      <w:pPr>
        <w:spacing w:line="480" w:lineRule="auto"/>
        <w:ind w:left="720" w:hanging="720"/>
        <w:jc w:val="both"/>
      </w:pPr>
      <w:r>
        <w:t>Piepzna-Samarasinha, L. L. (2018). Care work: Dreaming disability justice. Arsenal Pulp Press.</w:t>
      </w:r>
    </w:p>
    <w:p w14:paraId="62DF3E5A" w14:textId="77777777" w:rsidR="00D1406E" w:rsidRDefault="00D1406E">
      <w:pPr>
        <w:spacing w:line="480" w:lineRule="auto"/>
      </w:pPr>
    </w:p>
    <w:p w14:paraId="2967F437" w14:textId="77777777" w:rsidR="00D1406E" w:rsidRDefault="00990CEE">
      <w:pPr>
        <w:spacing w:line="480" w:lineRule="auto"/>
        <w:ind w:left="720" w:hanging="720"/>
        <w:jc w:val="both"/>
      </w:pPr>
      <w:r>
        <w:t>Price, M. (2011). Mad at school: Rhetorics of mental disability and academic life. University of Michigan Press.</w:t>
      </w:r>
    </w:p>
    <w:p w14:paraId="14109C94" w14:textId="77777777" w:rsidR="00D1406E" w:rsidRDefault="00D1406E">
      <w:pPr>
        <w:spacing w:line="480" w:lineRule="auto"/>
      </w:pPr>
    </w:p>
    <w:p w14:paraId="5C538EE3" w14:textId="77777777" w:rsidR="00D1406E" w:rsidRDefault="00990CEE">
      <w:pPr>
        <w:spacing w:line="480" w:lineRule="auto"/>
        <w:ind w:left="720" w:hanging="720"/>
        <w:jc w:val="both"/>
      </w:pPr>
      <w:r>
        <w:t>Price, M. (2015). The bodymind problem and the possibilities of pain. Hypatia, 30(1), 268-284. https://doi.org/10.1111/hypa.12127</w:t>
      </w:r>
    </w:p>
    <w:p w14:paraId="0C9D925B" w14:textId="77777777" w:rsidR="00D1406E" w:rsidRDefault="00D1406E">
      <w:pPr>
        <w:spacing w:line="480" w:lineRule="auto"/>
      </w:pPr>
    </w:p>
    <w:p w14:paraId="14045227" w14:textId="77777777" w:rsidR="00D1406E" w:rsidRDefault="00990CEE">
      <w:pPr>
        <w:spacing w:line="480" w:lineRule="auto"/>
        <w:ind w:left="720" w:hanging="720"/>
        <w:jc w:val="both"/>
      </w:pPr>
      <w:r>
        <w:t>Price, M. (2024). Crip spacetime: Access, failure, and accountability in academic life. Duke University Press.</w:t>
      </w:r>
    </w:p>
    <w:p w14:paraId="04D05247" w14:textId="77777777" w:rsidR="00D1406E" w:rsidRDefault="00D1406E">
      <w:pPr>
        <w:spacing w:line="480" w:lineRule="auto"/>
      </w:pPr>
    </w:p>
    <w:p w14:paraId="46F1126F" w14:textId="77777777" w:rsidR="00D1406E" w:rsidRDefault="00990CEE">
      <w:pPr>
        <w:spacing w:line="480" w:lineRule="auto"/>
        <w:ind w:left="720" w:hanging="720"/>
        <w:jc w:val="both"/>
      </w:pPr>
      <w:r>
        <w:t>Puar, J. K. (2017). The right to maim: Debility, capacity, disability. Duke University Press.</w:t>
      </w:r>
    </w:p>
    <w:p w14:paraId="295CFF59" w14:textId="77777777" w:rsidR="00D1406E" w:rsidRDefault="00D1406E">
      <w:pPr>
        <w:spacing w:line="480" w:lineRule="auto"/>
      </w:pPr>
    </w:p>
    <w:p w14:paraId="6FBCB6B2" w14:textId="77777777" w:rsidR="00D1406E" w:rsidRDefault="00990CEE">
      <w:pPr>
        <w:spacing w:line="480" w:lineRule="auto"/>
        <w:ind w:left="720" w:hanging="720"/>
        <w:jc w:val="both"/>
      </w:pPr>
      <w:r>
        <w:t>Puiseux, C. (2022). De chair et de fer : vivre et lutter dans une societe validiste. La Decouverte.</w:t>
      </w:r>
    </w:p>
    <w:p w14:paraId="35B9C1CD" w14:textId="77777777" w:rsidR="00D1406E" w:rsidRDefault="00D1406E">
      <w:pPr>
        <w:spacing w:line="480" w:lineRule="auto"/>
      </w:pPr>
    </w:p>
    <w:p w14:paraId="324CA7F8" w14:textId="77777777" w:rsidR="00D1406E" w:rsidRDefault="00990CEE">
      <w:pPr>
        <w:spacing w:line="480" w:lineRule="auto"/>
        <w:ind w:left="720" w:hanging="720"/>
        <w:jc w:val="both"/>
      </w:pPr>
      <w:r>
        <w:lastRenderedPageBreak/>
        <w:t>Reeve, D. (2002). Negotiating psycho-emotional dimensions of disability and their influence on identity constructions. Disability &amp; Society, 17(5), 493-508. https://doi.org/10.1080/09687590220148487</w:t>
      </w:r>
    </w:p>
    <w:p w14:paraId="41D4AE69" w14:textId="77777777" w:rsidR="00D1406E" w:rsidRDefault="00D1406E">
      <w:pPr>
        <w:spacing w:line="480" w:lineRule="auto"/>
      </w:pPr>
    </w:p>
    <w:p w14:paraId="1733B967" w14:textId="77777777" w:rsidR="00D1406E" w:rsidRDefault="00990CEE">
      <w:pPr>
        <w:spacing w:line="480" w:lineRule="auto"/>
        <w:ind w:left="720" w:hanging="720"/>
        <w:jc w:val="both"/>
      </w:pPr>
      <w:r>
        <w:t>Reeve, D. (2012). Preparation for practice: Enabling social work students to work with disabled people. Social Work Education, 31(2), 226-233. https://doi.org/10.1080/02615479.2012.644944</w:t>
      </w:r>
    </w:p>
    <w:p w14:paraId="365C744B" w14:textId="77777777" w:rsidR="00D1406E" w:rsidRDefault="00D1406E">
      <w:pPr>
        <w:spacing w:line="480" w:lineRule="auto"/>
      </w:pPr>
    </w:p>
    <w:p w14:paraId="13E62CDA" w14:textId="77777777" w:rsidR="00D1406E" w:rsidRDefault="00990CEE">
      <w:pPr>
        <w:spacing w:line="480" w:lineRule="auto"/>
        <w:ind w:left="720" w:hanging="720"/>
        <w:jc w:val="both"/>
      </w:pPr>
      <w:r>
        <w:t>Reeve, D. (2014). Psycho-emotional disablism and internalised oppression. In J. Swain, S. French, C. Barnes, &amp; C. Thomas (Eds.), Disabling barriers — enabling environments (3rd ed., pp. 92-98). Sage.</w:t>
      </w:r>
    </w:p>
    <w:p w14:paraId="0053653D" w14:textId="77777777" w:rsidR="00D1406E" w:rsidRDefault="00D1406E">
      <w:pPr>
        <w:spacing w:line="480" w:lineRule="auto"/>
      </w:pPr>
    </w:p>
    <w:p w14:paraId="1A5F97ED" w14:textId="77777777" w:rsidR="00D1406E" w:rsidRDefault="00990CEE">
      <w:pPr>
        <w:spacing w:line="480" w:lineRule="auto"/>
        <w:ind w:left="720" w:hanging="720"/>
        <w:jc w:val="both"/>
      </w:pPr>
      <w:r>
        <w:t>Revillard, A. (2020). Des droits vulnerables : handicap, action publique et changement social. Presses de Sciences Po.</w:t>
      </w:r>
    </w:p>
    <w:p w14:paraId="60540C81" w14:textId="77777777" w:rsidR="00D1406E" w:rsidRDefault="00D1406E">
      <w:pPr>
        <w:spacing w:line="480" w:lineRule="auto"/>
      </w:pPr>
    </w:p>
    <w:p w14:paraId="13709BEC" w14:textId="77777777" w:rsidR="00D1406E" w:rsidRDefault="00990CEE">
      <w:pPr>
        <w:spacing w:line="480" w:lineRule="auto"/>
        <w:ind w:left="720" w:hanging="720"/>
        <w:jc w:val="both"/>
      </w:pPr>
      <w:r>
        <w:t>Rich, A. (1980). Compulsory heterosexuality and lesbian existence. Signs: Journal of Women in Culture and Society, 5(4), 631-660. https://doi.org/10.1086/493756</w:t>
      </w:r>
    </w:p>
    <w:p w14:paraId="621A575E" w14:textId="77777777" w:rsidR="00D1406E" w:rsidRDefault="00D1406E">
      <w:pPr>
        <w:spacing w:line="480" w:lineRule="auto"/>
      </w:pPr>
    </w:p>
    <w:p w14:paraId="2796988D" w14:textId="77777777" w:rsidR="00D1406E" w:rsidRDefault="00990CEE">
      <w:pPr>
        <w:spacing w:line="480" w:lineRule="auto"/>
        <w:ind w:left="720" w:hanging="720"/>
        <w:jc w:val="both"/>
      </w:pPr>
      <w:r>
        <w:t xml:space="preserve">Rossiter, K., &amp; Rinaldi, J. (2018). </w:t>
      </w:r>
      <w:r>
        <w:rPr>
          <w:i/>
        </w:rPr>
        <w:t>Institutional violence and disability: Punishing conditions</w:t>
      </w:r>
      <w:r>
        <w:t>. Routledge.</w:t>
      </w:r>
    </w:p>
    <w:p w14:paraId="11AAR001" w14:textId="77777777" w:rsidR="00D1406E" w:rsidRDefault="00D1406E">
      <w:pPr>
        <w:spacing w:line="480" w:lineRule="auto"/>
      </w:pPr>
    </w:p>
    <w:p w14:paraId="11AAR002" w14:textId="77777777" w:rsidR="00D1406E" w:rsidRDefault="00990CEE">
      <w:pPr>
        <w:spacing w:line="480" w:lineRule="auto"/>
        <w:ind w:left="720" w:hanging="720"/>
        <w:jc w:val="both"/>
      </w:pPr>
      <w:r>
        <w:t xml:space="preserve">Samra, R. (2025). Conceptualising lived experience in mental health research: Problems, insights and implications. </w:t>
      </w:r>
      <w:r>
        <w:rPr>
          <w:i/>
        </w:rPr>
        <w:t>Sociology of Health &amp; Illness, 47</w:t>
      </w:r>
      <w:r>
        <w:t>, e70039. https://doi.org/10.1111/1467-9566.70039</w:t>
      </w:r>
    </w:p>
    <w:p w14:paraId="11AAR003" w14:textId="77777777" w:rsidR="00D1406E" w:rsidRDefault="00D1406E">
      <w:pPr>
        <w:spacing w:line="480" w:lineRule="auto"/>
      </w:pPr>
    </w:p>
    <w:p w14:paraId="11AAR004" w14:textId="77777777" w:rsidR="00D1406E" w:rsidRDefault="00990CEE">
      <w:pPr>
        <w:spacing w:line="480" w:lineRule="auto"/>
        <w:ind w:left="720" w:hanging="720"/>
        <w:jc w:val="both"/>
      </w:pPr>
      <w:r>
        <w:t>Schalk, S. (2018). Bodyminds reimagined: (Dis)ability, race, and gender in Black women's speculative fiction. Duke University Press.</w:t>
      </w:r>
    </w:p>
    <w:p w14:paraId="5767262C" w14:textId="77777777" w:rsidR="00D1406E" w:rsidRDefault="00D1406E">
      <w:pPr>
        <w:spacing w:line="480" w:lineRule="auto"/>
      </w:pPr>
    </w:p>
    <w:p w14:paraId="2B3054BB" w14:textId="77777777" w:rsidR="00D1406E" w:rsidRDefault="00990CEE">
      <w:pPr>
        <w:spacing w:line="480" w:lineRule="auto"/>
        <w:ind w:left="720" w:hanging="720"/>
        <w:jc w:val="both"/>
      </w:pPr>
      <w:r>
        <w:t>Schalk, S. (2022). Black disability politics. Duke University Press.</w:t>
      </w:r>
    </w:p>
    <w:p w14:paraId="782F4F3D" w14:textId="77777777" w:rsidR="00D1406E" w:rsidRDefault="00D1406E">
      <w:pPr>
        <w:spacing w:line="480" w:lineRule="auto"/>
      </w:pPr>
    </w:p>
    <w:p w14:paraId="49FFD809" w14:textId="77777777" w:rsidR="00D1406E" w:rsidRDefault="00990CEE">
      <w:pPr>
        <w:spacing w:line="480" w:lineRule="auto"/>
        <w:ind w:left="720" w:hanging="720"/>
        <w:jc w:val="both"/>
      </w:pPr>
      <w:r>
        <w:lastRenderedPageBreak/>
        <w:t xml:space="preserve">Shaikh, S. S., LeFrançois, B. A., &amp; Macías, T. (Eds.). (2022). </w:t>
      </w:r>
      <w:r>
        <w:rPr>
          <w:i/>
        </w:rPr>
        <w:t>Critical social work praxis</w:t>
      </w:r>
      <w:r>
        <w:t>. Fernwood Publishing.</w:t>
      </w:r>
    </w:p>
    <w:p w14:paraId="11AAS001" w14:textId="77777777" w:rsidR="00D1406E" w:rsidRDefault="00D1406E">
      <w:pPr>
        <w:spacing w:line="480" w:lineRule="auto"/>
      </w:pPr>
    </w:p>
    <w:p w14:paraId="11AAS002" w14:textId="77777777" w:rsidR="00D1406E" w:rsidRDefault="00990CEE">
      <w:pPr>
        <w:spacing w:line="480" w:lineRule="auto"/>
        <w:ind w:left="720" w:hanging="720"/>
        <w:jc w:val="both"/>
      </w:pPr>
      <w:r>
        <w:t>Sins Invalid. (2018). Skin, tooth, and bone: The basis of movement is our people — a disability justice primer (2nd ed.). Sins Invalid.</w:t>
      </w:r>
    </w:p>
    <w:p w14:paraId="770FBB4A" w14:textId="77777777" w:rsidR="00D1406E" w:rsidRDefault="00D1406E">
      <w:pPr>
        <w:spacing w:line="480" w:lineRule="auto"/>
      </w:pPr>
    </w:p>
    <w:p w14:paraId="319106E9" w14:textId="77777777" w:rsidR="00D1406E" w:rsidRDefault="00990CEE">
      <w:pPr>
        <w:spacing w:line="480" w:lineRule="auto"/>
        <w:ind w:left="720" w:hanging="720"/>
        <w:jc w:val="both"/>
      </w:pPr>
      <w:r>
        <w:t>Smith, C. P., &amp; Freyd, J. J. (2013). Dangerous safe havens: Institutional betrayal exacerbates sexual trauma. Journal of Traumatic Stress, 26(1), 119-124. https://doi.org/10.1002/jts.21778</w:t>
      </w:r>
    </w:p>
    <w:p w14:paraId="23C2EA3E" w14:textId="77777777" w:rsidR="00D1406E" w:rsidRDefault="00D1406E">
      <w:pPr>
        <w:spacing w:line="480" w:lineRule="auto"/>
      </w:pPr>
    </w:p>
    <w:p w14:paraId="07A11EF3" w14:textId="77777777" w:rsidR="00D1406E" w:rsidRDefault="00990CEE">
      <w:pPr>
        <w:spacing w:line="480" w:lineRule="auto"/>
        <w:ind w:left="720" w:hanging="720"/>
        <w:jc w:val="both"/>
      </w:pPr>
      <w:r>
        <w:t>Smith, C. P., &amp; Freyd, J. J. (2014). Institutional betrayal. American Psychologist, 69(6), 575-587. https://doi.org/10.1037/a0037564</w:t>
      </w:r>
    </w:p>
    <w:p w14:paraId="4B2CFC43" w14:textId="77777777" w:rsidR="00D1406E" w:rsidRDefault="00D1406E">
      <w:pPr>
        <w:spacing w:line="480" w:lineRule="auto"/>
      </w:pPr>
    </w:p>
    <w:p w14:paraId="17D661B8" w14:textId="77777777" w:rsidR="00D1406E" w:rsidRDefault="00990CEE">
      <w:pPr>
        <w:spacing w:line="480" w:lineRule="auto"/>
        <w:ind w:left="720" w:hanging="720"/>
        <w:jc w:val="both"/>
      </w:pPr>
      <w:r>
        <w:t>Sobsey, D. (1994). Violence and abuse in the lives of people with disabilities: The end of silent acceptance? Paul H. Brookes.</w:t>
      </w:r>
    </w:p>
    <w:p w14:paraId="166F9F58" w14:textId="77777777" w:rsidR="00D1406E" w:rsidRDefault="00D1406E">
      <w:pPr>
        <w:spacing w:line="480" w:lineRule="auto"/>
      </w:pPr>
    </w:p>
    <w:p w14:paraId="5340C218" w14:textId="77777777" w:rsidR="00D1406E" w:rsidRDefault="00990CEE">
      <w:pPr>
        <w:spacing w:line="480" w:lineRule="auto"/>
        <w:ind w:left="720" w:hanging="720"/>
        <w:jc w:val="both"/>
      </w:pPr>
      <w:r>
        <w:t xml:space="preserve">Stiker, H.-J. (2013). </w:t>
      </w:r>
      <w:r>
        <w:rPr>
          <w:i/>
        </w:rPr>
        <w:t>Corps infirmes et sociétés : essais d’anthropologie historique</w:t>
      </w:r>
      <w:r>
        <w:t xml:space="preserve"> (3rd ed.). Dunod.</w:t>
      </w:r>
    </w:p>
    <w:p w14:paraId="11AAS003" w14:textId="77777777" w:rsidR="00D1406E" w:rsidRDefault="00D1406E">
      <w:pPr>
        <w:spacing w:line="480" w:lineRule="auto"/>
      </w:pPr>
    </w:p>
    <w:p w14:paraId="11AAS004" w14:textId="77777777" w:rsidR="00D1406E" w:rsidRDefault="00990CEE">
      <w:pPr>
        <w:spacing w:line="480" w:lineRule="auto"/>
        <w:ind w:left="720" w:hanging="720"/>
        <w:jc w:val="both"/>
      </w:pPr>
      <w:r>
        <w:t xml:space="preserve">Steele, L. (2020). </w:t>
      </w:r>
      <w:r>
        <w:rPr>
          <w:i/>
        </w:rPr>
        <w:t>Disability, criminal justice and law: Reconsidering court diversion</w:t>
      </w:r>
      <w:r>
        <w:t>. Routledge.</w:t>
      </w:r>
    </w:p>
    <w:p w14:paraId="11AAT001" w14:textId="77777777" w:rsidR="00D1406E" w:rsidRDefault="00D1406E">
      <w:pPr>
        <w:spacing w:line="480" w:lineRule="auto"/>
      </w:pPr>
    </w:p>
    <w:p w14:paraId="11AAT002" w14:textId="77777777" w:rsidR="00D1406E" w:rsidRDefault="00990CEE">
      <w:pPr>
        <w:spacing w:line="480" w:lineRule="auto"/>
        <w:ind w:left="720" w:hanging="720"/>
        <w:jc w:val="both"/>
      </w:pPr>
      <w:r>
        <w:t>Thiara, R., Hague, G., Bashall, R., Ellis, B., &amp; Mullender, A. (2012). Disabled women and domestic violence: Responding to the experiences of survivors. Jessica Kingsley.</w:t>
      </w:r>
    </w:p>
    <w:p w14:paraId="7662E55D" w14:textId="77777777" w:rsidR="00D1406E" w:rsidRDefault="00D1406E">
      <w:pPr>
        <w:spacing w:line="480" w:lineRule="auto"/>
      </w:pPr>
    </w:p>
    <w:p w14:paraId="4B060809" w14:textId="77777777" w:rsidR="00D1406E" w:rsidRDefault="00990CEE">
      <w:pPr>
        <w:spacing w:line="480" w:lineRule="auto"/>
        <w:ind w:left="720" w:hanging="720"/>
        <w:jc w:val="both"/>
      </w:pPr>
      <w:r>
        <w:t>Thomas, C. (1999). Female forms: Experiencing and understanding disability. Open University Press.</w:t>
      </w:r>
    </w:p>
    <w:p w14:paraId="416F26A6" w14:textId="77777777" w:rsidR="00D1406E" w:rsidRDefault="00D1406E">
      <w:pPr>
        <w:spacing w:line="480" w:lineRule="auto"/>
      </w:pPr>
    </w:p>
    <w:p w14:paraId="602A7EED" w14:textId="77777777" w:rsidR="00D1406E" w:rsidRDefault="00990CEE">
      <w:pPr>
        <w:spacing w:line="480" w:lineRule="auto"/>
        <w:ind w:left="720" w:hanging="720"/>
        <w:jc w:val="both"/>
      </w:pPr>
      <w:r>
        <w:t>Ville, I., Fillion, E., &amp; Ravaud, J.-F. (2020). Introduction a la sociologie du handicap : histoire, politiques et experience (2nd ed.). De Boeck Superieur.</w:t>
      </w:r>
    </w:p>
    <w:p w14:paraId="59543505" w14:textId="77777777" w:rsidR="00D1406E" w:rsidRDefault="00D1406E">
      <w:pPr>
        <w:spacing w:line="480" w:lineRule="auto"/>
      </w:pPr>
    </w:p>
    <w:p w14:paraId="0E82E260" w14:textId="77777777" w:rsidR="00D1406E" w:rsidRDefault="00990CEE">
      <w:pPr>
        <w:spacing w:line="480" w:lineRule="auto"/>
        <w:ind w:left="720" w:hanging="720"/>
        <w:jc w:val="both"/>
      </w:pPr>
      <w:r>
        <w:lastRenderedPageBreak/>
        <w:t>Wendell, S. (1989). Toward a feminist theory of disability. Hypatia, 4(2), 104-124. https://doi.org/10.1111/j.1527-2001.1989.tb00576.x</w:t>
      </w:r>
    </w:p>
    <w:p w14:paraId="4E334362" w14:textId="77777777" w:rsidR="00D1406E" w:rsidRDefault="00D1406E">
      <w:pPr>
        <w:spacing w:line="480" w:lineRule="auto"/>
      </w:pPr>
    </w:p>
    <w:p w14:paraId="1FACDD85" w14:textId="77777777" w:rsidR="00D1406E" w:rsidRDefault="00990CEE">
      <w:pPr>
        <w:spacing w:line="480" w:lineRule="auto"/>
        <w:ind w:left="720" w:hanging="720"/>
        <w:jc w:val="both"/>
      </w:pPr>
      <w:r>
        <w:t>Wendell, S. (1996). The rejected body: Feminist philosophical reflections on disability. Routledge.</w:t>
      </w:r>
    </w:p>
    <w:p w14:paraId="45BB05C4" w14:textId="77777777" w:rsidR="00D1406E" w:rsidRDefault="00D1406E">
      <w:pPr>
        <w:spacing w:line="480" w:lineRule="auto"/>
      </w:pPr>
    </w:p>
    <w:p w14:paraId="32D910DD" w14:textId="77777777" w:rsidR="00D1406E" w:rsidRDefault="00990CEE">
      <w:pPr>
        <w:spacing w:line="480" w:lineRule="auto"/>
        <w:ind w:left="720" w:hanging="720"/>
        <w:jc w:val="both"/>
      </w:pPr>
      <w:r>
        <w:t>Williams, H., &amp; Jobe, A. (2024). Testimonial injustice: Exploring “credibility” as a barrier to justice for people with learning disabilities/autism who report sexual violence. Disability &amp; Society, 40(4), 1061-1083. https://doi.org/10.1080/09687599.2024.2323455</w:t>
      </w:r>
    </w:p>
    <w:p w14:paraId="4C68ADE6" w14:textId="77777777" w:rsidR="00D1406E" w:rsidRDefault="00D1406E">
      <w:pPr>
        <w:spacing w:line="480" w:lineRule="auto"/>
      </w:pPr>
    </w:p>
    <w:p w14:paraId="66E4328F" w14:textId="77777777" w:rsidR="00D1406E" w:rsidRDefault="00990CEE">
      <w:pPr>
        <w:spacing w:line="480" w:lineRule="auto"/>
        <w:ind w:left="720" w:hanging="720"/>
        <w:jc w:val="both"/>
      </w:pPr>
      <w:r>
        <w:t>Wright, JJ, &amp; Manuel, C. A. (2024). Cripping and queering gender-based violence prevention: Bridging disability justice, queer joy, and consent education. Culture, Health &amp; Sexuality, 27(4), 451-466. https://doi.org/10.1080/13691058.2024.2380768</w:t>
      </w:r>
    </w:p>
    <w:sectPr w:rsidR="00D1406E">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FB859" w14:textId="77777777" w:rsidR="00990CEE" w:rsidRDefault="00990CEE">
      <w:r>
        <w:separator/>
      </w:r>
    </w:p>
  </w:endnote>
  <w:endnote w:type="continuationSeparator" w:id="0">
    <w:p w14:paraId="12339726" w14:textId="77777777" w:rsidR="00990CEE" w:rsidRDefault="00990C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4459F" w14:textId="77777777" w:rsidR="00990CEE" w:rsidRDefault="00990CEE">
      <w:r>
        <w:separator/>
      </w:r>
    </w:p>
  </w:footnote>
  <w:footnote w:type="continuationSeparator" w:id="0">
    <w:p w14:paraId="71540675" w14:textId="77777777" w:rsidR="00990CEE" w:rsidRDefault="00990C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B7302" w14:textId="77777777" w:rsidR="00D1406E" w:rsidRDefault="00990CEE">
    <w:pPr>
      <w:tabs>
        <w:tab w:val="right" w:pos="9026"/>
      </w:tabs>
      <w:jc w:val="right"/>
    </w:pPr>
    <w:r>
      <w:rPr>
        <w:sz w:val="20"/>
        <w:szCs w:val="20"/>
      </w:rPr>
      <w:t>CRIPPING FEMINIST SOCIAL WORK</w:t>
    </w:r>
    <w:r>
      <w:rPr>
        <w:sz w:val="20"/>
        <w:szCs w:val="20"/>
      </w:rPr>
      <w:fldChar w:fldCharType="begin"/>
    </w:r>
    <w:r>
      <w:rPr>
        <w:sz w:val="20"/>
        <w:szCs w:val="20"/>
      </w:rPr>
      <w:instrText>PAGE</w:instrText>
    </w:r>
    <w:r>
      <w:rPr>
        <w:sz w:val="20"/>
        <w:szCs w:val="20"/>
      </w:rPr>
      <w:fldChar w:fldCharType="separate"/>
    </w:r>
    <w:r w:rsidR="00173AF6">
      <w:rPr>
        <w:noProof/>
        <w:sz w:val="20"/>
        <w:szCs w:val="20"/>
      </w:rPr>
      <w:t>1</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9B447F"/>
    <w:multiLevelType w:val="hybridMultilevel"/>
    <w:tmpl w:val="19E02404"/>
    <w:lvl w:ilvl="0" w:tplc="218A0042">
      <w:start w:val="1"/>
      <w:numFmt w:val="bullet"/>
      <w:lvlText w:val="●"/>
      <w:lvlJc w:val="left"/>
      <w:pPr>
        <w:ind w:left="720" w:hanging="360"/>
      </w:pPr>
    </w:lvl>
    <w:lvl w:ilvl="1" w:tplc="23246D88">
      <w:start w:val="1"/>
      <w:numFmt w:val="bullet"/>
      <w:lvlText w:val="○"/>
      <w:lvlJc w:val="left"/>
      <w:pPr>
        <w:ind w:left="1440" w:hanging="360"/>
      </w:pPr>
    </w:lvl>
    <w:lvl w:ilvl="2" w:tplc="712C31C0">
      <w:start w:val="1"/>
      <w:numFmt w:val="bullet"/>
      <w:lvlText w:val="■"/>
      <w:lvlJc w:val="left"/>
      <w:pPr>
        <w:ind w:left="2160" w:hanging="360"/>
      </w:pPr>
    </w:lvl>
    <w:lvl w:ilvl="3" w:tplc="F948D98A">
      <w:start w:val="1"/>
      <w:numFmt w:val="bullet"/>
      <w:lvlText w:val="●"/>
      <w:lvlJc w:val="left"/>
      <w:pPr>
        <w:ind w:left="2880" w:hanging="360"/>
      </w:pPr>
    </w:lvl>
    <w:lvl w:ilvl="4" w:tplc="4252AC04">
      <w:start w:val="1"/>
      <w:numFmt w:val="bullet"/>
      <w:lvlText w:val="○"/>
      <w:lvlJc w:val="left"/>
      <w:pPr>
        <w:ind w:left="3600" w:hanging="360"/>
      </w:pPr>
    </w:lvl>
    <w:lvl w:ilvl="5" w:tplc="941A2BDE">
      <w:start w:val="1"/>
      <w:numFmt w:val="bullet"/>
      <w:lvlText w:val="■"/>
      <w:lvlJc w:val="left"/>
      <w:pPr>
        <w:ind w:left="4320" w:hanging="360"/>
      </w:pPr>
    </w:lvl>
    <w:lvl w:ilvl="6" w:tplc="60FAB438">
      <w:start w:val="1"/>
      <w:numFmt w:val="bullet"/>
      <w:lvlText w:val="●"/>
      <w:lvlJc w:val="left"/>
      <w:pPr>
        <w:ind w:left="5040" w:hanging="360"/>
      </w:pPr>
    </w:lvl>
    <w:lvl w:ilvl="7" w:tplc="5AD8A898">
      <w:start w:val="1"/>
      <w:numFmt w:val="bullet"/>
      <w:lvlText w:val="●"/>
      <w:lvlJc w:val="left"/>
      <w:pPr>
        <w:ind w:left="5760" w:hanging="360"/>
      </w:pPr>
    </w:lvl>
    <w:lvl w:ilvl="8" w:tplc="60504CE8">
      <w:start w:val="1"/>
      <w:numFmt w:val="bullet"/>
      <w:lvlText w:val="●"/>
      <w:lvlJc w:val="left"/>
      <w:pPr>
        <w:ind w:left="6480" w:hanging="360"/>
      </w:pPr>
    </w:lvl>
  </w:abstractNum>
  <w:num w:numId="1" w16cid:durableId="7711732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06E"/>
    <w:rsid w:val="00173AF6"/>
    <w:rsid w:val="00990CEE"/>
    <w:rsid w:val="00C001F0"/>
    <w:rsid w:val="00D1406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A867938"/>
  <w15:docId w15:val="{595C0996-0E97-A24E-87E8-D7D53DF04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80" w:after="240"/>
      <w:outlineLvl w:val="0"/>
    </w:pPr>
    <w:rPr>
      <w:b/>
      <w:bCs/>
      <w:color w:val="000000"/>
    </w:rPr>
  </w:style>
  <w:style w:type="paragraph" w:styleId="Titre2">
    <w:name w:val="heading 2"/>
    <w:uiPriority w:val="9"/>
    <w:semiHidden/>
    <w:unhideWhenUsed/>
    <w:qFormat/>
    <w:pPr>
      <w:spacing w:before="360" w:after="120"/>
      <w:outlineLvl w:val="1"/>
    </w:pPr>
    <w:rPr>
      <w:b/>
      <w:bCs/>
      <w:i/>
      <w:iCs/>
      <w:color w:val="000000"/>
    </w:rPr>
  </w:style>
  <w:style w:type="paragraph" w:styleId="Titre3">
    <w:name w:val="heading 3"/>
    <w:uiPriority w:val="9"/>
    <w:semiHidden/>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7317</Words>
  <Characters>47421</Characters>
  <Application>Microsoft Office Word</Application>
  <DocSecurity>0</DocSecurity>
  <Lines>750</Lines>
  <Paragraphs>125</Paragraphs>
  <ScaleCrop>false</ScaleCrop>
  <Company/>
  <LinksUpToDate>false</LinksUpToDate>
  <CharactersWithSpaces>54676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Author</cp:lastModifiedBy>
  <cp:revision>2</cp:revision>
  <dcterms:created xsi:type="dcterms:W3CDTF">2026-03-13T12:21:00Z</dcterms:created>
  <dcterms:modified xsi:type="dcterms:W3CDTF">2026-03-13T12:21:00Z</dcterms:modified>
</cp:coreProperties>
</file>