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D2807" w14:textId="77777777" w:rsidR="00D1406E" w:rsidRDefault="00990CEE">
      <w:pPr>
        <w:spacing w:before="1440" w:line="480" w:lineRule="auto"/>
        <w:jc w:val="center"/>
      </w:pPr>
      <w:r>
        <w:rPr>
          <w:b/>
          <w:bCs/>
          <w:sz w:val="28"/>
          <w:szCs w:val="28"/>
        </w:rPr>
        <w:t>Cripping Feminist Social Work:</w:t>
      </w:r>
    </w:p>
    <w:p w14:paraId="26B57C19" w14:textId="77777777" w:rsidR="00D1406E" w:rsidRDefault="00990CEE">
      <w:pPr>
        <w:spacing w:line="480" w:lineRule="auto"/>
        <w:jc w:val="center"/>
      </w:pPr>
      <w:r>
        <w:rPr>
          <w:b/>
          <w:bCs/>
          <w:sz w:val="28"/>
          <w:szCs w:val="28"/>
        </w:rPr>
        <w:t>Compulsory Able-Bodiedness, Epistemic Injustice, and Sexual Violence</w:t>
      </w:r>
    </w:p>
    <w:p w14:paraId="1B667F9C" w14:textId="77777777" w:rsidR="00D1406E" w:rsidRDefault="00990CEE">
      <w:pPr>
        <w:spacing w:line="480" w:lineRule="auto"/>
        <w:jc w:val="center"/>
      </w:pPr>
      <w:r>
        <w:rPr>
          <w:b/>
          <w:bCs/>
          <w:sz w:val="28"/>
          <w:szCs w:val="28"/>
        </w:rPr>
        <w:t>Against Disabled People</w:t>
      </w:r>
    </w:p>
    <w:p w14:paraId="463A43CF" w14:textId="77777777" w:rsidR="00D1406E" w:rsidRDefault="00D1406E">
      <w:pPr>
        <w:spacing w:line="480" w:lineRule="auto"/>
      </w:pPr>
    </w:p>
    <w:p w14:paraId="4448489F" w14:textId="77777777" w:rsidR="00D1406E" w:rsidRDefault="00D1406E">
      <w:pPr>
        <w:spacing w:line="480" w:lineRule="auto"/>
      </w:pPr>
    </w:p>
    <w:p w14:paraId="2416CF3C" w14:textId="77777777" w:rsidR="00D1406E" w:rsidRDefault="00D1406E">
      <w:pPr>
        <w:spacing w:line="480" w:lineRule="auto"/>
      </w:pPr>
    </w:p>
    <w:p w14:paraId="1A18F19D" w14:textId="77777777" w:rsidR="00D1406E" w:rsidRDefault="00990CEE">
      <w:pPr>
        <w:spacing w:line="480" w:lineRule="auto"/>
        <w:jc w:val="center"/>
      </w:pPr>
      <w:r>
        <w:rPr>
          <w:b/>
          <w:bCs/>
        </w:rPr>
        <w:t>Abstract</w:t>
      </w:r>
    </w:p>
    <w:p w14:paraId="49F9CC15" w14:textId="77777777" w:rsidR="00D1406E" w:rsidRDefault="00D1406E">
      <w:pPr>
        <w:spacing w:line="480" w:lineRule="auto"/>
      </w:pPr>
    </w:p>
    <w:p w14:paraId="0F171660" w14:textId="77777777" w:rsidR="00D1406E" w:rsidRDefault="00990CEE">
      <w:pPr>
        <w:pStyle w:val="Normal"/>
        <w:spacing w:line="480" w:lineRule="auto"/>
        <w:jc w:val="both"/>
      </w:pPr>
      <w:r>
        <w:rPr>
          <w:color w:val="0000CC"/>
        </w:rPr>
        <w:t>Sexual violence against disabled people is well documented epidemiologically and forcefully denounced politically, yet it has rarely been theorized as a product of the ordinary organization of care. This conceptual article develops such a theorization from the medico-social systems of Belgium and France, where residential facilities remain the primary infrastructure of support for many disabled people and independent safeguarding is weak. Drawing on crip theory, feminist disability studies, epistemic injustice frameworks, and disability justice, we argue that forced intimacy (Mingus, 2017) is not one risk factor among others but the structural medium through which normative and epistemic systems are joined. Because intimate bodily access is mandated and routinized as care, it produces exposure to violation and, in the same movement, disables its recognition: epistemic injustice operates before disclosure, foreclosing the resources through which violation could be named, and not only after it, in the discounting of testimony already given. We trace how disclosures are subsequently absorbed — through reattribution of signs to impairment, pre-emptive disqualification of the disabled person's account, and diffusion of reporting responsibility — and argue that the analysis is portable beyond this regime, to other configurations in which relational or bodily access is professionally mandated and interpretive authority professionally held. Implications for feminist social work practice, education, and research are discussed.</w:t>
      </w:r>
    </w:p>
    <w:p w14:paraId="03C22510" w14:textId="77777777" w:rsidR="00D1406E" w:rsidRDefault="00D1406E">
      <w:pPr>
        <w:spacing w:line="480" w:lineRule="auto"/>
      </w:pPr>
    </w:p>
    <w:p w14:paraId="4A149587" w14:textId="77777777" w:rsidR="00D1406E" w:rsidRDefault="00990CEE">
      <w:pPr>
        <w:pStyle w:val="Normal"/>
        <w:spacing w:line="480" w:lineRule="auto"/>
        <w:jc w:val="both"/>
      </w:pPr>
      <w:r>
        <w:rPr>
          <w:color w:val="0000CC"/>
        </w:rPr>
        <w:t>Keywords: crip theory, forced intimacy, epistemic injustice, sexual violence, disability, feminist social work</w:t>
      </w:r>
    </w:p>
    <w:p w14:paraId="12B93729" w14:textId="77777777" w:rsidR="00D1406E" w:rsidRDefault="00D1406E">
      <w:pPr>
        <w:pageBreakBefore/>
      </w:pPr>
    </w:p>
    <w:p w14:paraId="6685CE93" w14:textId="77777777" w:rsidR="00D1406E" w:rsidRDefault="00990CEE">
      <w:pPr>
        <w:pStyle w:val="Titre1"/>
      </w:pPr>
      <w:r>
        <w:t>Introduction</w:t>
      </w:r>
    </w:p>
    <w:p w14:paraId="3652BD76" w14:textId="77777777" w:rsidR="00D1406E" w:rsidRDefault="00990CEE">
      <w:pPr>
        <w:pStyle w:val="Normal"/>
        <w:spacing w:line="480" w:lineRule="auto"/>
        <w:ind w:firstLine="720"/>
        <w:jc w:val="both"/>
      </w:pPr>
      <w:r>
        <w:rPr>
          <w:color w:val="0000CC"/>
        </w:rPr>
        <w:t>Sexual violence against disabled people is, in the words of Mueller, Forber-Pratt, and Sriken (2019), a domain where disability remains “missing from the conversation.” The epidemiological picture is consistent. Hughes and colleagues' (2012) meta-analysis reports a pooled odds ratio of 1.50 for violence of any kind against disabled adults, rising to 1.60 for adults with intellectual impairments, and a pooled prevalence of recent violence of 24.3% among people with mental illnesses; Mailhot Amborski and colleagues' (2022) meta-analysis of 68 studies reports an odds ratio of 2.27 for sexual victimisation specifically. Yet these figures circulate largely within epidemiological and legal literatures, disconnected from the frameworks feminist social work has developed to understand gender-based violence, and equally disconnected from the critical disability scholarship that has reframed the politics of disabled life.</w:t>
      </w:r>
    </w:p>
    <w:p w14:paraId="1F3B2C77" w14:textId="77777777" w:rsidR="00D1406E" w:rsidRDefault="00D1406E">
      <w:pPr>
        <w:spacing w:line="480" w:lineRule="auto"/>
      </w:pPr>
    </w:p>
    <w:p w14:paraId="3C25877B" w14:textId="77777777" w:rsidR="00D1406E" w:rsidRDefault="00990CEE">
      <w:pPr>
        <w:pStyle w:val="Normal"/>
        <w:spacing w:line="480" w:lineRule="auto"/>
        <w:ind w:firstLine="720"/>
        <w:jc w:val="both"/>
      </w:pPr>
      <w:r>
        <w:rPr>
          <w:color w:val="0000CC"/>
        </w:rPr>
        <w:t>This disconnection is not incidental. Crip theory has extensively theorized normative corporeality, institutional power, and the politics of care and sexuality (McRuer, 2006; Kafer, 2013; Price, 2015), but has largely left sexual violence as a named reality rather than a theorized object. Feminist social work has produced rich frameworks for understanding gender-based violence, institutional complicity, and survivor-centered practice, but has rarely treated disability as a constitutive rather than supplementary dimension of analysis. The consequences are concrete: disabled survivors encounter services and practitioners ill-equipped to recognize the specific conditions of their exposure, and researchers lack the conceptual tools to analyze those conditions without defaulting to individualistic framings of vulnerability.</w:t>
      </w:r>
    </w:p>
    <w:p w14:paraId="06CB40A5" w14:textId="77777777" w:rsidR="00D1406E" w:rsidRDefault="00D1406E">
      <w:pPr>
        <w:spacing w:line="480" w:lineRule="auto"/>
      </w:pPr>
    </w:p>
    <w:p w14:paraId="3E7BADF1" w14:textId="77777777" w:rsidR="00D1406E" w:rsidRDefault="00990CEE">
      <w:pPr>
        <w:spacing w:line="480" w:lineRule="auto"/>
        <w:ind w:firstLine="720"/>
        <w:jc w:val="both"/>
      </w:pPr>
    </w:p>
    <w:p w14:paraId="3E7BADF2" w14:textId="77777777" w:rsidR="00D1406E" w:rsidRDefault="00990CEE">
      <w:pPr>
        <w:pStyle w:val="Normal"/>
        <w:spacing w:line="480" w:lineRule="auto"/>
        <w:ind w:firstLine="720"/>
        <w:jc w:val="both"/>
      </w:pPr>
      <w:r>
        <w:rPr>
          <w:color w:val="0000CC"/>
        </w:rPr>
        <w:t>The concept of vulnerability is where this disconnection is most visible and most consequential. When disability and sexual violence are addressed together, the dominant framing positions disabled people as inherently vulnerable: their bodies or minds are understood to create a special susceptibility that calls for protection. This framing organizes the epidemiological literature, where impairment type functions as the primary explanatory variable (Hughes et al., 2012; Mailhot Amborski et al., 2022); it organizes public policy, as in the French Senate report on violence against disabled women, which builds its case on the denunciation of an invisible vulnerability (Courteau et al., 2019); and it has been documented as the operative common sense of services in the studies that set out to contest it (Hollomotz, 2009, 2011; Thiara et al., 2012). It has been criticized from within disability studies (Hollomotz, 2009, 2011) and feminist theory (Fineman, 2008; Wendell, 1996), and a substantial critical disability and critical social work scholarship has developed alternative analyses of structural violence, institutional harm, and the carceral organization of care (Ben-Moshe, 2020; Chapman &amp; Withers, 2019; Rossiter &amp; Rinaldi, 2018; Shaikh et al., 2022; Steele, 2020). That a structural account is needed is therefore not our claim, and would not be news to critical or feminist social work. Our claim concerns the mechanism: how, specifically, the arrangements through which care is delivered produce both the exposure and its unsayability.</w:t>
      </w:r>
    </w:p>
    <w:p w14:paraId="3E7BADF3" w14:textId="77777777" w:rsidR="00D1406E" w:rsidRDefault="00990CEE">
      <w:pPr>
        <w:pStyle w:val="Normal"/>
        <w:spacing w:line="480" w:lineRule="auto"/>
        <w:ind w:firstLine="720"/>
        <w:jc w:val="both"/>
      </w:pPr>
      <w:r>
        <w:rPr>
          <w:color w:val="0000CC"/>
        </w:rPr>
        <w:t>We pursue that question from a continental European, and specifically Belgian and French, vantage. The medico-social systems through which Belgium and France organize support for disabled people remain heavily structured by large residential institutions, day-care facilities, and specialized services that operate outside the deinstitutionalization trajectories more familiar in Anglophone contexts (Revillard, 2020; Ville et al., 2020). Independent advocacy, statutory patient rights, external oversight, and survivor-led safeguarding, well established in parts of the United Kingdom, Canada, and the United States, remain comparatively underdeveloped (Courteau et al., 2019). The Anglophone scholarship we engage was not produced from this landscape, and its translation into Belgian and French social work is neither automatic nor neutral. Our aim is to bring crip theory, feminist disability studies, epistemic injustice frameworks, and disability justice into sustained dialogue with continental European scholarship that has begun to engage gender, disability, and violence (Bouchet, 2024; Bouchet et al., 2025a, 2025b; Masson, 2013; Puiseux, 2022) but has not yet articulated a structural account of sexual violence adequate to medico-social institutional life.</w:t>
      </w:r>
    </w:p>
    <w:p w14:paraId="29CCD2A4" w14:textId="77777777" w:rsidR="00D1406E" w:rsidRDefault="00D1406E">
      <w:pPr>
        <w:spacing w:line="480" w:lineRule="auto"/>
      </w:pPr>
    </w:p>
    <w:p w14:paraId="31B99A1F" w14:textId="77777777" w:rsidR="00D1406E" w:rsidRDefault="00990CEE">
      <w:pPr>
        <w:spacing w:line="480" w:lineRule="auto"/>
        <w:ind w:firstLine="720"/>
        <w:jc w:val="both"/>
      </w:pPr>
    </w:p>
    <w:p w14:paraId="31B99A20" w14:textId="77777777" w:rsidR="00D1406E" w:rsidRDefault="00990CEE">
      <w:pPr>
        <w:pStyle w:val="Normal"/>
        <w:spacing w:line="480" w:lineRule="auto"/>
        <w:ind w:firstLine="720"/>
        <w:jc w:val="both"/>
      </w:pPr>
      <w:r>
        <w:rPr>
          <w:color w:val="0000CC"/>
        </w:rPr>
        <w:t>We argue that sexual violence against disabled people in these settings is best understood not as an expression of individual fragility but as an effect of three interlocking systems. The first is normative: McRuer's (2006) compulsory able-bodiedness produces a hierarchy of bodies in which disabled corporealities are rendered available for forms of control and intrusion that non-disabled bodies are not, and Mingus's (2017) forced intimacy names the everyday dimension of that arrangement in care relationships. The second is epistemic: disabled people who report sexual violence face a systematic credibility deficit (Williams &amp; Jobe, 2024) that Fricker's (2007) testimonial injustice allows us to name precisely, compounded by institutional betrayal (Smith &amp; Freyd, 2013, 2014) and by what Samra (2025), writing about mental health research, identifies as a further, ontological layer, in which it is not only a person's knowledge but their sense of reality that is judged unreliable. Extending that layer to the scene of disclosure is one of the moves this article makes. The third is professional: the caring occupations that staff these institutions, feminist social work among them, work through relational forms that carry psycho-emotional disablism (Reeve, 2002, 2012) and curative logics (Graziano, 2026), and can therefore reproduce the asymmetries in which violence thrives even where the professional commitment is to contest them.</w:t>
      </w:r>
    </w:p>
    <w:p w14:paraId="385A681C" w14:textId="77777777" w:rsidR="00D1406E" w:rsidRDefault="00D1406E">
      <w:pPr>
        <w:spacing w:line="480" w:lineRule="auto"/>
      </w:pPr>
    </w:p>
    <w:p w14:paraId="7F58D3A0" w14:textId="77777777" w:rsidR="00D1406E" w:rsidRDefault="00990CEE">
      <w:pPr>
        <w:pStyle w:val="Normal"/>
        <w:spacing w:line="480" w:lineRule="auto"/>
        <w:ind w:firstLine="720"/>
        <w:jc w:val="both"/>
      </w:pPr>
      <w:r>
        <w:rPr>
          <w:color w:val="0000CC"/>
        </w:rPr>
        <w:t>What is new here is not any of these concepts taken singly but the claim their articulation makes possible. In the continental medico-social regime, forced intimacy is not one risk factor among others; it is the structural medium binding the normative system to the epistemic one. Because intimate bodily access is mandated and routinized as care, it produces exposure to violation and, in the same movement, disables its recognition. Epistemic injustice therefore operates not only after a disclosure, in the discounting of testimony, but before it, by foreclosing the perceptual and interpretive resources through which violation could be named at all. Each field, taken alone, has missed this pre-disclosure conjunction: crip theory has theorized compulsory able-bodiedness without following it into the scene of sexual violence; feminist social work has theorized gender-based violence without treating disability as a constitutive axis; the epistemic injustice literature has largely addressed credibility once testimony has been given.</w:t>
      </w:r>
    </w:p>
    <w:p w14:paraId="7F58D3A0" w14:textId="77777777" w:rsidR="00D1406E" w:rsidRDefault="00990CEE">
      <w:pPr>
        <w:pStyle w:val="Normal"/>
        <w:spacing w:line="480" w:lineRule="auto"/>
        <w:ind w:firstLine="720"/>
        <w:jc w:val="both"/>
      </w:pPr>
      <w:r>
        <w:rPr>
          <w:color w:val="0000CC"/>
        </w:rPr>
        <w:t>Two consequences organize the article. The first is analytical: if exposure and unsayability are produced together, interventions addressing only the second — better disclosure practice, more attentive listening — leave the first intact. The second concerns scope. The mechanism is densest in the continental medico-social regime, which is why we specify it there, but nothing in it is proper to that regime or to disability; it should be expected wherever bodily or relational access to a person is professionally mandated and the authority to interpret that access is professionally held. We return to this portability, and its limits, in the discussion.</w:t>
      </w:r>
    </w:p>
    <w:p w14:paraId="7F58D3A1" w14:textId="77777777" w:rsidR="00D1406E" w:rsidRDefault="00D1406E">
      <w:pPr>
        <w:spacing w:line="480" w:lineRule="auto"/>
      </w:pPr>
    </w:p>
    <w:p w14:paraId="7F58D3A2" w14:textId="77777777" w:rsidR="00D1406E" w:rsidRDefault="00990CEE">
      <w:pPr>
        <w:pStyle w:val="Normal"/>
        <w:spacing w:line="480" w:lineRule="auto"/>
        <w:ind w:firstLine="720"/>
        <w:jc w:val="both"/>
      </w:pPr>
      <w:r>
        <w:rPr>
          <w:color w:val="0000CC"/>
        </w:rPr>
        <w:t>The article is structured as follows. The next section clarifies the conceptual approach, positionality, and scope of the argument, including the occupational vocabulary at stake. A background section then situates the contribution within critical disability studies and critical social work scholarship on institutional violence, and within the francophone theorization of the medico-social. Three substantive sections take up, in turn, the normative infrastructure of compulsory able-bodiedness and forced intimacy, which shifts the analytical frame from individual vulnerability to structural exposure; the epistemic and institutional mechanisms — testimonial, hermeneutical, and ontological injustice, and institutional betrayal — through which this violence is rendered invisible; and the professional register, where the analysis bears most directly on feminist social work. The discussion establishes the scope of the argument beyond the medico-social regime and draws out implications for practice, education, and research.</w:t>
      </w:r>
    </w:p>
    <w:p w14:paraId="0DBBE969" w14:textId="77777777" w:rsidR="00D1406E" w:rsidRDefault="00D1406E">
      <w:pPr>
        <w:spacing w:line="480" w:lineRule="auto"/>
      </w:pPr>
    </w:p>
    <w:p w14:paraId="7CF628D9" w14:textId="77777777" w:rsidR="00D1406E" w:rsidRDefault="00990CEE">
      <w:pPr>
        <w:spacing w:line="480" w:lineRule="auto"/>
        <w:ind w:firstLine="720"/>
        <w:jc w:val="both"/>
      </w:pPr>
    </w:p>
    <w:p w14:paraId="0A8A0685" w14:textId="77777777" w:rsidR="00D1406E" w:rsidRDefault="00990CEE">
      <w:pPr>
        <w:pStyle w:val="Titre1"/>
      </w:pPr>
      <w:r>
        <w:t>Conceptual Approach, Positionality, and Scope</w:t>
      </w:r>
    </w:p>
    <w:p w14:paraId="6C28CF31" w14:textId="77777777" w:rsidR="00D1406E" w:rsidRDefault="00990CEE">
      <w:pPr>
        <w:spacing w:line="480" w:lineRule="auto"/>
        <w:ind w:firstLine="720"/>
        <w:jc w:val="both"/>
      </w:pPr>
    </w:p>
    <w:p w14:paraId="6C28CF32" w14:textId="77777777" w:rsidR="00D1406E" w:rsidRDefault="00990CEE">
      <w:pPr>
        <w:pStyle w:val="Normal"/>
        <w:spacing w:line="480" w:lineRule="auto"/>
        <w:ind w:firstLine="720"/>
        <w:jc w:val="both"/>
      </w:pPr>
      <w:r>
        <w:rPr>
          <w:color w:val="0000CC"/>
        </w:rPr>
        <w:t>This is a conceptual article. It does not present empirical findings, and it does not claim an exhaustive review of the literature on disability and sexual violence. The framework it develops is not derived from the literature alone, however: it emerges from our ongoing empirical research on how French and Belgian medico-social institutions and the professionals working in them recognize, deny, or absorb disclosures of sexual violence by disabled people (Authors, under review). Since that empirical paper is under review and its data are unavailable to readers here, it is worth being precise about what the fieldwork contributed. Three things in the argument are field-derived rather than literature-derived: the salience of forced intimacy itself, since what recurred was not a catalogue of risk factors but the sheer ordinariness of mandated bodily access; the observation that disclosures were rarely refused outright and were instead metabolized, which directed us toward institutional betrayal rather than individual disbelief; and the sequencing, since the interpretive foreclosure we describe appeared to precede rather than follow disclosure. These are the questions the fieldwork put to us. The answers we give are conceptual, and every claim advanced here is warranted by published scholarship and publicly available institutional sources, which we cite as such; readers are not asked to take unpublished data on trust.</w:t>
      </w:r>
    </w:p>
    <w:p w14:paraId="6C28CF32" w14:textId="77777777" w:rsidR="00D1406E" w:rsidRDefault="00990CEE">
      <w:pPr>
        <w:pStyle w:val="Normal"/>
        <w:spacing w:line="480" w:lineRule="auto"/>
        <w:ind w:firstLine="720"/>
        <w:jc w:val="both"/>
      </w:pPr>
      <w:r>
        <w:rPr>
          <w:color w:val="0000CC"/>
        </w:rPr>
        <w:t>The corpus was assembled through theoretical triangulation across four bodies of scholarship — crip theory, feminist disability studies, epistemic injustice frameworks, and feminist and critical social work — that we read as offering complementary resources for an integrated account. We engage seminal and recent works in each, alongside disability justice scholarship that does not always appear in academic databases but constitutes a foundational contribution to the theorization of disability and violence (Berne et al., 2018; Mingus, 2011, 2017; Piepzna-Samarasinha, 2018; Sins Invalid, 2018). We engage activist and non-academic scholarship as a normal feature of disability studies inquiry, not as a methodological exception requiring justification.</w:t>
      </w:r>
    </w:p>
    <w:p w14:paraId="74A17173" w14:textId="77777777" w:rsidR="00D1406E" w:rsidRDefault="00D1406E">
      <w:pPr>
        <w:spacing w:line="480" w:lineRule="auto"/>
      </w:pPr>
    </w:p>
    <w:p w14:paraId="708A4322" w14:textId="77777777" w:rsidR="00D1406E" w:rsidRDefault="00990CEE">
      <w:pPr>
        <w:spacing w:line="480" w:lineRule="auto"/>
        <w:ind w:firstLine="720"/>
        <w:jc w:val="both"/>
      </w:pPr>
    </w:p>
    <w:p w14:paraId="708A4323" w14:textId="77777777" w:rsidR="00D1406E" w:rsidRDefault="00990CEE">
      <w:pPr>
        <w:pStyle w:val="Normal"/>
        <w:spacing w:line="480" w:lineRule="auto"/>
        <w:ind w:firstLine="720"/>
        <w:jc w:val="both"/>
      </w:pPr>
      <w:r>
        <w:rPr>
          <w:color w:val="0000CC"/>
        </w:rPr>
        <w:t>Our analytical strategy follows the tradition of intersectional theory-building (Collins &amp; Bilge, 2020; Crenshaw, 1991): we treat the normative, epistemic, and professional systems analyzed here not as parallel or additive structures but as mutually constitutive. Compulsory able-bodiedness underwrites epistemic hierarchies that shape professional practice, while professional practice reproduces the normative arrangements from which it derives its authority. What we claim is an account of how the three lock together in a specific institutional regime, with forced intimacy as the hinge, and of what that account makes visible that a structural framing alone does not: that the conditions of exposure and the conditions of its unsayability are the same conditions.</w:t>
      </w:r>
    </w:p>
    <w:p w14:paraId="033E6106" w14:textId="77777777" w:rsidR="00D1406E" w:rsidRDefault="00D1406E">
      <w:pPr>
        <w:spacing w:line="480" w:lineRule="auto"/>
      </w:pPr>
    </w:p>
    <w:p w14:paraId="7262C23B" w14:textId="77777777" w:rsidR="00D1406E" w:rsidRDefault="00990CEE">
      <w:pPr>
        <w:pStyle w:val="Normal"/>
        <w:spacing w:line="480" w:lineRule="auto"/>
        <w:ind w:firstLine="720"/>
        <w:jc w:val="both"/>
      </w:pPr>
      <w:r>
        <w:rPr>
          <w:color w:val="0000CC"/>
        </w:rPr>
        <w:t>A note on positionality is warranted. We write from a sociological and social work perspective situated in Belgium and France, engaging primarily Anglophone theoretical frameworks whose institutional and policy assumptions do not translate directly, since they were produced largely from contexts in which deinstitutionalization, independent living movements, and survivor-centered safeguarding have substantial institutional purchase. We name this asymmetry not to provincialize the analysis but to specify the institutional terrain on which our conceptual claims are meant to do work.</w:t>
      </w:r>
    </w:p>
    <w:p w14:paraId="7262C23C" w14:textId="77777777" w:rsidR="00D1406E" w:rsidRDefault="00990CEE">
      <w:pPr>
        <w:pStyle w:val="Normal"/>
        <w:spacing w:line="480" w:lineRule="auto"/>
        <w:ind w:firstLine="720"/>
        <w:jc w:val="both"/>
      </w:pPr>
      <w:r>
        <w:rPr>
          <w:color w:val="0000CC"/>
        </w:rPr>
        <w:t>A note on scope and vocabulary is also warranted. By “disability” we follow the convention of contemporary disability studies and disability justice movements, treating the term as a social and political position rather than a list of impairments. Where our argument applies with particular force to specific groups — people with intellectual disabilities, people with psychosocial or psychiatric disabilities, people with neurodevelopmental disabilities — we name them explicitly, recognizing that the credibility hierarchies, communication conditions, and institutional arrangements at issue affect these groups in distinct and compounded ways (Daley et al., 2019; Samra, 2025; Williams &amp; Jobe, 2024). We use “crip” as a reclaimed critical term following McRuer (2006) and Kafer (2013), not as a neutral descriptor.</w:t>
      </w:r>
    </w:p>
    <w:p w14:paraId="7262C23C" w14:textId="77777777" w:rsidR="00D1406E" w:rsidRDefault="00990CEE">
      <w:pPr>
        <w:pStyle w:val="Normal"/>
        <w:spacing w:line="480" w:lineRule="auto"/>
        <w:ind w:firstLine="720"/>
        <w:jc w:val="both"/>
      </w:pPr>
      <w:r>
        <w:rPr>
          <w:color w:val="0000CC"/>
        </w:rPr>
        <w:t xml:space="preserve">The occupational vocabulary requires more care than it usually receives, because our argument turns on a division of labour that Anglophone usage tends to collapse. Contrary to a common assumption, France and Belgium both have a qualified social work profession, though not on identical terms: in France the </w:t>
      </w:r>
      <w:r>
        <w:rPr>
          <w:i/>
          <w:color w:val="0000CC"/>
        </w:rPr>
        <w:t>assistant de service social</w:t>
      </w:r>
      <w:r>
        <w:rPr>
          <w:color w:val="0000CC"/>
        </w:rPr>
        <w:t xml:space="preserve"> holds a state diploma, the </w:t>
      </w:r>
      <w:r>
        <w:rPr>
          <w:i/>
          <w:color w:val="0000CC"/>
        </w:rPr>
        <w:t>diplôme d'État d'assistant de service social</w:t>
      </w:r>
      <w:r>
        <w:rPr>
          <w:color w:val="0000CC"/>
        </w:rPr>
        <w:t xml:space="preserve">, while in francophone Belgium the equivalent is a </w:t>
      </w:r>
      <w:r>
        <w:rPr>
          <w:i/>
          <w:color w:val="0000CC"/>
        </w:rPr>
        <w:t>bachelier en assistance sociale</w:t>
      </w:r>
      <w:r>
        <w:rPr>
          <w:color w:val="0000CC"/>
        </w:rPr>
        <w:t xml:space="preserve"> delivered by the </w:t>
      </w:r>
      <w:r>
        <w:rPr>
          <w:i/>
          <w:color w:val="0000CC"/>
        </w:rPr>
        <w:t>hautes écoles</w:t>
      </w:r>
      <w:r>
        <w:rPr>
          <w:color w:val="0000CC"/>
        </w:rPr>
        <w:t xml:space="preserve">. In neither case does this professional normally perform intimate bodily care in residential settings. That work is done by </w:t>
      </w:r>
      <w:r>
        <w:rPr>
          <w:i/>
          <w:color w:val="0000CC"/>
        </w:rPr>
        <w:t>aides-soignant·es</w:t>
      </w:r>
      <w:r>
        <w:rPr>
          <w:color w:val="0000CC"/>
        </w:rPr>
        <w:t xml:space="preserve"> and </w:t>
      </w:r>
      <w:r>
        <w:rPr>
          <w:i/>
          <w:color w:val="0000CC"/>
        </w:rPr>
        <w:t>auxiliaires de vie</w:t>
      </w:r>
      <w:r>
        <w:rPr>
          <w:color w:val="0000CC"/>
        </w:rPr>
        <w:t xml:space="preserve">, and, under a broader educational and daily-living mandate, by </w:t>
      </w:r>
      <w:r>
        <w:rPr>
          <w:i/>
          <w:color w:val="0000CC"/>
        </w:rPr>
        <w:t>éducateur·rices spécialisé·es</w:t>
      </w:r>
      <w:r>
        <w:rPr>
          <w:color w:val="0000CC"/>
        </w:rPr>
        <w:t xml:space="preserve"> — occupations with their own training routes and status hierarchies and, in the first two cases, markedly lower pay and job security. When we speak of forced intimacy we describe the work of these frontline occupations; when we speak of the assessment and closure of a disclosure we usually describe the work of a </w:t>
      </w:r>
      <w:r>
        <w:rPr>
          <w:i/>
          <w:color w:val="0000CC"/>
        </w:rPr>
        <w:t>référent</w:t>
      </w:r>
      <w:r>
        <w:rPr>
          <w:color w:val="0000CC"/>
        </w:rPr>
        <w:t xml:space="preserve"> or case manager. By “feminist social work” we therefore refer both to the Anglophone tradition of feminist and anti-oppressive theory (Dominelli, 2002; Fook, 2002) and to the gendered care professions of continental Europe — </w:t>
      </w:r>
      <w:r>
        <w:rPr>
          <w:i/>
          <w:color w:val="0000CC"/>
        </w:rPr>
        <w:t>travail social</w:t>
      </w:r>
      <w:r>
        <w:rPr>
          <w:color w:val="0000CC"/>
        </w:rPr>
        <w:t xml:space="preserve">, </w:t>
      </w:r>
      <w:r>
        <w:rPr>
          <w:i/>
          <w:color w:val="0000CC"/>
        </w:rPr>
        <w:t>aide sociale</w:t>
      </w:r>
      <w:r>
        <w:rPr>
          <w:color w:val="0000CC"/>
        </w:rPr>
        <w:t xml:space="preserve">, </w:t>
      </w:r>
      <w:r>
        <w:rPr>
          <w:i/>
          <w:color w:val="0000CC"/>
        </w:rPr>
        <w:t>éducation spécialisée</w:t>
      </w:r>
      <w:r>
        <w:rPr>
          <w:color w:val="0000CC"/>
        </w:rPr>
        <w:t xml:space="preserve"> — which are not identical to Anglophone professional social work but occupy structurally analogous positions in the medico-social organization of disabled life.</w:t>
      </w:r>
    </w:p>
    <w:p w14:paraId="51C22E91" w14:textId="77777777" w:rsidR="00D1406E" w:rsidRDefault="00990CEE">
      <w:pPr>
        <w:pStyle w:val="Titre1"/>
      </w:pPr>
      <w:r>
        <w:t>Background: Critical Disability Studies and Critical Social Work on Structural Violence</w:t>
      </w:r>
    </w:p>
    <w:p w14:paraId="51C22E93" w14:textId="77777777" w:rsidR="00D1406E" w:rsidRDefault="00990CEE">
      <w:pPr>
        <w:pStyle w:val="Normal"/>
        <w:spacing w:line="480" w:lineRule="auto"/>
        <w:ind w:firstLine="720"/>
        <w:jc w:val="both"/>
      </w:pPr>
      <w:r>
        <w:rPr>
          <w:color w:val="0000CC"/>
        </w:rPr>
        <w:t>The account we develop builds on, rather than fills a void in, two long-standing critical traditions. Both critical disability studies and critical social work have theorized institutional violence, the carceral organization of care, and the imbrication of disablism with other axes of oppression for decades. Naming this work sets the standard the present contribution has to meet: to specify a mechanism these traditions have described in its effects without isolating in its operation, and to do so on institutional ground they were not built from.</w:t>
      </w:r>
    </w:p>
    <w:p w14:paraId="51C22E94" w14:textId="77777777" w:rsidR="00D1406E" w:rsidRDefault="00990CEE">
      <w:pPr>
        <w:pStyle w:val="Normal"/>
        <w:spacing w:line="480" w:lineRule="auto"/>
        <w:ind w:firstLine="720"/>
        <w:jc w:val="both"/>
      </w:pPr>
      <w:r>
        <w:rPr>
          <w:color w:val="0000CC"/>
        </w:rPr>
        <w:t xml:space="preserve">Critical disability studies and the analysis of institutional violence. The critique of institutional violence against disabled people is constitutive of contemporary disability studies rather than an emergent agenda. Sobsey's (1994) early synthesis already documented institutional and semi-institutional settings as primary sites of abuse, and scholarship has since developed the analysis well beyond the question of individual perpetrators. Ben-Moshe's (2020) </w:t>
      </w:r>
      <w:r>
        <w:rPr>
          <w:i/>
          <w:color w:val="0000CC"/>
        </w:rPr>
        <w:t>Decarcerating Disability</w:t>
      </w:r>
      <w:r>
        <w:rPr>
          <w:color w:val="0000CC"/>
        </w:rPr>
        <w:t xml:space="preserve"> and the collection she co-edited on </w:t>
      </w:r>
      <w:r>
        <w:rPr>
          <w:i/>
          <w:color w:val="0000CC"/>
        </w:rPr>
        <w:t>Disability Incarcerated</w:t>
      </w:r>
      <w:r>
        <w:rPr>
          <w:color w:val="0000CC"/>
        </w:rPr>
        <w:t xml:space="preserve"> (Ben-Moshe et al., 2014) reconceptualize disability institutions as continuous with the carceral state, refusing the analytic separation between prison, psychiatric hospital, group home, and residential facility; this work is written from disability studies and critical criminology rather than from social work, and its purchase on social work is one of implication rather than of disciplinary membership. Rossiter and Rinaldi (2018) show, through Canadian case studies of long-term care, that violence is produced through ordinary institutional functioning rather than aberrant practice; Steele (2020) theorizes the legal infrastructures through which such harm is rendered lawful; and in Mad Studies, Daley, Costa, and Beresford's (2019) collection gathers a critique of psychiatric institutional violence that bears directly on the questions of credibility and coercion we raise.</w:t>
      </w:r>
    </w:p>
    <w:p w14:paraId="51C22E95" w14:textId="77777777" w:rsidR="00D1406E" w:rsidRDefault="00990CEE">
      <w:pPr>
        <w:pStyle w:val="Normal"/>
        <w:spacing w:line="480" w:lineRule="auto"/>
        <w:ind w:firstLine="720"/>
        <w:jc w:val="both"/>
      </w:pPr>
      <w:r>
        <w:rPr>
          <w:color w:val="0000CC"/>
        </w:rPr>
        <w:t>This critique has been deepened by sub-traditions that refuse the universalization of the disabled subject. Mad Studies (Daley et al., 2019; LeFrançois et al., 2013) insists that psychiatric power and involuntary intervention require their own analytic vocabulary; DisCrit (Annamma et al., 2013) theorizes the co-production of disability and race in carceral and educational systems; and Schalk's (2018, 2022) Black disability studies, Erevelles's (2011) materialist analysis, Kim's (2017) crip-of-color critique, and Bell's (2006) intervention on White disability studies have reoriented the field away from single-axis politics. These are not additions to a generic disability analysis: they specify how disabled people of color, disabled women of color, and disabled queer and trans people experience compounding exposure that single-axis frameworks systematically miss.</w:t>
      </w:r>
    </w:p>
    <w:p w14:paraId="51C22E96" w14:textId="77777777" w:rsidR="00D1406E" w:rsidRDefault="00990CEE">
      <w:pPr>
        <w:pStyle w:val="Normal"/>
        <w:spacing w:line="480" w:lineRule="auto"/>
        <w:ind w:firstLine="720"/>
        <w:jc w:val="both"/>
      </w:pPr>
      <w:r>
        <w:rPr>
          <w:color w:val="0000CC"/>
        </w:rPr>
        <w:t xml:space="preserve">Critical social work as a tradition of structural critique. Chapman and Withers' (2019) </w:t>
      </w:r>
      <w:r>
        <w:rPr>
          <w:i/>
          <w:color w:val="0000CC"/>
        </w:rPr>
        <w:t>A Violent History of Benevolence</w:t>
      </w:r>
      <w:r>
        <w:rPr>
          <w:color w:val="0000CC"/>
        </w:rPr>
        <w:t xml:space="preserve"> analyzes social work as a profession constituted through interlocking moral economies of colonial, racial, ableist, and class-based violence, displacing the field's self-presentation as a profession of care; both authors write from within social work while also locating themselves within disability studies, and the boundary is in their case genuinely porous rather than merely crossed. Shaikh, LeFrançois, and Macías's (2022) </w:t>
      </w:r>
      <w:r>
        <w:rPr>
          <w:i/>
          <w:color w:val="0000CC"/>
        </w:rPr>
        <w:t>Critical Social Work Praxis</w:t>
      </w:r>
      <w:r>
        <w:rPr>
          <w:color w:val="0000CC"/>
        </w:rPr>
        <w:t xml:space="preserve"> assembles an apparatus for thinking about race, madness, gender, and the state in practice, while Dominelli (2002) and Fook (2002) provide foundational vocabularies for power asymmetries in professional relationships. Within feminist social work, Wendell (1989, 1996) and Morris (1991) opened, decades ago, the internal critique we extend here.</w:t>
      </w:r>
    </w:p>
    <w:p w14:paraId="51C22E98" w14:textId="77777777" w:rsidR="00D1406E" w:rsidRDefault="00990CEE">
      <w:pPr>
        <w:pStyle w:val="Normal"/>
        <w:spacing w:line="480" w:lineRule="auto"/>
        <w:ind w:firstLine="720"/>
        <w:jc w:val="both"/>
      </w:pPr>
      <w:r>
        <w:rPr>
          <w:color w:val="0000CC"/>
        </w:rPr>
        <w:t xml:space="preserve">A francophone theorization of the medico-social. The continental medico-social is a distinct regime of disability governance with its own genealogy. Stiker's (2013) </w:t>
      </w:r>
      <w:r>
        <w:rPr>
          <w:i/>
          <w:color w:val="0000CC"/>
        </w:rPr>
        <w:t>longue durée</w:t>
      </w:r>
      <w:r>
        <w:rPr>
          <w:color w:val="0000CC"/>
        </w:rPr>
        <w:t xml:space="preserve"> history of the figure of infirmity in French culture, Castel's (1995) analysis of the social question and its </w:t>
      </w:r>
      <w:r>
        <w:rPr>
          <w:i/>
          <w:color w:val="0000CC"/>
        </w:rPr>
        <w:t>dispositifs</w:t>
      </w:r>
      <w:r>
        <w:rPr>
          <w:color w:val="0000CC"/>
        </w:rPr>
        <w:t>, and Revillard's (2020) study of disability rights as “vulnerable rights” together specify a tradition in which large residential and semi-residential institutions are active components of public welfare rather than residual anachronisms; in which professional authority is distributed across medical, paramedical, and educational actors around a normative horizon of inclusion that retains paternalist structures in practice; and in which disabled-led advocacy has historically been mediated by parent associations and public administrators rather than by independent disabled subjects (Ville et al., 2020).</w:t>
      </w:r>
    </w:p>
    <w:p w14:paraId="51C22E98" w14:textId="77777777" w:rsidR="00D1406E" w:rsidRDefault="00990CEE">
      <w:pPr>
        <w:pStyle w:val="Normal"/>
        <w:spacing w:line="480" w:lineRule="auto"/>
        <w:ind w:firstLine="720"/>
        <w:jc w:val="both"/>
      </w:pPr>
      <w:r>
        <w:rPr>
          <w:color w:val="0000CC"/>
        </w:rPr>
        <w:t xml:space="preserve">It is from this inheritance that the francophone vocabulary of </w:t>
      </w:r>
      <w:r>
        <w:rPr>
          <w:i/>
          <w:color w:val="0000CC"/>
        </w:rPr>
        <w:t>validisme</w:t>
      </w:r>
      <w:r>
        <w:rPr>
          <w:color w:val="0000CC"/>
        </w:rPr>
        <w:t xml:space="preserve"> and </w:t>
      </w:r>
      <w:r>
        <w:rPr>
          <w:i/>
          <w:color w:val="0000CC"/>
        </w:rPr>
        <w:t>capacitisme</w:t>
      </w:r>
      <w:r>
        <w:rPr>
          <w:color w:val="0000CC"/>
        </w:rPr>
        <w:t xml:space="preserve"> emerges. Since both are sometimes presented as straightforward equivalents of “ableism,” it is worth being precise, and Primerano's (2022) history of the two terms allows us to be. Both appeared in the early 2000s, and both were advanced as francophone translations of </w:t>
      </w:r>
      <w:r>
        <w:rPr>
          <w:i/>
          <w:color w:val="0000CC"/>
        </w:rPr>
        <w:t>ableism</w:t>
      </w:r>
      <w:r>
        <w:rPr>
          <w:color w:val="0000CC"/>
        </w:rPr>
        <w:t xml:space="preserve">: the observation that they are alternative renderings of the same concept is therefore not wrong. What it misses is that they were produced in different places by different movements. </w:t>
      </w:r>
      <w:r>
        <w:rPr>
          <w:i/>
          <w:color w:val="0000CC"/>
        </w:rPr>
        <w:t>Capacitisme</w:t>
      </w:r>
      <w:r>
        <w:rPr>
          <w:color w:val="0000CC"/>
        </w:rPr>
        <w:t xml:space="preserve">, built on </w:t>
      </w:r>
      <w:r>
        <w:rPr>
          <w:i/>
          <w:color w:val="0000CC"/>
        </w:rPr>
        <w:t>capacité</w:t>
      </w:r>
      <w:r>
        <w:rPr>
          <w:color w:val="0000CC"/>
        </w:rPr>
        <w:t xml:space="preserve">, emerged first in the Canadian and Québécois context and within disabled feminist mobilizations. </w:t>
      </w:r>
      <w:r>
        <w:rPr>
          <w:i/>
          <w:color w:val="0000CC"/>
        </w:rPr>
        <w:t>Validisme</w:t>
      </w:r>
      <w:r>
        <w:rPr>
          <w:color w:val="0000CC"/>
        </w:rPr>
        <w:t xml:space="preserve">, built on </w:t>
      </w:r>
      <w:r>
        <w:rPr>
          <w:i/>
          <w:color w:val="0000CC"/>
        </w:rPr>
        <w:t>valide</w:t>
      </w:r>
      <w:r>
        <w:rPr>
          <w:color w:val="0000CC"/>
        </w:rPr>
        <w:t>, was created and acquired its currency in the French activist space. Both are structured by an analogy with sexism and racism, and by an intersectional perspective, rather than by a theory of impairment.</w:t>
      </w:r>
    </w:p>
    <w:p w14:paraId="51C22E98" w14:textId="77777777" w:rsidR="00D1406E" w:rsidRDefault="00990CEE">
      <w:pPr>
        <w:pStyle w:val="Normal"/>
        <w:spacing w:line="480" w:lineRule="auto"/>
        <w:ind w:firstLine="720"/>
        <w:jc w:val="both"/>
      </w:pPr>
      <w:r>
        <w:rPr>
          <w:color w:val="0000CC"/>
        </w:rPr>
        <w:t xml:space="preserve">The inference we draw from that history is our own, and it concerns what </w:t>
      </w:r>
      <w:r>
        <w:rPr>
          <w:i/>
          <w:color w:val="0000CC"/>
        </w:rPr>
        <w:t>validisme</w:t>
      </w:r>
      <w:r>
        <w:rPr>
          <w:color w:val="0000CC"/>
        </w:rPr>
        <w:t xml:space="preserve"> inherits from its site of production. </w:t>
      </w:r>
      <w:r>
        <w:rPr>
          <w:i/>
          <w:color w:val="0000CC"/>
        </w:rPr>
        <w:t>Valide</w:t>
      </w:r>
      <w:r>
        <w:rPr>
          <w:color w:val="0000CC"/>
        </w:rPr>
        <w:t xml:space="preserve"> is not a neutral descriptor in French: it stands opposite </w:t>
      </w:r>
      <w:r>
        <w:rPr>
          <w:i/>
          <w:color w:val="0000CC"/>
        </w:rPr>
        <w:t>invalide</w:t>
      </w:r>
      <w:r>
        <w:rPr>
          <w:color w:val="0000CC"/>
        </w:rPr>
        <w:t xml:space="preserve">, the term through which incapacity has long been administratively recognized and entitlement grounded. Revillard's (2020) account of how disability rights are actually claimed in France shows what that inheritance amounts to in practice — access to entitlement runs through administrative and medical assessment, and imposes on the claimant a documented labour of files, evidence, deadlines, and examinations. A term forged in activist critique of that apparatus points accordingly toward placement, gatekeeping, and categorization rather than toward attitude or individual prejudice. This is why we treat the francophone vocabulary as an analytic resource for the regime described here rather than as a problem of translation, and why </w:t>
      </w:r>
      <w:r>
        <w:rPr>
          <w:i/>
          <w:color w:val="0000CC"/>
        </w:rPr>
        <w:t>validisme</w:t>
      </w:r>
      <w:r>
        <w:rPr>
          <w:color w:val="0000CC"/>
        </w:rPr>
        <w:t xml:space="preserve"> is the term we use when we name that regime.</w:t>
      </w:r>
    </w:p>
    <w:p w14:paraId="51C22E97" w14:textId="77777777" w:rsidR="00D1406E" w:rsidRDefault="00990CEE">
      <w:pPr>
        <w:pStyle w:val="Normal"/>
        <w:spacing w:line="480" w:lineRule="auto"/>
        <w:ind w:firstLine="720"/>
        <w:jc w:val="both"/>
      </w:pPr>
      <w:r>
        <w:rPr>
          <w:color w:val="0000CC"/>
        </w:rPr>
        <w:t>What this article adds. Read together, these literatures establish that sexual violence against disabled people is not under-theorized for lack of critical resources. Two things nonetheless remain undone. The first is analytical: none of these traditions has isolated the mechanism by which a single arrangement produces both exposure to sexual violation and the impossibility of naming it, which is what treating forced intimacy as a medium rather than a risk factor allows us to do. The second is geographical: the Anglophone scholarship we engage emerges from contexts shaped by deinstitutionalization, statutory safeguarding, and disabled-led advocacy with no direct equivalents in Belgium and France, while francophone scholarship on disability, gender, and violence (Bouchet, 2024; Bouchet et al., 2025a; Masson, 2013; Puiseux, 2022; Revillard, 2020) has begun to map this terrain without systematically engaging crip theory, disability justice, or epistemic injustice. This article works in the space defined by both.</w:t>
      </w:r>
    </w:p>
    <w:p w14:paraId="51C22E92" w14:textId="77777777" w:rsidR="00D1406E" w:rsidRDefault="00990CEE">
      <w:pPr>
        <w:pStyle w:val="Titre1"/>
      </w:pPr>
      <w:r>
        <w:t>From Individual Vulnerability to Structural Exposure</w:t>
      </w:r>
    </w:p>
    <w:p w14:paraId="2181687D" w14:textId="77777777" w:rsidR="00D1406E" w:rsidRDefault="00990CEE">
      <w:pPr>
        <w:pStyle w:val="Normal"/>
        <w:spacing w:line="480" w:lineRule="auto"/>
        <w:ind w:firstLine="720"/>
        <w:jc w:val="both"/>
      </w:pPr>
      <w:r>
        <w:rPr>
          <w:color w:val="0000CC"/>
        </w:rPr>
        <w:t>The dominant framing of disabled people's exposure to sexual violence relies on a concept of vulnerability understood as inherent, located in the disabled body or mind itself. In this framing, cognitive impairment reduces the capacity to recognize danger; physical dependence limits the capacity to resist; communication difficulties prevent disclosure. The logic is additive: disability accumulates risk factors, and intervention becomes protective management of a pre-given fragility. The framing is not a straw figure. It structures the meta-analytic literature, where impairment category is the variable through which elevated prevalence is explained (Hughes et al., 2012; Mailhot Amborski et al., 2022); it structures francophone public policy (Courteau et al., 2019); it was the operative assumption of the services studied by Hollomotz (2009, 2011) and by Thiara and colleagues (2012); and it persists in the safeguarding vocabularies through which continental medico-social institutions describe their own populations (Revillard, 2020). The framing is not simply inadequate but actively harmful: by locating vulnerability in the person rather than in the conditions surrounding them, it naturalizes the arrangements that produce exposure, deflects attention from institutional responsibility, and reproduces the paternalistic logics that disability justice movements identify as foundational to disablist oppression (Hollomotz, 2009; Mingus, 2017; Sins Invalid, 2018).</w:t>
      </w:r>
    </w:p>
    <w:p w14:paraId="7C9247E4" w14:textId="77777777" w:rsidR="00D1406E" w:rsidRDefault="00D1406E">
      <w:pPr>
        <w:spacing w:line="480" w:lineRule="auto"/>
      </w:pPr>
    </w:p>
    <w:p w14:paraId="12DCF6C8" w14:textId="77777777" w:rsidR="00D1406E" w:rsidRDefault="00990CEE">
      <w:pPr>
        <w:pStyle w:val="Normal"/>
        <w:spacing w:line="480" w:lineRule="auto"/>
        <w:ind w:firstLine="720"/>
        <w:jc w:val="both"/>
      </w:pPr>
      <w:r>
        <w:rPr>
          <w:color w:val="0000CC"/>
        </w:rPr>
        <w:t>The critical reframing begins with Hollomotz (2009, 2011), who argues that vulnerability must be understood ecologically rather than individually. Drawing on the social model of disability and on Kelly's (1988) continuum of sexual violence, she demonstrates that the conditions most consistently associated with elevated risk are not impairment characteristics but social arrangements: segregation from mainstream community life, overprotection that forecloses self-protective knowledge, dependency on a small and closed network of caregivers, and the absence of accessible information about rights, consent, and reporting. Her sociological extension of the argument (Hollomotz, 2013) places disablist violence on a continuum with the everyday subordination of disabled people's judgments to the authority of non-disabled others. Vulnerability, on this account, is a property of environments rather than of bodies.</w:t>
      </w:r>
    </w:p>
    <w:p w14:paraId="41F4215C" w14:textId="77777777" w:rsidR="00D1406E" w:rsidRDefault="00D1406E">
      <w:pPr>
        <w:spacing w:line="480" w:lineRule="auto"/>
      </w:pPr>
    </w:p>
    <w:p w14:paraId="4DB0A3EF" w14:textId="77777777" w:rsidR="00D1406E" w:rsidRDefault="00990CEE">
      <w:pPr>
        <w:pStyle w:val="Normal"/>
        <w:spacing w:line="480" w:lineRule="auto"/>
        <w:ind w:firstLine="720"/>
        <w:jc w:val="both"/>
      </w:pPr>
      <w:r>
        <w:rPr>
          <w:color w:val="0000CC"/>
        </w:rPr>
        <w:t>The intersectional dimension is immediately visible once race and class enter the analysis. Schalk (2018, 2022) shows that the production of disability through racial violence — police brutality, incarceration, poverty, inadequate healthcare — means that disabled people of color navigate compounding exposure within institutional landscapes where the hierarchies of compulsory able-bodiedness are overlaid by racial regimes that further devalue their testimony and deepen their dependency on institutional actors whose accountability is structurally limited. Erevelles (2011) makes the related materialist argument that disability, race, and class produce forms of structural exposure that frameworks treating these axes as separate rather than mutually constitutive cannot capture.</w:t>
      </w:r>
    </w:p>
    <w:p w14:paraId="0C8DD5AE" w14:textId="77777777" w:rsidR="00D1406E" w:rsidRDefault="00D1406E">
      <w:pPr>
        <w:spacing w:line="480" w:lineRule="auto"/>
      </w:pPr>
    </w:p>
    <w:p w14:paraId="384B1D1F" w14:textId="77777777" w:rsidR="00D1406E" w:rsidRDefault="00990CEE">
      <w:pPr>
        <w:pStyle w:val="Normal"/>
        <w:spacing w:line="480" w:lineRule="auto"/>
        <w:ind w:firstLine="720"/>
        <w:jc w:val="both"/>
      </w:pPr>
      <w:r>
        <w:rPr>
          <w:color w:val="0000CC"/>
        </w:rPr>
        <w:t>Crip theory connects this reframing to a broader analysis of normative power. McRuer's (2002, 2006) compulsory able-bodiedness names the mandatory character of corporeal normalcy: just as Rich's (1980) compulsory heterosexuality describes a system in which heterosexuality is not simply preferred but required, compulsory able-bodiedness describes a system in which the able body is the unmarked norm against which other bodies are measured, found lacking, and subjected to corrective or controlling intervention. Price's (2011, 2015) work on the bodymind establishes that this normative violence operates on the bodymind as an integrated whole, and McRuer and Mollow's (2012) collection shows that the simultaneous desexualization and hyperexposure of disabled sexuality constitutes a form of sexual governance, supplying the cultural context in which sexual violation of disabled people is rendered routine or invisible.</w:t>
      </w:r>
    </w:p>
    <w:p w14:paraId="34A90ED8" w14:textId="77777777" w:rsidR="00D1406E" w:rsidRDefault="00D1406E">
      <w:pPr>
        <w:spacing w:line="480" w:lineRule="auto"/>
      </w:pPr>
    </w:p>
    <w:p w14:paraId="54AB537A" w14:textId="77777777" w:rsidR="00D1406E" w:rsidRDefault="00990CEE">
      <w:pPr>
        <w:pStyle w:val="Normal"/>
        <w:spacing w:line="480" w:lineRule="auto"/>
        <w:ind w:firstLine="720"/>
        <w:jc w:val="both"/>
      </w:pPr>
      <w:r>
        <w:rPr>
          <w:color w:val="0000CC"/>
        </w:rPr>
        <w:t>Puar's (2017) concept of debility adds a further dimension. Where disability names a recognized identity category that can make claims on the state, debility names the slow bodily and social attrition produced by poverty, racism, and structural neglect — a condition distributed unevenly across populations, produced deliberately as well as incidentally, and falling outside the frameworks through which disability rights are claimed. Debilitated people are exposed to violence in ways that are particularly difficult to name within existing social work frameworks, precisely because they are not the recognized subjects those frameworks are built to serve.</w:t>
      </w:r>
    </w:p>
    <w:p w14:paraId="4BAE5572" w14:textId="77777777" w:rsidR="00D1406E" w:rsidRDefault="00D1406E">
      <w:pPr>
        <w:spacing w:line="480" w:lineRule="auto"/>
      </w:pPr>
    </w:p>
    <w:p w14:paraId="7A10E65B" w14:textId="77777777" w:rsidR="00D1406E" w:rsidRDefault="00990CEE">
      <w:pPr>
        <w:pStyle w:val="Normal"/>
        <w:spacing w:line="480" w:lineRule="auto"/>
        <w:ind w:firstLine="720"/>
        <w:jc w:val="both"/>
      </w:pPr>
      <w:r>
        <w:rPr>
          <w:color w:val="0000CC"/>
        </w:rPr>
        <w:t>It is Mingus's (2017) concept of forced intimacy that most directly names the structural link between compulsory able-bodiedness and the conditions of sexual violence. Forced intimacy designates the systematic requirement, built into the daily lives of many disabled people, to surrender bodily privacy and intimate access to strangers and institutional actors in order to meet basic needs: to be bathed, dressed, transferred, fed, medicated. This is not incidental to disabled life as currently organized; it is a structural feature of institutional and semi-institutional care, particularly marked in the medico-social systems of continental Europe, where residential and day-care facilities remain the primary infrastructure of support (Revillard, 2020). Mingus is explicit that forced intimacy is not the same as sexual violence, and equally explicit that it creates the conditions in which sexual violation becomes possible, legible as routine rather than transgressive, and difficult to name or resist.</w:t>
      </w:r>
    </w:p>
    <w:p w14:paraId="7A10E65B" w14:textId="77777777" w:rsidR="00D1406E" w:rsidRDefault="00990CEE">
      <w:pPr>
        <w:pStyle w:val="Normal"/>
        <w:spacing w:line="480" w:lineRule="auto"/>
        <w:ind w:firstLine="720"/>
        <w:jc w:val="both"/>
      </w:pPr>
      <w:r>
        <w:rPr>
          <w:color w:val="0000CC"/>
        </w:rPr>
        <w:t>That last claim is the one this article takes up, because the literature has named the relation more often than it has specified it. If forced intimacy is not itself sexual violence, by what mechanisms does it produce the conditions of violation? Three operate together, and each has an empirical anchor in existing scholarship even where it has not been theorized in these terms.</w:t>
      </w:r>
    </w:p>
    <w:p w14:paraId="7A10E65B" w14:textId="77777777" w:rsidR="00D1406E" w:rsidRDefault="00990CEE">
      <w:pPr>
        <w:pStyle w:val="Normal"/>
        <w:spacing w:line="480" w:lineRule="auto"/>
        <w:ind w:firstLine="720"/>
        <w:jc w:val="both"/>
      </w:pPr>
      <w:r>
        <w:rPr>
          <w:color w:val="0000CC"/>
        </w:rPr>
        <w:t>The first is the desensitization of bodily boundary. When intimate physical contact with non-related others is a routine and unrenounceable feature of daily life, the perceptual and somatic markers that ordinarily signal violation — the unfamiliar hand, the unsanctioned proximity, the gesture that exceeds the task — lose their differentiating force. What would register as transgressive in another life is integrated, by repetition and by necessity, into the texture of care. This is the dynamic Sobsey (1994) identified when he showed that the compliance and deference systematically instilled in institutional settings disable precisely the self-protective responses that recognizing violation requires, and that Hollomotz (2011) documents in the accounts of adults with learning difficulties for whom the question of what may be refused had never been posed.</w:t>
      </w:r>
    </w:p>
    <w:p w14:paraId="7A10E65B" w14:textId="77777777" w:rsidR="00D1406E" w:rsidRDefault="00990CEE">
      <w:pPr>
        <w:pStyle w:val="Normal"/>
        <w:spacing w:line="480" w:lineRule="auto"/>
        <w:ind w:firstLine="720"/>
        <w:jc w:val="both"/>
      </w:pPr>
      <w:r>
        <w:rPr>
          <w:color w:val="0000CC"/>
        </w:rPr>
        <w:t>The second is interpretive blurring. The institutional and professional vocabularies that frame intimate contact as “care” supply ready descriptions for acts that fall outside it. A care worker who exceeds what hygiene or transfer requires can locate the action within the same lexical and gestural field as legitimate care, and so can the institutional culture around them; what becomes difficult is not the action but its renaming as violation. Thiara and colleagues (2012) document the consequence at the level of professional response, where disclosures by disabled women were consistently metabolized as questions about the adequacy of care arrangements rather than as reports of violence.</w:t>
      </w:r>
    </w:p>
    <w:p w14:paraId="7A10E65B" w14:textId="77777777" w:rsidR="00D1406E" w:rsidRDefault="00990CEE">
      <w:pPr>
        <w:pStyle w:val="Normal"/>
        <w:spacing w:line="480" w:lineRule="auto"/>
        <w:ind w:firstLine="720"/>
        <w:jc w:val="both"/>
      </w:pPr>
      <w:r>
        <w:rPr>
          <w:color w:val="0000CC"/>
        </w:rPr>
        <w:t>The third is the asymmetry of interpretive authority. In care relationships organized by forced intimacy, the worker holds substantial authority to define what is happening — what counts as accidental, as necessary, as proportionate — while the disabled person's interpretation is filtered through institutional doubts about cognitive, communicative, or emotional reliability. Benedet and Grant (2007, 2014) show how thoroughly this asymmetry is embedded even in legal settings designed to adjudicate it, and Williams and Jobe (2024) show it operating in the routine judgments through which police and social services assess disabled complainants. The relation between forced intimacy and sexual violence is thus neither identity nor analogy: forced intimacy is the structural medium in which the perceptual, lexical, and authority conditions for violation are assembled at once. This is why the arrangement cannot be addressed by improving the response to disclosure alone, and why the next section takes the epistemic asymmetry as its own object.</w:t>
      </w:r>
    </w:p>
    <w:p w14:paraId="75621922" w14:textId="77777777" w:rsidR="00D1406E" w:rsidRDefault="00D1406E">
      <w:pPr>
        <w:spacing w:line="480" w:lineRule="auto"/>
      </w:pPr>
    </w:p>
    <w:p w14:paraId="4F6B12BB" w14:textId="77777777" w:rsidR="00D1406E" w:rsidRDefault="00990CEE">
      <w:pPr>
        <w:pStyle w:val="Normal"/>
        <w:spacing w:line="480" w:lineRule="auto"/>
        <w:ind w:firstLine="720"/>
        <w:jc w:val="both"/>
      </w:pPr>
      <w:r>
        <w:rPr>
          <w:color w:val="0000CC"/>
        </w:rPr>
        <w:t>Two further resources sharpen the point that exposure is a property of arrangements rather than of bodies. Garland-Thomson's (2011) concept of misfitting names it directly: a misfit emerges from the encounter between a body and an environment, not from a body in isolation, so that the harm is located in the fit and not in the person. Fineman's (2008) vulnerable subject theory has been read as offering a comparable exit from individualistic framings, but Arsenault-Gallant (2025) argues that the vocabulary of ontological vulnerability and resilience remains open to an ableist reading, in which the resilient subject stands as the fully human one and disabled people are positioned as insufficiently so — with the effect of reinstating, at the level of language, the hierarchy the theory was meant to dissolve. The reframing this section proposes has to be held against that risk.</w:t>
      </w:r>
    </w:p>
    <w:p w14:paraId="59BA60A1" w14:textId="77777777" w:rsidR="00D1406E" w:rsidRDefault="00D1406E">
      <w:pPr>
        <w:spacing w:line="480" w:lineRule="auto"/>
      </w:pPr>
    </w:p>
    <w:p w14:paraId="5E19F261" w14:textId="77777777" w:rsidR="00D1406E" w:rsidRDefault="00990CEE">
      <w:pPr>
        <w:pStyle w:val="Normal"/>
        <w:spacing w:line="480" w:lineRule="auto"/>
        <w:ind w:firstLine="720"/>
        <w:jc w:val="both"/>
      </w:pPr>
      <w:r>
        <w:rPr>
          <w:color w:val="0000CC"/>
        </w:rPr>
        <w:t>The shift traced in this section is not itself novel, and we do not present it as such. What the analysis of forced intimacy adds is specificity about the arrangement: not that exposure is structural, but that in this regime the structure is a mandated intimacy whose routinization produces the exposure and dismantles the resources for naming it in the same movement. That second half of the mechanism is what the following section develops.</w:t>
      </w:r>
    </w:p>
    <w:p w14:paraId="247450AD" w14:textId="77777777" w:rsidR="00D1406E" w:rsidRDefault="00990CEE">
      <w:pPr>
        <w:pStyle w:val="Titre1"/>
      </w:pPr>
      <w:r>
        <w:t>Epistemic Silencing and Institutional Betrayal</w:t>
      </w:r>
    </w:p>
    <w:p w14:paraId="1D47C3BB" w14:textId="77777777" w:rsidR="00D1406E" w:rsidRDefault="00990CEE">
      <w:pPr>
        <w:pStyle w:val="Normal"/>
        <w:spacing w:line="480" w:lineRule="auto"/>
        <w:ind w:firstLine="720"/>
        <w:jc w:val="both"/>
      </w:pPr>
      <w:r>
        <w:rPr>
          <w:color w:val="0000CC"/>
        </w:rPr>
        <w:t>If the first system is normative, organized around compulsory able-bodiedness and forced intimacy, the second is epistemic. Disabled people who report sexual violence do not simply face the general disbelief feminist scholars have documented as a structural feature of sexual assault disclosure (Kelly, 1988; Lonsway &amp; Archambault, 2012). They face a compounded credibility deficit rooted in the intersection of gender, disability, and institutional position — a deficit that operates through mechanisms Fricker's (2007) framework allows us to name precisely, and that is reinforced by institutional betrayal (Smith &amp; Freyd, 2013, 2014).</w:t>
      </w:r>
    </w:p>
    <w:p w14:paraId="652CB054" w14:textId="77777777" w:rsidR="00D1406E" w:rsidRDefault="00D1406E">
      <w:pPr>
        <w:spacing w:line="480" w:lineRule="auto"/>
      </w:pPr>
    </w:p>
    <w:p w14:paraId="7E7566B8" w14:textId="77777777" w:rsidR="00D1406E" w:rsidRDefault="00990CEE">
      <w:pPr>
        <w:pStyle w:val="Normal"/>
        <w:spacing w:line="480" w:lineRule="auto"/>
        <w:ind w:firstLine="720"/>
        <w:jc w:val="both"/>
      </w:pPr>
      <w:r>
        <w:rPr>
          <w:color w:val="0000CC"/>
        </w:rPr>
        <w:t>Fricker (2007) distinguishes two forms of epistemic injustice. Testimonial injustice occurs when a speaker's credibility is deflated by identity prejudice: the assessment of whether to believe what is said is distorted by stereotypes attached to the speaker's social position. Hermeneutical injustice operates more structurally, when the interpretive resources available in a given context are inadequate to make sense of a significant aspect of someone's experience — not because the person cannot describe what happened, but because the concepts and narrative frameworks that would let it be communicated and recognized are absent or distorted. Both operate with particular force when disabled people report sexual violence, and their interaction produces a compounded silencing further shaped by race, gender, and class. This asymmetry has an empirical anchor in francophone disability arenas: in mobilizations over disabled people's right to a sexual life, the authority to speak is routinely redistributed from disabled people, positioned as bearers of experiential testimony, to non-disabled professionals positioned as legitimate experts (Authors, 2018).</w:t>
      </w:r>
    </w:p>
    <w:p w14:paraId="78F2A9BC" w14:textId="77777777" w:rsidR="00D1406E" w:rsidRDefault="00D1406E">
      <w:pPr>
        <w:spacing w:line="480" w:lineRule="auto"/>
      </w:pPr>
    </w:p>
    <w:p w14:paraId="10668C1C" w14:textId="77777777" w:rsidR="00D1406E" w:rsidRDefault="00990CEE">
      <w:pPr>
        <w:pStyle w:val="Normal"/>
        <w:spacing w:line="480" w:lineRule="auto"/>
        <w:ind w:firstLine="720"/>
        <w:jc w:val="both"/>
      </w:pPr>
      <w:r>
        <w:rPr>
          <w:color w:val="0000CC"/>
        </w:rPr>
        <w:t>The intersectional dimension of this silencing is not incidental. Kim's (2017) crip-of-color critique shows that the credibility hierarchies structuring disability-related epistemic injustice are compounded by racial stereotypes that further devalue the testimony of disabled people of color, and by gendered assumptions about emotional reliability that bear with particular force on disabled women. Benedet and Grant (2007) document the compounding empirically: the legal system they examine divided disabled complainants into those understood as permanently incapable of consent and those understood as incapable of credible refusal, a binary that erased the contextual and relational character of their actual experiences. Their later analysis (Benedet &amp; Grant, 2014) reaches a convergent conclusion: courts' inability to recognize the forms power takes in care relationships reflects a structural incapacity to interpret disabled women's experiences of violation, not individual bias.</w:t>
      </w:r>
    </w:p>
    <w:p w14:paraId="4919B68F" w14:textId="77777777" w:rsidR="00D1406E" w:rsidRDefault="00D1406E">
      <w:pPr>
        <w:spacing w:line="480" w:lineRule="auto"/>
      </w:pPr>
    </w:p>
    <w:p w14:paraId="7A7D621D" w14:textId="77777777" w:rsidR="00D1406E" w:rsidRDefault="00990CEE">
      <w:pPr>
        <w:pStyle w:val="Normal"/>
        <w:spacing w:line="480" w:lineRule="auto"/>
        <w:ind w:firstLine="720"/>
        <w:jc w:val="both"/>
      </w:pPr>
      <w:r>
        <w:rPr>
          <w:color w:val="0000CC"/>
        </w:rPr>
        <w:t>Williams and Jobe (2024) document the testimonial dimension directly, in a qualitative study of people with learning disabilities and autism who reported sexual violence to police and social services in the United Kingdom. Their participants encountered a systematic assumption of unreliability: accounts filtered through stereotypes attributing confusion, suggestibility, and inconsistency to diagnostic categories, and assessed against implicit standards of the credible witness that the communication styles associated with neurodivergence or intellectual disability are unlikely to meet. Crucially, the credibility deficit operated through routine professional judgments about competence, consistency, and capacity that presented themselves as neutral assessments of evidence rather than as identity-based discounting.</w:t>
      </w:r>
    </w:p>
    <w:p w14:paraId="3729EE64" w14:textId="77777777" w:rsidR="00D1406E" w:rsidRDefault="00D1406E">
      <w:pPr>
        <w:spacing w:line="480" w:lineRule="auto"/>
      </w:pPr>
    </w:p>
    <w:p w14:paraId="5EAB55E8" w14:textId="77777777" w:rsidR="00D1406E" w:rsidRDefault="00990CEE">
      <w:pPr>
        <w:pStyle w:val="Normal"/>
        <w:spacing w:line="480" w:lineRule="auto"/>
        <w:ind w:firstLine="720"/>
        <w:jc w:val="both"/>
      </w:pPr>
      <w:r>
        <w:rPr>
          <w:color w:val="0000CC"/>
        </w:rPr>
        <w:t>The hermeneutical dimension is more insidious, because it operates before disclosure rather than in response to it — and it is here that the epistemic system meets the normative one. For disabled people living within care arrangements structured by forced intimacy, the resources for naming sexual violation are often unavailable, because when intimate physical contact with carers is routine the boundary between care and violation is blurred at the level of lived experience. Sobsey (1994) identified this early, showing that the compliance and deference instilled in institutional settings disable the self-protective responses that recognizing violation requires. Dohmen's (2016) intimate hermeneutical injustice captures a further turn: the injustice is not only that others fail to understand the disabled person's experience, but that the person may lack access to the resources for understanding and communicating it themselves. Peña-Guzmán and Reynolds (2019) name a related mechanism, epistemic overconfidence: when a report of violation is reframed by a professional as behavioral disturbance or as a symptom of the person's condition, the disclosure is rendered unrecognizable as a disclosure at all.</w:t>
      </w:r>
    </w:p>
    <w:p w14:paraId="6E0B8E7A" w14:textId="77777777" w:rsidR="00D1406E" w:rsidRDefault="00D1406E">
      <w:pPr>
        <w:spacing w:line="480" w:lineRule="auto"/>
      </w:pPr>
    </w:p>
    <w:p w14:paraId="4C65DF6C" w14:textId="77777777" w:rsidR="00D1406E" w:rsidRDefault="00990CEE">
      <w:pPr>
        <w:pStyle w:val="Normal"/>
        <w:spacing w:line="480" w:lineRule="auto"/>
        <w:ind w:firstLine="720"/>
        <w:jc w:val="both"/>
      </w:pPr>
      <w:r>
        <w:rPr>
          <w:color w:val="0000CC"/>
        </w:rPr>
        <w:t>Institutional betrayal (Smith &amp; Freyd, 2013, 2014) adds a further dimension. The concept designates harm inflicted by an institution on individuals who depend on it and trust it to act in their interests — harm that consists not only in failing to prevent abuse but in creating conditions that make it more likely, normalizing the contexts in which it occurs, making reporting difficult or punitive, and responding inadequately when reports are made. Its relevance to disabled people in institutional and semi-institutional care is structural and immediate, yet it has been developed more fully within disability studies than within feminist social work scholarship on gender-based violence, where it remains comparatively underused.</w:t>
      </w:r>
    </w:p>
    <w:p w14:paraId="7B390ADF" w14:textId="77777777" w:rsidR="00D1406E" w:rsidRDefault="00D1406E">
      <w:pPr>
        <w:spacing w:line="480" w:lineRule="auto"/>
      </w:pPr>
    </w:p>
    <w:p w14:paraId="566308A4" w14:textId="77777777" w:rsidR="00D1406E" w:rsidRDefault="00990CEE">
      <w:pPr>
        <w:pStyle w:val="Normal"/>
        <w:spacing w:line="480" w:lineRule="auto"/>
        <w:ind w:firstLine="720"/>
        <w:jc w:val="both"/>
      </w:pPr>
      <w:r>
        <w:rPr>
          <w:color w:val="0000CC"/>
        </w:rPr>
        <w:t>The institutional arrangements that disabled people navigate share the defining features Freyd identifies as conditions for institutional betrayal: they are environments of dependency and trust, with strong incentives to protect their own reputation, that routinely position the accounts of disabled residents as less authoritative than the professional judgments of staff. In the continental medico-social context these dynamics are shaped by the tradition of specialized residential institutions and the comparative weakness of independent oversight (Revillard, 2020; Ville et al., 2020).</w:t>
      </w:r>
    </w:p>
    <w:p w14:paraId="566308A4" w14:textId="77777777" w:rsidR="00D1406E" w:rsidRDefault="00990CEE">
      <w:pPr>
        <w:pStyle w:val="Normal"/>
        <w:spacing w:line="480" w:lineRule="auto"/>
        <w:ind w:firstLine="720"/>
        <w:jc w:val="both"/>
      </w:pPr>
      <w:r>
        <w:rPr>
          <w:color w:val="0000CC"/>
        </w:rPr>
        <w:t xml:space="preserve">Three mechanisms of absorption can be distinguished, each documented in published scholarship and in publicly available inspection material, and each recurring in our own fieldwork across French and Belgian reporting systems (Authors, under review). The first is reattribution to impairment: possible signs of violation are absorbed into the explanatory reservoir of the disability itself — a bruise reattributed to known self-injurious movements, a change in behaviour to a syndrome or a medication — so that observations that would prompt concern in a non-disabled person are neutralized before they circulate (Courteau et al., 2019; Peña-Guzmán &amp; Reynolds, 2019). The second is pre-emptive disqualification: the disabled person's account is discounted by invoking cognitive or communicative limitation before its content is examined, the mechanism Williams and Jobe (2024) trace through routine professional assessments of competence and consistency. The third is diffusion of responsibility: where concern surfaces, each professional assumes a colleague will report, the matter is noted in a file rather than escalated, and no formal </w:t>
      </w:r>
      <w:r>
        <w:rPr>
          <w:i/>
          <w:color w:val="0000CC"/>
        </w:rPr>
        <w:t>signalement</w:t>
      </w:r>
      <w:r>
        <w:rPr>
          <w:color w:val="0000CC"/>
        </w:rPr>
        <w:t xml:space="preserve"> follows — the pattern Thiara and colleagues (2012) describe when social workers and care managers prioritized the continuation of care arrangements over protection from violence.</w:t>
      </w:r>
    </w:p>
    <w:p w14:paraId="566308A4" w14:textId="77777777" w:rsidR="00D1406E" w:rsidRDefault="00990CEE">
      <w:pPr>
        <w:pStyle w:val="Normal"/>
        <w:spacing w:line="480" w:lineRule="auto"/>
        <w:ind w:firstLine="720"/>
        <w:jc w:val="both"/>
      </w:pPr>
      <w:r>
        <w:rPr>
          <w:color w:val="0000CC"/>
        </w:rPr>
        <w:t>What these produce jointly is the inversion institutional betrayal names: the institution protects the continuity of the care relationship and its own standing before it protects the resident. That the pattern holds across two jurisdictions with different statutory reporting duties suggests it is a property of the configuration rather than of a particular legal regime.</w:t>
      </w:r>
    </w:p>
    <w:p w14:paraId="304F708B" w14:textId="77777777" w:rsidR="00D1406E" w:rsidRDefault="00D1406E">
      <w:pPr>
        <w:spacing w:line="480" w:lineRule="auto"/>
      </w:pPr>
    </w:p>
    <w:p w14:paraId="729D4CB9" w14:textId="77777777" w:rsidR="00D1406E" w:rsidRDefault="00990CEE">
      <w:pPr>
        <w:pStyle w:val="Normal"/>
        <w:spacing w:line="480" w:lineRule="auto"/>
        <w:ind w:firstLine="720"/>
        <w:jc w:val="both"/>
      </w:pPr>
      <w:r>
        <w:rPr>
          <w:color w:val="0000CC"/>
        </w:rPr>
        <w:t>Testimonial injustice, hermeneutical and intimate hermeneutical injustice, institutional betrayal, and epistemic overconfidence thus constitute an interlocking system of silencing that operates largely beneath the threshold of conscious intent, reproduced through ordinary professional practice and ordinary institutional self-protection. Its relation to the previous section should now be clear: forced intimacy supplies the conditions under which these epistemic mechanisms have purchase, and they in turn make the arrangement that produced the exposure difficult to see as an arrangement at all. Social workers occupy a position within this system that is neither neutral nor fixed. They are among the professionals most likely to encounter disabled people at risk or in the aftermath of violation, and among those most thoroughly embedded in the institutional arrangements that produce silencing. The following section examines what that position requires.</w:t>
      </w:r>
    </w:p>
    <w:p w14:paraId="1795594F" w14:textId="77777777" w:rsidR="00D1406E" w:rsidRDefault="00990CEE">
      <w:pPr>
        <w:pStyle w:val="Titre1"/>
      </w:pPr>
      <w:r>
        <w:rPr>
          <w:color w:val="0000CC"/>
        </w:rPr>
        <w:t>Inside the Configuration: Feminist Social Work between Absorption and Refusal</w:t>
      </w:r>
    </w:p>
    <w:p w14:paraId="578FE82A" w14:textId="77777777" w:rsidR="00D1406E" w:rsidRDefault="00990CEE">
      <w:pPr>
        <w:pStyle w:val="Normal"/>
        <w:spacing w:line="480" w:lineRule="auto"/>
        <w:ind w:firstLine="720"/>
        <w:jc w:val="both"/>
      </w:pPr>
      <w:r>
        <w:rPr>
          <w:color w:val="0000CC"/>
        </w:rPr>
        <w:t xml:space="preserve">Having analyzed the normative and epistemic systems, we turn to the professional register, and to the place feminist social work occupies within it. The claim here is deliberately narrow, and it is not that feminist social work is the source of the problem. The problem is a configuration of mandated care that predates any profession and would persist if social work vanished from it tomorrow. But social work is not outside that configuration either: in the regime described above, the professional who assesses a disclosure, decides its qualification, and determines whether it is escalated is very often a social worker or an </w:t>
      </w:r>
      <w:r>
        <w:rPr>
          <w:i/>
          <w:color w:val="0000CC"/>
        </w:rPr>
        <w:t>éducateur·rice spécialisé·e</w:t>
      </w:r>
      <w:r>
        <w:rPr>
          <w:color w:val="0000CC"/>
        </w:rPr>
        <w:t>, and the frameworks through which that assessment is made are, in feminist and anti-oppressive services, frameworks feminist social work built. The question is what happens to those frameworks inside a configuration organized by forced intimacy. Our answer is that some of them are absorbed by it, and that naming which ones is the condition of their refusal.</w:t>
      </w:r>
    </w:p>
    <w:p w14:paraId="578FE82B" w14:textId="77777777" w:rsidR="00D1406E" w:rsidRDefault="00990CEE">
      <w:pPr>
        <w:pStyle w:val="Normal"/>
        <w:spacing w:line="480" w:lineRule="auto"/>
        <w:ind w:firstLine="720"/>
        <w:jc w:val="both"/>
      </w:pPr>
      <w:r>
        <w:rPr>
          <w:color w:val="0000CC"/>
        </w:rPr>
        <w:t xml:space="preserve">Consider, by way of orientation, the trajectory of a disclosure that this article is meant to make analytically legible. A woman in her thirties with a moderate intellectual disability has lived for fourteen years in a Belgian residential service. Daily care includes assistance with showering, dressing, transfers, and menstrual management, provided on rotating shifts by a small team of </w:t>
      </w:r>
      <w:r>
        <w:rPr>
          <w:i/>
          <w:color w:val="0000CC"/>
        </w:rPr>
        <w:t>aides-soignant·es</w:t>
      </w:r>
      <w:r>
        <w:rPr>
          <w:color w:val="0000CC"/>
        </w:rPr>
        <w:t xml:space="preserve"> and </w:t>
      </w:r>
      <w:r>
        <w:rPr>
          <w:i/>
          <w:color w:val="0000CC"/>
        </w:rPr>
        <w:t>auxiliaires de vie</w:t>
      </w:r>
      <w:r>
        <w:rPr>
          <w:color w:val="0000CC"/>
        </w:rPr>
        <w:t xml:space="preserve">. Over a period of months, the contact of one of them — a man, in a workforce overwhelmingly composed of women, a disproportion that shapes how his conduct is read and how hers is — begins to exceed what those tasks require. The woman tells another resident, then an </w:t>
      </w:r>
      <w:r>
        <w:rPr>
          <w:i/>
          <w:color w:val="0000CC"/>
        </w:rPr>
        <w:t>éducateur</w:t>
      </w:r>
      <w:r>
        <w:rPr>
          <w:color w:val="0000CC"/>
        </w:rPr>
        <w:t xml:space="preserve"> in her day programme, that he “touches her wrongly.” The protocol routes the disclosure to her </w:t>
      </w:r>
      <w:r>
        <w:rPr>
          <w:i/>
          <w:color w:val="0000CC"/>
        </w:rPr>
        <w:t>référent</w:t>
      </w:r>
      <w:r>
        <w:rPr>
          <w:color w:val="0000CC"/>
        </w:rPr>
        <w:t xml:space="preserve">, the social worker responsible for her file, who knows the care worker professionally and has previously attributed her statements about interpersonal events to confusion or to the volatility associated with her diagnosis. The </w:t>
      </w:r>
      <w:r>
        <w:rPr>
          <w:i/>
          <w:color w:val="0000CC"/>
        </w:rPr>
        <w:t>référent</w:t>
      </w:r>
      <w:r>
        <w:rPr>
          <w:color w:val="0000CC"/>
        </w:rPr>
        <w:t xml:space="preserve"> re-reads the disclosure through that frame: as a possible misperception of necessary care, as a conflict requiring mediation, as a candidate for behavioural monitoring rather than safeguarding investigation. The care worker remains in post. The woman, asked to clarify her account in successive interviews structured by professional vocabularies she does not share, becomes less consistent and more distressed; this is recorded as further evidence of unreliability. The case is closed.</w:t>
      </w:r>
    </w:p>
    <w:p w14:paraId="578FE82B" w14:textId="77777777" w:rsidR="00D1406E" w:rsidRDefault="00990CEE">
      <w:pPr>
        <w:pStyle w:val="Normal"/>
        <w:spacing w:line="480" w:lineRule="auto"/>
        <w:ind w:firstLine="720"/>
        <w:jc w:val="both"/>
      </w:pPr>
      <w:r>
        <w:rPr>
          <w:color w:val="0000CC"/>
        </w:rPr>
        <w:t>This trajectory is composite rather than singular, and its features are documented across the literature on institutional sexual violence (Hollomotz, 2011; Sobsey, 1994; Thiara et al., 2012) and in publicly available inspection and audit reports from Belgian and French regulators (Courteau et al., 2019). It is not exceptional. It is the routine product of the three systems working in concert: the normative condition of forced intimacy that makes the care worker's excess legible as continuous with legitimate care; the epistemic system that distributes credibility toward professional judgment; the professional system that absorbs the disclosure into institutional self-management.</w:t>
      </w:r>
    </w:p>
    <w:p w14:paraId="578FE82B" w14:textId="77777777" w:rsidR="00D1406E" w:rsidRDefault="00990CEE">
      <w:pPr>
        <w:pStyle w:val="Normal"/>
        <w:spacing w:line="480" w:lineRule="auto"/>
        <w:ind w:firstLine="720"/>
        <w:jc w:val="both"/>
      </w:pPr>
      <w:r>
        <w:rPr>
          <w:color w:val="0000CC"/>
        </w:rPr>
        <w:t xml:space="preserve">The occupational geography of that trajectory determines where this article's argument bites. Four positions are involved and they are not interchangeable. The </w:t>
      </w:r>
      <w:r>
        <w:rPr>
          <w:i/>
          <w:color w:val="0000CC"/>
        </w:rPr>
        <w:t>aide-soignant</w:t>
      </w:r>
      <w:r>
        <w:rPr>
          <w:color w:val="0000CC"/>
        </w:rPr>
        <w:t xml:space="preserve"> or </w:t>
      </w:r>
      <w:r>
        <w:rPr>
          <w:i/>
          <w:color w:val="0000CC"/>
        </w:rPr>
        <w:t>auxiliaire de vie</w:t>
      </w:r>
      <w:r>
        <w:rPr>
          <w:color w:val="0000CC"/>
        </w:rPr>
        <w:t xml:space="preserve"> performs the intimate bodily work in which forced intimacy consists — the least protected and least remunerated position in the chain. The </w:t>
      </w:r>
      <w:r>
        <w:rPr>
          <w:i/>
          <w:color w:val="0000CC"/>
        </w:rPr>
        <w:t>éducateur·rice spécialisé·e</w:t>
      </w:r>
      <w:r>
        <w:rPr>
          <w:color w:val="0000CC"/>
        </w:rPr>
        <w:t xml:space="preserve"> holds the daily relational mandate and is frequently the first recipient of a disclosure. The </w:t>
      </w:r>
      <w:r>
        <w:rPr>
          <w:i/>
          <w:color w:val="0000CC"/>
        </w:rPr>
        <w:t>référent</w:t>
      </w:r>
      <w:r>
        <w:rPr>
          <w:color w:val="0000CC"/>
        </w:rPr>
        <w:t xml:space="preserve"> or case manager, typically an </w:t>
      </w:r>
      <w:r>
        <w:rPr>
          <w:i/>
          <w:color w:val="0000CC"/>
        </w:rPr>
        <w:t>assistant de service social</w:t>
      </w:r>
      <w:r>
        <w:rPr>
          <w:color w:val="0000CC"/>
        </w:rPr>
        <w:t>, holds the power of qualification: what the disclosure is, whether it is one, what happens next. Medical authority sits above all three and can requalify their judgments as clinical matters. Social work's characteristic position is thus not the site of intimate contact but the site of its interpretation, which is why an analysis of epistemic power is the form this critique has to take. It is not that social workers commit the violence described here. It is that the point at which the configuration converts a disclosure into a non-event is, institutionally, a social work decision.</w:t>
      </w:r>
    </w:p>
    <w:p w14:paraId="46CA8380" w14:textId="77777777" w:rsidR="00D1406E" w:rsidRDefault="00D1406E">
      <w:pPr>
        <w:spacing w:line="480" w:lineRule="auto"/>
      </w:pPr>
    </w:p>
    <w:p w14:paraId="6223A315" w14:textId="77777777" w:rsidR="00D1406E" w:rsidRDefault="00990CEE">
      <w:pPr>
        <w:pStyle w:val="Normal"/>
        <w:spacing w:line="480" w:lineRule="auto"/>
        <w:ind w:firstLine="720"/>
        <w:jc w:val="both"/>
      </w:pPr>
      <w:r>
        <w:rPr>
          <w:color w:val="0000CC"/>
        </w:rPr>
        <w:t>The feminist disability scholarship on which this section draws insists that the relationship between feminism and disability is transformative rather than additive (Garland-Thomson, 1997, 2005). Wendell (1989, 1996) argues that taking disabled experience seriously as a theoretical resource requires feminism to revise its own assumptions about autonomy, productivity, and the normative body, and Morris (1991) shows that the values of independence and self-determination feminist social work has championed are themselves organized around an able-bodied norm: when independence is understood as freedom from reliance on others, it devalues the interdependence that characterizes disabled life. Thomas's (1999) concept of disablism — the social imposition of restrictions on disabled people's activity together with the undermining of their psycho-emotional wellbeing — provides the bridge from structural analysis to relational practice.</w:t>
      </w:r>
    </w:p>
    <w:p w14:paraId="0C3457D1" w14:textId="77777777" w:rsidR="00D1406E" w:rsidRDefault="00D1406E">
      <w:pPr>
        <w:spacing w:line="480" w:lineRule="auto"/>
      </w:pPr>
    </w:p>
    <w:p w14:paraId="4F1991B7" w14:textId="77777777" w:rsidR="00D1406E" w:rsidRDefault="00990CEE">
      <w:pPr>
        <w:pStyle w:val="Normal"/>
        <w:spacing w:line="480" w:lineRule="auto"/>
        <w:ind w:firstLine="720"/>
        <w:jc w:val="both"/>
      </w:pPr>
      <w:r>
        <w:rPr>
          <w:color w:val="0000CC"/>
        </w:rPr>
        <w:t xml:space="preserve">Reeve's (2002, 2012, 2014) concept of psycho-emotional disablism names that relational dimension with precision. Drawing on Foucault's analysis of normalization and Honneth's theory of recognition, Reeve argues that disablist oppression operates through interpersonal interaction and internalized self-perception: being spoken over, treated as less than fully competent, having one's judgments subordinated to those of professionals. Social workers, despite commitments to empowerment and anti-oppressive practice, routinely enact this through the ordinary conduct of professional relationships — communication that addresses carers rather than disabled people, assessment frameworks centering functional deficits rather than capacities — which is why Reeve (2012) argues recognition should be taught as a foundational relational competency. In the context of sexual violence the stakes are severe: a disabled person whose account is met with doubt, or redirected toward care needs, encounters in the social work relationship a replication of the epistemic silencing analyzed above. This is how the </w:t>
      </w:r>
      <w:r>
        <w:rPr>
          <w:i/>
          <w:color w:val="0000CC"/>
        </w:rPr>
        <w:t>référent</w:t>
      </w:r>
      <w:r>
        <w:rPr>
          <w:color w:val="0000CC"/>
        </w:rPr>
        <w:t>'s decision in our composite becomes possible without anyone in the chain intending harm.</w:t>
      </w:r>
    </w:p>
    <w:p w14:paraId="22F7FA71" w14:textId="77777777" w:rsidR="00D1406E" w:rsidRDefault="00D1406E">
      <w:pPr>
        <w:spacing w:line="480" w:lineRule="auto"/>
      </w:pPr>
    </w:p>
    <w:p w14:paraId="1E4F762D" w14:textId="77777777" w:rsidR="00D1406E" w:rsidRDefault="00990CEE">
      <w:pPr>
        <w:pStyle w:val="Normal"/>
        <w:spacing w:line="480" w:lineRule="auto"/>
        <w:ind w:firstLine="720"/>
        <w:jc w:val="both"/>
      </w:pPr>
      <w:r>
        <w:rPr>
          <w:color w:val="0000CC"/>
        </w:rPr>
        <w:t>Professional training compounds this. Where social workers and care staff are formed within frameworks that understand intimate physical contact as a legitimate and necessary feature of care work, they are structurally ill-equipped to recognize the same dynamics as conditions of violation when they arise inside care relationships. The social workers in Thiara and colleagues' (2012) study were not indifferent to the wellbeing of the disabled women they supported; the organizational frameworks within which they worked consistently prioritized maintaining care arrangements over protection from violence. The problem was not individual callousness but structural capture.</w:t>
      </w:r>
    </w:p>
    <w:p w14:paraId="69756DDE" w14:textId="77777777" w:rsidR="00D1406E" w:rsidRDefault="00D1406E">
      <w:pPr>
        <w:spacing w:line="480" w:lineRule="auto"/>
      </w:pPr>
    </w:p>
    <w:p w14:paraId="5904CF77" w14:textId="77777777" w:rsidR="00D1406E" w:rsidRDefault="00990CEE">
      <w:pPr>
        <w:pStyle w:val="Normal"/>
        <w:spacing w:line="480" w:lineRule="auto"/>
        <w:ind w:firstLine="720"/>
        <w:jc w:val="both"/>
      </w:pPr>
      <w:r>
        <w:rPr>
          <w:color w:val="0000CC"/>
        </w:rPr>
        <w:t>Curative logic is a second mechanism of absorption. Graziano (2026), drawing on McRuer's (2006) analysis of compulsory able-bodiedness, shows that caring professions are organized around an implicit telos of restoration to normalcy that positions the disabled person as a problem to be solved rather than as a person whose life as lived has value and whose bodily self-determination deserves respect. Kafer's (2013) analysis of curative time applies directly: when the goal of intervention is to move the disabled person toward approximating non-disabled norms, their own assessment of their situation — including their assessment of risk, violation, and harm — is subordinated to professional judgments about what a person at their level of functioning can reliably perceive and report.</w:t>
      </w:r>
    </w:p>
    <w:p w14:paraId="2897DEB3" w14:textId="77777777" w:rsidR="00D1406E" w:rsidRDefault="00D1406E">
      <w:pPr>
        <w:spacing w:line="480" w:lineRule="auto"/>
      </w:pPr>
    </w:p>
    <w:p w14:paraId="65474407" w14:textId="77777777" w:rsidR="00D1406E" w:rsidRDefault="00990CEE">
      <w:pPr>
        <w:pStyle w:val="Normal"/>
        <w:spacing w:line="480" w:lineRule="auto"/>
        <w:ind w:firstLine="720"/>
        <w:jc w:val="both"/>
      </w:pPr>
      <w:r>
        <w:rPr>
          <w:color w:val="0000CC"/>
        </w:rPr>
        <w:t>Neither mechanism can be addressed through a disability-only lens, for the reasons set out earlier: the production of disability through racial violence means that exposure is compounded rather than parallel (Erevelles, 2011; Schalk, 2018, 2022). What Kim's (2017) crip-of-color critique adds here is a claim about method — that disability justice works best as a way of analyzing the production of exposure across several axes at once rather than as an identity — and that is the orientation practice adequate to the people social work encounters actually requires.</w:t>
      </w:r>
    </w:p>
    <w:p w14:paraId="7A09B9EC" w14:textId="77777777" w:rsidR="00D1406E" w:rsidRDefault="00D1406E">
      <w:pPr>
        <w:spacing w:line="480" w:lineRule="auto"/>
      </w:pPr>
    </w:p>
    <w:p w14:paraId="622E9CD3" w14:textId="77777777" w:rsidR="00D1406E" w:rsidRDefault="00990CEE">
      <w:pPr>
        <w:pStyle w:val="Normal"/>
        <w:spacing w:line="480" w:lineRule="auto"/>
        <w:ind w:firstLine="720"/>
        <w:jc w:val="both"/>
      </w:pPr>
      <w:r>
        <w:rPr>
          <w:color w:val="0000CC"/>
        </w:rPr>
        <w:t>Wright and Manuel's (2024) work on cripping and queering gender-based violence prevention is the most sustained recent attempt to translate these commitments into practice. They show that mainstream prevention frameworks reproduce the able-bodied norm by centering subjects assumed to have unimpaired access to information, resources, and exit options, rendering disabled survivors structurally invisible within systems designed without them. More generatively, they argue that disability justice offers a different foundation: interdependence rather than autonomy as the founding value, collective access rather than individual resilience as the goal, and the dismantling of forced intimacy and institutional dependency as primary prevention — which is to say, as an intervention on the conditions rather than on their consequences.</w:t>
      </w:r>
    </w:p>
    <w:p w14:paraId="314341DD" w14:textId="77777777" w:rsidR="00D1406E" w:rsidRDefault="00D1406E">
      <w:pPr>
        <w:spacing w:line="480" w:lineRule="auto"/>
      </w:pPr>
    </w:p>
    <w:p w14:paraId="7C4294BF" w14:textId="77777777" w:rsidR="00D1406E" w:rsidRDefault="00990CEE">
      <w:pPr>
        <w:pStyle w:val="Normal"/>
        <w:spacing w:line="480" w:lineRule="auto"/>
        <w:ind w:firstLine="720"/>
        <w:jc w:val="both"/>
      </w:pPr>
      <w:r>
        <w:rPr>
          <w:color w:val="0000CC"/>
        </w:rPr>
        <w:t>The ten principles of disability justice articulated by the Sins Invalid collective (Berne et al., 2018) provide the most developed framework for translating this orientation into practice, and three are salient here. Intersectionality insists that disability cannot be addressed in isolation from race, gender, and class. Collective access challenges the individualized accommodation model that structures most disability-related intervention — a model that reproduces the isolation and dependency in which violation becomes possible. Cross-movement solidarity insists that the struggle against sexual violence and the struggle against disablist oppression are interconnected rather than parallel, and that their separation weakens both.</w:t>
      </w:r>
    </w:p>
    <w:p w14:paraId="21515EF2" w14:textId="77777777" w:rsidR="00D1406E" w:rsidRDefault="00D1406E">
      <w:pPr>
        <w:spacing w:line="480" w:lineRule="auto"/>
      </w:pPr>
    </w:p>
    <w:p w14:paraId="49B4319F" w14:textId="77777777" w:rsidR="00D1406E" w:rsidRDefault="00990CEE">
      <w:pPr>
        <w:pStyle w:val="Normal"/>
        <w:spacing w:line="480" w:lineRule="auto"/>
        <w:ind w:firstLine="720"/>
        <w:jc w:val="both"/>
      </w:pPr>
      <w:r>
        <w:rPr>
          <w:color w:val="0000CC"/>
        </w:rPr>
        <w:t xml:space="preserve">Mingus's (2011) concept of access intimacy offers the most generative resource for what a crip feminist social work relationship might involve, because it is the structural inverse of the arrangement analyzed in this article. Where forced intimacy names compelled bodily access on institutional terms, access intimacy names the quality of a relationship or environment in which a disabled person's access needs are understood, anticipated, and met without requiring them to expose, explain, or justify themselves (Price, 2024). Applied to sexual violence response, it describes conditions in which a disabled person's knowledge of their own experience is received as authoritative rather than assessed for reliability — which is precisely the interpretive move our composite </w:t>
      </w:r>
      <w:r>
        <w:rPr>
          <w:i/>
          <w:color w:val="0000CC"/>
        </w:rPr>
        <w:t>référent</w:t>
      </w:r>
      <w:r>
        <w:rPr>
          <w:color w:val="0000CC"/>
        </w:rPr>
        <w:t xml:space="preserve"> did not make. Piepzna-Samarasinha's (2018) concept of care webs extends the point to the organization of care itself, offering an image of support built on interdependence rather than professional authority, and a measure of the distance between that image and current practice.</w:t>
      </w:r>
    </w:p>
    <w:p w14:paraId="20E07416" w14:textId="77777777" w:rsidR="00D1406E" w:rsidRDefault="00990CEE">
      <w:pPr>
        <w:pStyle w:val="Titre1"/>
      </w:pPr>
      <w:r>
        <w:rPr>
          <w:color w:val="0000CC"/>
        </w:rPr>
        <w:t>Discussion: The Scope of the Argument, and What Follows for Practice</w:t>
      </w:r>
    </w:p>
    <w:p w14:paraId="5DD222DE" w14:textId="77777777" w:rsidR="00D1406E" w:rsidRDefault="00990CEE">
      <w:pPr>
        <w:pStyle w:val="Normal"/>
        <w:spacing w:line="480" w:lineRule="auto"/>
        <w:ind w:firstLine="720"/>
        <w:jc w:val="both"/>
      </w:pPr>
      <w:r>
        <w:rPr>
          <w:color w:val="0000CC"/>
        </w:rPr>
        <w:t>We have argued that sexual violence against disabled people in the continental medico-social regime is produced by a configuration in which mandated intimate access, professionally held interpretive authority, and institutional self-protection operate together, producing the exposure and its unsayability in a single movement. Two questions follow: how far does the analysis reach beyond the regime in which we developed it, and what does it ask of feminist social work? We take them in that order, because the answer to the first constrains the answer to the second.</w:t>
      </w:r>
    </w:p>
    <w:p w14:paraId="5DD222DE" w14:textId="77777777" w:rsidR="00D1406E" w:rsidRDefault="00990CEE">
      <w:pPr>
        <w:pStyle w:val="Normal"/>
        <w:spacing w:line="480" w:lineRule="auto"/>
        <w:ind w:firstLine="720"/>
        <w:jc w:val="both"/>
      </w:pPr>
      <w:r>
        <w:rPr>
          <w:color w:val="0000CC"/>
        </w:rPr>
        <w:t>The scope of the argument: mandated care beyond the medico-social. We specified the mechanism in Belgian and French medico-social institutions because that is where it is densest, best documented, and least theorized, and because the institutional particulars matter. But the specification is not a boundary. What produces the conjunction is not the continental regime as such; it is a set of conditions that regime instantiates with unusual clarity. Four are doing the work. Access to a person's body or life is institutionally mandated rather than chosen. That access is performed under a vocabulary of care, help, or treatment. The authority to interpret what happens within it is held professionally rather than by the person who undergoes it. And the institution that would receive a complaint is also the institution that arranges the access.</w:t>
      </w:r>
    </w:p>
    <w:p w14:paraId="5DD222DE" w14:textId="77777777" w:rsidR="00D1406E" w:rsidRDefault="00990CEE">
      <w:pPr>
        <w:pStyle w:val="Normal"/>
        <w:spacing w:line="480" w:lineRule="auto"/>
        <w:ind w:firstLine="720"/>
        <w:jc w:val="both"/>
      </w:pPr>
      <w:r>
        <w:rPr>
          <w:color w:val="0000CC"/>
        </w:rPr>
        <w:t>Wherever those conditions hold, the same conjunction should be expected, and the same intervention — improving the reception of disclosures without altering the arrangement — should be expected to fail in the same way. Deinstitutionalization in North America is an uneven and incomplete process rather than a completed transition, and the congregate settings that remain satisfy all four conditions (Ben-Moshe, 2020; Ben-Moshe et al., 2014; Rossiter &amp; Rinaldi, 2018). More importantly, the conditions are not restricted to bodily intimacy or to disability. Community treatment orders, a mechanism developed precisely in response to deinstitutionalization, mandate access to compliance, to speech, and to the interior life: attendance at appointments and contact with a worker become conditions of continued liberty, non-compliance carries the threat of recall to hospital, and the professional holds the authority to determine what compliance and insight consist in (Burns et al., 2013; Daley et al., 2019; LeFrançois et al., 2013). The largest randomised trial of the mechanism found no reduction in readmission to set against what its authors described as a substantial curtailment of patients' liberty (Burns et al., 2013). In child protection, mandated access to the home and to family intimacy is exercised under a helping vocabulary, and the same authority interprets what is seen and said. In each case the intimacy is relational or informational rather than physical, but the structure is the same, and so, we would predict, is the pre-disclosure foreclosure it produces.</w:t>
      </w:r>
    </w:p>
    <w:p w14:paraId="5DD222DE" w14:textId="77777777" w:rsidR="00D1406E" w:rsidRDefault="00990CEE">
      <w:pPr>
        <w:pStyle w:val="Normal"/>
        <w:spacing w:line="480" w:lineRule="auto"/>
        <w:ind w:firstLine="720"/>
        <w:jc w:val="both"/>
      </w:pPr>
      <w:r>
        <w:rPr>
          <w:color w:val="0000CC"/>
        </w:rPr>
        <w:t>We advance this as an analytic claim rather than an empirical finding: we have not studied those sites, and the forms violence takes in them are not identical to those we describe. What matters is that the analytic also specifies its own limits, which is what distinguishes it from a general appeal to structure. Where exit from the relationship is genuinely available, where independent advocacy is resourced and accessible, where the person's account holds standing that does not depend on professional ratification, or where the body receiving a complaint is not the body arranging the access, the conjunction weakens — and the mechanism predicts exactly that. This is why the accountability measures discussed below are not peripheral to the argument: they are the points at which one of the four conditions can be removed.</w:t>
      </w:r>
    </w:p>
    <w:p w14:paraId="6190854C" w14:textId="77777777" w:rsidR="00D1406E" w:rsidRDefault="00D1406E">
      <w:pPr>
        <w:spacing w:line="480" w:lineRule="auto"/>
      </w:pPr>
    </w:p>
    <w:p w14:paraId="0056AEF9" w14:textId="77777777" w:rsidR="00D1406E" w:rsidRDefault="00990CEE">
      <w:pPr>
        <w:pStyle w:val="Normal"/>
        <w:spacing w:line="480" w:lineRule="auto"/>
        <w:ind w:firstLine="720"/>
        <w:jc w:val="both"/>
      </w:pPr>
      <w:r>
        <w:rPr>
          <w:color w:val="0000CC"/>
        </w:rPr>
        <w:t>What, then, does the analysis ask of feminist social work? Five implications follow, the first three operating within existing institutional landscapes, the fourth concerning research, and the fifth concerning the future of those landscapes themselves.</w:t>
      </w:r>
    </w:p>
    <w:p w14:paraId="0056AEF9" w14:textId="77777777" w:rsidR="00D1406E" w:rsidRDefault="00990CEE">
      <w:pPr>
        <w:pStyle w:val="Normal"/>
        <w:spacing w:line="480" w:lineRule="auto"/>
        <w:ind w:firstLine="720"/>
        <w:jc w:val="both"/>
      </w:pPr>
      <w:r>
        <w:rPr>
          <w:color w:val="0000CC"/>
        </w:rPr>
        <w:t xml:space="preserve">The first implication concerns how vulnerability is taught. If exposure is produced by arrangements rather than by attributes, professional formation must equip practitioners to analyze arrangements rather than to manage the characteristics of at-risk individuals. Concretely, this means displacing risk assessment frameworks that treat impairment as the primary variable in favour of ecological analyses of care arrangements, institutional cultures, and normative environments (Hollomotz, 2009, 2011); introducing crip theory and disability justice not as specialized content for disability services practitioners but as analytical tools for all social workers; and building pedagogy that asks students to examine their own investments in curative logic — not through individualized reflection alone, but through structural analysis of the professional frameworks in which that logic is embedded (Dominelli, 2002; Reeve, 2012). The specific competence at issue is the one the composite </w:t>
      </w:r>
      <w:r>
        <w:rPr>
          <w:i/>
          <w:color w:val="0000CC"/>
        </w:rPr>
        <w:t>référent</w:t>
      </w:r>
      <w:r>
        <w:rPr>
          <w:color w:val="0000CC"/>
        </w:rPr>
        <w:t xml:space="preserve"> lacked: the capacity to recognize that an interpretive frame built from prior professional judgments about a person is itself a mechanism of exposure.</w:t>
      </w:r>
    </w:p>
    <w:p w14:paraId="18832B53" w14:textId="77777777" w:rsidR="00D1406E" w:rsidRDefault="00D1406E">
      <w:pPr>
        <w:spacing w:line="480" w:lineRule="auto"/>
      </w:pPr>
    </w:p>
    <w:p w14:paraId="7B21D0B6" w14:textId="77777777" w:rsidR="00D1406E" w:rsidRDefault="00990CEE">
      <w:pPr>
        <w:pStyle w:val="Normal"/>
        <w:spacing w:line="480" w:lineRule="auto"/>
        <w:ind w:firstLine="720"/>
        <w:jc w:val="both"/>
      </w:pPr>
      <w:r>
        <w:rPr>
          <w:color w:val="0000CC"/>
        </w:rPr>
        <w:t>The second implication concerns disclosure practice. Feminist social work has developed extensive knowledge about trauma-informed, survivor-centered practice in gender-based violence (Fook, 2002; Lonsway &amp; Archambault, 2012), and our argument is that such knowledge is necessary but insufficient here, because it addresses the reception of testimony while the mechanism we describe operates before testimony is given. Extending it requires three things. Practitioners need training to recognize and suspend the credibility hierarchies that position professional interpretation as more reliable than a disabled person's account, in the forms Williams and Jobe (2024) and Benedet and Grant (2007, 2014) document. Communication conditions need to be genuinely accessible rather than nominally accommodating — which means treating the interview format that made our composite's account less consistent as a safeguarding failure rather than an evidentiary finding. And disclosure has to be understood as a relational process shaped by the power dynamics of the professional relationship. Access intimacy is not a communication technique; it names a relationship in which a disabled person's epistemic authority over their own experience is affirmed before it is tested.</w:t>
      </w:r>
    </w:p>
    <w:p w14:paraId="5B50E237" w14:textId="77777777" w:rsidR="00D1406E" w:rsidRDefault="00D1406E">
      <w:pPr>
        <w:spacing w:line="480" w:lineRule="auto"/>
      </w:pPr>
    </w:p>
    <w:p w14:paraId="49032CE0" w14:textId="77777777" w:rsidR="00D1406E" w:rsidRDefault="00990CEE">
      <w:pPr>
        <w:pStyle w:val="Normal"/>
        <w:spacing w:line="480" w:lineRule="auto"/>
        <w:ind w:firstLine="720"/>
        <w:jc w:val="both"/>
      </w:pPr>
      <w:r>
        <w:rPr>
          <w:color w:val="0000CC"/>
        </w:rPr>
        <w:t xml:space="preserve">The third implication concerns institutional accountability, where the continental context is most specific and the leverage greatest, since these measures remove conditions rather than mitigate consequences. In Belgium and France, where large residential institutions remain the primary infrastructure of support and independent advocacy is comparatively underdeveloped (Revillard, 2020; Ville et al., 2020), the decisive point is that the body receiving a complaint is usually the body arranging the care. Instruments that could break that circuit already exist and are under-used rather than absent: in France, the </w:t>
      </w:r>
      <w:r>
        <w:rPr>
          <w:i/>
          <w:color w:val="0000CC"/>
        </w:rPr>
        <w:t>loi 2002-2</w:t>
      </w:r>
      <w:r>
        <w:rPr>
          <w:color w:val="0000CC"/>
        </w:rPr>
        <w:t xml:space="preserve"> of 2 January 2002 reforming social and medico-social action created a </w:t>
      </w:r>
      <w:r>
        <w:rPr>
          <w:i/>
          <w:color w:val="0000CC"/>
        </w:rPr>
        <w:t>charte des droits et libertés de la personne accueillie</w:t>
      </w:r>
      <w:r>
        <w:rPr>
          <w:color w:val="0000CC"/>
        </w:rPr>
        <w:t xml:space="preserve">, a </w:t>
      </w:r>
      <w:r>
        <w:rPr>
          <w:i/>
          <w:color w:val="0000CC"/>
        </w:rPr>
        <w:t>conseil de la vie sociale</w:t>
      </w:r>
      <w:r>
        <w:rPr>
          <w:color w:val="0000CC"/>
        </w:rPr>
        <w:t xml:space="preserve">, and a </w:t>
      </w:r>
      <w:r>
        <w:rPr>
          <w:i/>
          <w:color w:val="0000CC"/>
        </w:rPr>
        <w:t>personne qualifiée</w:t>
      </w:r>
      <w:r>
        <w:rPr>
          <w:color w:val="0000CC"/>
        </w:rPr>
        <w:t xml:space="preserve"> whom users may call on to assert their rights; the </w:t>
      </w:r>
      <w:r>
        <w:rPr>
          <w:i/>
          <w:color w:val="0000CC"/>
        </w:rPr>
        <w:t>Défenseur des droits</w:t>
      </w:r>
      <w:r>
        <w:rPr>
          <w:color w:val="0000CC"/>
        </w:rPr>
        <w:t xml:space="preserve"> offers an independent route for complaints of rights violations and discrimination; the </w:t>
      </w:r>
      <w:r>
        <w:rPr>
          <w:i/>
          <w:color w:val="0000CC"/>
        </w:rPr>
        <w:t>Contrôleur général des lieux de privation de liberté</w:t>
      </w:r>
      <w:r>
        <w:rPr>
          <w:color w:val="0000CC"/>
        </w:rPr>
        <w:t xml:space="preserve"> monitors settings involving deprivation of liberty. Their limitation is uneven implementation, weak independence from providers, and limited accessibility to residents with intellectual or communication disabilities.</w:t>
      </w:r>
    </w:p>
    <w:p w14:paraId="49032CE0" w14:textId="77777777" w:rsidR="00D1406E" w:rsidRDefault="00990CEE">
      <w:pPr>
        <w:pStyle w:val="Normal"/>
        <w:spacing w:line="480" w:lineRule="auto"/>
        <w:ind w:firstLine="720"/>
        <w:jc w:val="both"/>
      </w:pPr>
      <w:r>
        <w:rPr>
          <w:color w:val="0000CC"/>
        </w:rPr>
        <w:t>Three developments follow directly. Reporting routes must terminate outside the provider organization, since a route returning to the arranging institution reproduces the condition it is meant to remedy. Resident bodies need binding consultation rights over safeguarding policy rather than advisory status. And monitoring capacity needs to sit with disabled-led organizations rather than with providers or their funders. Two cases show what is at stake. The violence of the Huronia Regional Centre in Ontario, which operated from 1876 to 2009, became publicly actionable not through inspection but through survivors themselves, whose class action and subsequent testimonial work Rossiter and Rinaldi (2018) document: accountability arrived from outside both the provider and the state's own oversight machinery. At Winterbourne View in England, a nurse reported the abuse to the provider and to the national regulator, was ignored by both, and went to a television programme; the serious case review that followed concluded that the apparatus of oversight “was unequal to the task of uncovering the fact and extent of abuses and crimes” at the hospital (Flynn, 2012). Neither case is a template for import, and each was shaped by a specific legal and political context. Together they make this section's argument concrete: a complaint route that terminates inside the arrangement — whether inside the provider or inside a regulator that does not act on it — does not remove the conditions of violation, and improving the reception of disclosures cannot substitute for changing where the route ends. The point for feminist social work in Belgium and France is that institutional accountability is available as a concrete object of advocacy, research, and practice.</w:t>
      </w:r>
    </w:p>
    <w:p w14:paraId="19DD5F80" w14:textId="77777777" w:rsidR="00D1406E" w:rsidRDefault="00D1406E">
      <w:pPr>
        <w:spacing w:line="480" w:lineRule="auto"/>
      </w:pPr>
    </w:p>
    <w:p w14:paraId="5CA567F9" w14:textId="77777777" w:rsidR="00D1406E" w:rsidRDefault="00990CEE">
      <w:pPr>
        <w:pStyle w:val="Normal"/>
        <w:spacing w:line="480" w:lineRule="auto"/>
        <w:ind w:firstLine="720"/>
        <w:jc w:val="both"/>
      </w:pPr>
      <w:r>
        <w:rPr>
          <w:color w:val="0000CC"/>
        </w:rPr>
        <w:t>The fourth implication is for research. The analysis developed here depends on treating disability as a full axis of power analysis rather than a population characteristic — what Garland-Thomson (2002) calls integrating disability into feminist theory, not as an addendum to an already-constituted framework but as a transformation of it. Doing so exposes the able-bodied assumptions embedded in concepts feminist social work treats as foundational: vulnerability, as argued at length above, but also autonomy, resilience, and empowerment, each of which presupposes a subject for whom exit, self-narration, and independent action are available. Collins and Bilge's (2020) intersectionality framework supplies the methodological tools, on the condition that disability is treated as a full axis rather than appended to analyses of race, gender, and class.</w:t>
      </w:r>
    </w:p>
    <w:p w14:paraId="50929752" w14:textId="77777777" w:rsidR="00D1406E" w:rsidRDefault="00D1406E">
      <w:pPr>
        <w:spacing w:line="480" w:lineRule="auto"/>
      </w:pPr>
    </w:p>
    <w:p w14:paraId="22C3F2CB" w14:textId="77777777" w:rsidR="00D1406E" w:rsidRDefault="00990CEE">
      <w:pPr>
        <w:pStyle w:val="Normal"/>
        <w:spacing w:line="480" w:lineRule="auto"/>
        <w:ind w:firstLine="720"/>
        <w:jc w:val="both"/>
      </w:pPr>
      <w:r>
        <w:rPr>
          <w:color w:val="0000CC"/>
        </w:rPr>
        <w:t xml:space="preserve">This has a concrete research agenda attached. The literature we have engaged is almost entirely Anglophone and predominantly North American and British, while the francophone scholarship on disability, gender, and violence — growing rapidly, as Bouchet and colleagues (2025a, 2025b) and Revillard (2020) demonstrate — has not yet systematically engaged crip theory, disability justice, or epistemic injustice. Work in both directions is needed: the structural analysis proposed here should be developed in dialogue with the forms institutional betrayal takes in medico-social systems organized around different logics of disability governance, and the francophone theorization of </w:t>
      </w:r>
      <w:r>
        <w:rPr>
          <w:i/>
          <w:color w:val="0000CC"/>
        </w:rPr>
        <w:t>validisme</w:t>
      </w:r>
      <w:r>
        <w:rPr>
          <w:color w:val="0000CC"/>
        </w:rPr>
        <w:t xml:space="preserve"> and </w:t>
      </w:r>
      <w:r>
        <w:rPr>
          <w:i/>
          <w:color w:val="0000CC"/>
        </w:rPr>
        <w:t>capacitisme</w:t>
      </w:r>
      <w:r>
        <w:rPr>
          <w:color w:val="0000CC"/>
        </w:rPr>
        <w:t xml:space="preserve"> (Masson, 2013; Puiseux, 2022) should be engaged by Anglophone scholarship as a distinct politicization of a distinct institutional history rather than as a set of translations. The comparative question that follows from our scope claim is empirical and, as far as we are aware, open: whether the four conditions we have identified predict the absorption of disclosures across regimes that differ in their statutory architecture.</w:t>
      </w:r>
    </w:p>
    <w:p w14:paraId="52460C98" w14:textId="77777777" w:rsidR="00D1406E" w:rsidRDefault="00D1406E">
      <w:pPr>
        <w:spacing w:line="480" w:lineRule="auto"/>
      </w:pPr>
    </w:p>
    <w:p w14:paraId="645DFB8E" w14:textId="77777777" w:rsidR="00D1406E" w:rsidRDefault="00990CEE">
      <w:pPr>
        <w:pStyle w:val="Normal"/>
        <w:spacing w:line="480" w:lineRule="auto"/>
        <w:ind w:firstLine="720"/>
        <w:jc w:val="both"/>
      </w:pPr>
      <w:r>
        <w:rPr>
          <w:color w:val="0000CC"/>
        </w:rPr>
        <w:t>A final implication concerns the question, explicit within critical disability studies and critical social work, of whether the response to institutional violence should be reformist or abolitionist — and our analysis does not leave it neutral. Abolitionist positions, articulated most forcefully in disability justice and Mad Studies and developed by scholars working across disability studies, criminology, and social work (Ben-Moshe, 2020; Ben-Moshe et al., 2014; Chapman &amp; Withers, 2019), hold that institutions structured by mandated intimacy, dependency, and professional authority cannot be reformed in ways that durably remove the conditions of violation, and that the work is to dismantle large residential infrastructures in favour of community-based, disabled-led, interdependent support (Piepzna-Samarasinha, 2018; Sins Invalid, 2018). Reformist positions seek to make existing institutions less violent through training, safeguarding, advocacy, and survivor-centered practice. The four conditions we identified give the abolitionist argument a specific form: three can in principle be addressed by reform, but the first — that access is mandated rather than chosen — is constitutive of congregate provision itself. We do not resolve the debate. We note that the implications drawn here are reformist in scope, necessary insofar as disabled people live in these settings now and insufficient insofar as the abolitionist analysis of the first condition is correct, and that an analysis locating the mechanism in a mandated arrangement cannot consistently treat the future of that arrangement as someone else's question.</w:t>
      </w:r>
    </w:p>
    <w:p w14:paraId="20E07416" w14:textId="77777777" w:rsidR="00D1406E" w:rsidRDefault="00990CEE">
      <w:pPr>
        <w:pStyle w:val="Titre1"/>
      </w:pPr>
      <w:r>
        <w:rPr>
          <w:color w:val="0000CC"/>
        </w:rPr>
        <w:t>Conclusion</w:t>
      </w:r>
    </w:p>
    <w:p w14:paraId="645DFB8F" w14:textId="77777777" w:rsidR="00D1406E" w:rsidRDefault="00990CEE">
      <w:pPr>
        <w:pStyle w:val="Normal"/>
        <w:spacing w:line="480" w:lineRule="auto"/>
        <w:ind w:firstLine="720"/>
        <w:jc w:val="both"/>
      </w:pPr>
      <w:r>
        <w:rPr>
          <w:color w:val="0000CC"/>
        </w:rPr>
        <w:t>We return, in closing, to what this article has argued. Sexual violence against disabled people in the continental medico-social regime is not a problem of individual vulnerability requiring protective management. It is produced by a configuration in which intimate access is mandated under a vocabulary of care, the authority to interpret that access is held professionally, and the institution that would hear a complaint is the institution that arranges the access. Forced intimacy is the medium binding that configuration together: it produces the exposure, and by routinizing intimate contact it dismantles the perceptual and interpretive resources through which violation could be named — which is why epistemic injustice here operates before disclosure and not only after it. Feminist social work sits inside this configuration at the point of interpretation, and its established resources for gender-based violence, built to improve the reception of testimony, do not by themselves reach a mechanism that operates upstream of testimony.</w:t>
      </w:r>
    </w:p>
    <w:p w14:paraId="04887CB6" w14:textId="77777777" w:rsidR="00D1406E" w:rsidRDefault="00D1406E">
      <w:pPr>
        <w:spacing w:line="480" w:lineRule="auto"/>
      </w:pPr>
    </w:p>
    <w:p w14:paraId="03250AD8" w14:textId="77777777" w:rsidR="00D1406E" w:rsidRDefault="00990CEE">
      <w:pPr>
        <w:pStyle w:val="Normal"/>
        <w:spacing w:line="480" w:lineRule="auto"/>
        <w:ind w:firstLine="720"/>
        <w:jc w:val="both"/>
      </w:pPr>
      <w:r>
        <w:rPr>
          <w:color w:val="0000CC"/>
        </w:rPr>
        <w:t>That is also the sense in which cripping feminist social work is not a specialization. It is the claim that disability is not one population among those the field serves but a constitutive axis of the arrangements through which it works, and that taking it as such changes what counts as an adequate response to violence: not only better listening, but the removal of the conditions that determined in advance what could be said.</w:t>
      </w:r>
    </w:p>
    <w:p w14:paraId="3F1DA0D7" w14:textId="77777777" w:rsidR="00D1406E" w:rsidRDefault="00D1406E">
      <w:pPr>
        <w:pageBreakBefore/>
      </w:pPr>
    </w:p>
    <w:p w14:paraId="6EB01D90" w14:textId="77777777" w:rsidR="00D1406E" w:rsidRDefault="00990CEE">
      <w:pPr>
        <w:pStyle w:val="Titre1"/>
      </w:pPr>
      <w:r>
        <w:t>References</w:t>
      </w:r>
    </w:p>
    <w:p w14:paraId="0AAA0004" w14:textId="77777777" w:rsidR="00D1406E" w:rsidRDefault="00D1406E">
      <w:pPr>
        <w:spacing w:line="480" w:lineRule="auto"/>
      </w:pPr>
    </w:p>
    <w:p w14:paraId="0AAA0002" w14:textId="77777777" w:rsidR="00D1406E" w:rsidRDefault="00D1406E">
      <w:pPr>
        <w:spacing w:line="480" w:lineRule="auto"/>
      </w:pPr>
    </w:p>
    <w:p w14:paraId="11AAA001" w14:textId="77777777" w:rsidR="00D1406E" w:rsidRDefault="00990CEE">
      <w:pPr>
        <w:spacing w:line="480" w:lineRule="auto"/>
        <w:ind w:left="720" w:hanging="720"/>
        <w:jc w:val="both"/>
      </w:pPr>
      <w:r>
        <w:t xml:space="preserve">Annamma, S. A., Connor, D., &amp; Ferri, B. (2013). Dis/ability critical race studies (DisCrit): Theorizing at the intersections of race and dis/ability. </w:t>
      </w:r>
      <w:r>
        <w:rPr>
          <w:i/>
        </w:rPr>
        <w:t>Race Ethnicity and Education, 16</w:t>
      </w:r>
      <w:r>
        <w:t>(1), 1–31. https://doi.org/10.1080/13613324.2012.730511</w:t>
      </w:r>
    </w:p>
    <w:p w14:paraId="11AAA002" w14:textId="77777777" w:rsidR="00D1406E" w:rsidRDefault="00D1406E">
      <w:pPr>
        <w:spacing w:line="480" w:lineRule="auto"/>
      </w:pPr>
    </w:p>
    <w:p w14:paraId="756B1CC3" w14:textId="77777777" w:rsidR="00D1406E" w:rsidRDefault="00990CEE">
      <w:pPr>
        <w:spacing w:line="480" w:lineRule="auto"/>
        <w:ind w:left="720" w:hanging="720"/>
        <w:jc w:val="both"/>
      </w:pPr>
      <w:r>
        <w:t>Arsenault-Gallant, H. (2025). Uncovering ableism in Martha Fineman's ontological vulnerability and resilience theory: A critical disability theory perspective. Critical Disability Discourses, 10(1). https://cdd.journals.yorku.ca/index.php/cdd/article/view/39776</w:t>
      </w:r>
    </w:p>
    <w:p w14:paraId="756B1CC3" w14:textId="77777777" w:rsidR="00D1406E" w:rsidRDefault="00990CEE">
      <w:pPr>
        <w:pStyle w:val="Normal"/>
        <w:spacing w:line="480" w:lineRule="auto"/>
        <w:ind w:left="720" w:hanging="720"/>
        <w:jc w:val="both"/>
      </w:pPr>
      <w:r>
        <w:rPr>
          <w:color w:val="0000CC"/>
        </w:rPr>
        <w:t>Authors. (2018). Article on the redistribution of testimonial authority in disability mobilizations [details withheld to preserve blind review].</w:t>
      </w:r>
    </w:p>
    <w:p w14:paraId="756B1CC3" w14:textId="77777777" w:rsidR="00D1406E" w:rsidRDefault="00990CEE">
      <w:pPr>
        <w:pStyle w:val="Normal"/>
        <w:spacing w:line="480" w:lineRule="auto"/>
        <w:ind w:left="720" w:hanging="720"/>
        <w:jc w:val="both"/>
      </w:pPr>
      <w:r>
        <w:rPr>
          <w:color w:val="0000CC"/>
        </w:rPr>
        <w:t>Authors. (under review). Title and details withheld to preserve blind peer review.</w:t>
      </w:r>
    </w:p>
    <w:p w14:paraId="293B63FF" w14:textId="77777777" w:rsidR="00D1406E" w:rsidRDefault="00D1406E">
      <w:pPr>
        <w:spacing w:line="480" w:lineRule="auto"/>
      </w:pPr>
    </w:p>
    <w:p w14:paraId="6677EA8D" w14:textId="77777777" w:rsidR="00D1406E" w:rsidRDefault="00990CEE">
      <w:pPr>
        <w:spacing w:line="480" w:lineRule="auto"/>
        <w:ind w:left="720" w:hanging="720"/>
        <w:jc w:val="both"/>
      </w:pPr>
      <w:r>
        <w:t>Bell, C. (2006). Introducing White disability studies: A modest proposal. In L. J. Davis (Ed.), The disability studies reader (2nd ed., pp. 275-282). Routledge.</w:t>
      </w:r>
    </w:p>
    <w:p w14:paraId="216E16EA" w14:textId="77777777" w:rsidR="00D1406E" w:rsidRDefault="00D1406E">
      <w:pPr>
        <w:spacing w:line="480" w:lineRule="auto"/>
      </w:pPr>
    </w:p>
    <w:p w14:paraId="1771D3DF" w14:textId="77777777" w:rsidR="00D1406E" w:rsidRDefault="00990CEE">
      <w:pPr>
        <w:spacing w:line="480" w:lineRule="auto"/>
        <w:ind w:left="720" w:hanging="720"/>
        <w:jc w:val="both"/>
      </w:pPr>
      <w:r>
        <w:t xml:space="preserve">Ben-Moshe, L. (2020). </w:t>
      </w:r>
      <w:r>
        <w:rPr>
          <w:i/>
        </w:rPr>
        <w:t>Decarcerating disability: Deinstitutionalization and prison abolition</w:t>
      </w:r>
      <w:r>
        <w:t>. University of Minnesota Press.</w:t>
      </w:r>
    </w:p>
    <w:p w14:paraId="11AAA003" w14:textId="77777777" w:rsidR="00D1406E" w:rsidRDefault="00D1406E">
      <w:pPr>
        <w:spacing w:line="480" w:lineRule="auto"/>
      </w:pPr>
    </w:p>
    <w:p w14:paraId="11AAA004" w14:textId="77777777" w:rsidR="00D1406E" w:rsidRDefault="00990CEE">
      <w:pPr>
        <w:spacing w:line="480" w:lineRule="auto"/>
        <w:ind w:left="720" w:hanging="720"/>
        <w:jc w:val="both"/>
      </w:pPr>
      <w:r>
        <w:t xml:space="preserve">Ben-Moshe, L., Chapman, C., &amp; Carey, A. C. (Eds.). (2014). </w:t>
      </w:r>
      <w:r>
        <w:rPr>
          <w:i/>
        </w:rPr>
        <w:t>Disability incarcerated: Imprisonment and disability in the United States and Canada</w:t>
      </w:r>
      <w:r>
        <w:t>. Palgrave Macmillan.</w:t>
      </w:r>
    </w:p>
    <w:p w14:paraId="11AAA005" w14:textId="77777777" w:rsidR="00D1406E" w:rsidRDefault="00D1406E">
      <w:pPr>
        <w:spacing w:line="480" w:lineRule="auto"/>
      </w:pPr>
    </w:p>
    <w:p w14:paraId="11AAA006" w14:textId="77777777" w:rsidR="00D1406E" w:rsidRDefault="00990CEE">
      <w:pPr>
        <w:spacing w:line="480" w:lineRule="auto"/>
        <w:ind w:left="720" w:hanging="720"/>
        <w:jc w:val="both"/>
      </w:pPr>
      <w:r>
        <w:t>Benedet, J., &amp; Grant, I. (2007). Hearing the sexual assault complaints of women with mental disabilities: Consent, capacity, and mistaken belief. McGill Law Journal, 52(2), 243-289.</w:t>
      </w:r>
    </w:p>
    <w:p w14:paraId="04D9C2B8" w14:textId="77777777" w:rsidR="00D1406E" w:rsidRDefault="00D1406E">
      <w:pPr>
        <w:spacing w:line="480" w:lineRule="auto"/>
      </w:pPr>
    </w:p>
    <w:p w14:paraId="310FC2DE" w14:textId="77777777" w:rsidR="00D1406E" w:rsidRDefault="00990CEE">
      <w:pPr>
        <w:spacing w:line="480" w:lineRule="auto"/>
        <w:ind w:left="720" w:hanging="720"/>
        <w:jc w:val="both"/>
      </w:pPr>
      <w:r>
        <w:t>Benedet, J., &amp; Grant, I. (2014). Sexual assault and the meaning of power and authority for women with mental disabilities. Feminist Legal Studies, 22(2), 131-154. https://doi.org/10.1007/s10691-014-9263-3</w:t>
      </w:r>
    </w:p>
    <w:p w14:paraId="44B39710" w14:textId="77777777" w:rsidR="00D1406E" w:rsidRDefault="00D1406E">
      <w:pPr>
        <w:spacing w:line="480" w:lineRule="auto"/>
      </w:pPr>
    </w:p>
    <w:p w14:paraId="11AAB002" w14:textId="77777777" w:rsidR="00D1406E" w:rsidRDefault="00990CEE">
      <w:pPr>
        <w:spacing w:line="480" w:lineRule="auto"/>
        <w:ind w:left="720" w:hanging="720"/>
        <w:jc w:val="both"/>
      </w:pPr>
      <w:r>
        <w:t>Berne, P., Morales, A. L., Langstaff, D., &amp; Sins Invalid. (2018). Ten principles of disability justice. WSQ: Women's Studies Quarterly, 46(1-2), 227-230. https://doi.org/10.1353/wsq.2018.0003</w:t>
      </w:r>
    </w:p>
    <w:p w14:paraId="6574B418" w14:textId="77777777" w:rsidR="00D1406E" w:rsidRDefault="00D1406E">
      <w:pPr>
        <w:spacing w:line="480" w:lineRule="auto"/>
      </w:pPr>
    </w:p>
    <w:p w14:paraId="1A107896" w14:textId="77777777" w:rsidR="00D1406E" w:rsidRDefault="00990CEE">
      <w:pPr>
        <w:spacing w:line="480" w:lineRule="auto"/>
        <w:ind w:left="720" w:hanging="720"/>
        <w:jc w:val="both"/>
      </w:pPr>
      <w:r>
        <w:t>Bouchet, C. (2024). Incorporating disability within intersectional analysis: General challenges and French specificities. French Politics, 22, 1-18. https://doi.org/10.1057/s41253-024-00270-3</w:t>
      </w:r>
    </w:p>
    <w:p w14:paraId="04EEE119" w14:textId="77777777" w:rsidR="00D1406E" w:rsidRDefault="00D1406E">
      <w:pPr>
        <w:spacing w:line="480" w:lineRule="auto"/>
      </w:pPr>
    </w:p>
    <w:p w14:paraId="5DFAF581" w14:textId="77777777" w:rsidR="00D1406E" w:rsidRDefault="00990CEE">
      <w:pPr>
        <w:pStyle w:val="Normal"/>
        <w:spacing w:line="480" w:lineRule="auto"/>
        <w:ind w:left="720" w:hanging="720"/>
        <w:jc w:val="both"/>
      </w:pPr>
      <w:r>
        <w:rPr>
          <w:color w:val="0000CC"/>
        </w:rPr>
        <w:t xml:space="preserve">Bouchet, C., Boudinet, M., &amp; Couraud, A. (2025a). Quand les violences de genre oublient le handicap : éclairage à partir des expériences des femmes handicapées. </w:t>
      </w:r>
      <w:r>
        <w:rPr>
          <w:i/>
          <w:color w:val="0000CC"/>
        </w:rPr>
        <w:t>Terrains &amp; travaux, 46</w:t>
      </w:r>
      <w:r>
        <w:rPr>
          <w:color w:val="0000CC"/>
        </w:rPr>
        <w:t>(1), 173-196. https://doi.org/10.3917/tt.046.0173</w:t>
      </w:r>
    </w:p>
    <w:p w14:paraId="7FA93984" w14:textId="77777777" w:rsidR="00D1406E" w:rsidRDefault="00D1406E">
      <w:pPr>
        <w:spacing w:line="480" w:lineRule="auto"/>
      </w:pPr>
    </w:p>
    <w:p w14:paraId="492DEA30" w14:textId="77777777" w:rsidR="00D1406E" w:rsidRDefault="00990CEE">
      <w:pPr>
        <w:pStyle w:val="Normal"/>
        <w:spacing w:line="480" w:lineRule="auto"/>
        <w:ind w:left="720" w:hanging="720"/>
        <w:jc w:val="both"/>
      </w:pPr>
      <w:r>
        <w:rPr>
          <w:color w:val="0000CC"/>
        </w:rPr>
        <w:t xml:space="preserve">Bouchet, C., Boudinet, M., Koushyar Soucasse, M., &amp; Larrieu, G. (Eds.). (2025b). </w:t>
      </w:r>
      <w:r>
        <w:rPr>
          <w:i/>
          <w:color w:val="0000CC"/>
        </w:rPr>
        <w:t>La théorie féministe au défi du handicap : recueil de textes des feminist disability studies</w:t>
      </w:r>
      <w:r>
        <w:rPr>
          <w:color w:val="0000CC"/>
        </w:rPr>
        <w:t>. Cambourakis.</w:t>
      </w:r>
    </w:p>
    <w:p w14:paraId="017E1BBE" w14:textId="77777777" w:rsidR="00D1406E" w:rsidRDefault="00D1406E">
      <w:pPr>
        <w:spacing w:line="480" w:lineRule="auto"/>
      </w:pPr>
    </w:p>
    <w:p w14:paraId="11AAC002" w14:textId="77777777" w:rsidR="00D1406E" w:rsidRDefault="00990CEE">
      <w:pPr>
        <w:pStyle w:val="Normal"/>
        <w:spacing w:line="480" w:lineRule="auto"/>
        <w:ind w:left="720" w:hanging="720"/>
        <w:jc w:val="both"/>
      </w:pPr>
      <w:r>
        <w:rPr>
          <w:color w:val="0000CC"/>
        </w:rPr>
        <w:t xml:space="preserve">Burns, T., Rugkåsa, J., Molodynski, A., Dawson, J., Yeeles, K., Vazquez-Montes, M., Voysey, M., Sinclair, J., &amp; Priebe, S. (2013). Community treatment orders for patients with psychosis (OCTET): A randomised controlled trial. </w:t>
      </w:r>
      <w:r>
        <w:rPr>
          <w:i/>
          <w:color w:val="0000CC"/>
        </w:rPr>
        <w:t>The Lancet, 381</w:t>
      </w:r>
      <w:r>
        <w:rPr>
          <w:color w:val="0000CC"/>
        </w:rPr>
        <w:t>(9878), 1627-1633. https://doi.org/10.1016/S0140-6736(13)60107-5</w:t>
      </w:r>
    </w:p>
    <w:p w14:paraId="11AAC002" w14:textId="77777777" w:rsidR="00D1406E" w:rsidRDefault="00990CEE">
      <w:pPr>
        <w:spacing w:line="480" w:lineRule="auto"/>
        <w:ind w:left="720" w:hanging="720"/>
        <w:jc w:val="both"/>
      </w:pPr>
      <w:r>
        <w:t xml:space="preserve">Castel, R. (1995). </w:t>
      </w:r>
      <w:r>
        <w:rPr>
          <w:i/>
        </w:rPr>
        <w:t>Les métamorphoses de la question sociale : une chronique du salariat</w:t>
      </w:r>
      <w:r>
        <w:t>. Fayard.</w:t>
      </w:r>
    </w:p>
    <w:p w14:paraId="11AAC001" w14:textId="77777777" w:rsidR="00D1406E" w:rsidRDefault="00D1406E">
      <w:pPr>
        <w:spacing w:line="480" w:lineRule="auto"/>
      </w:pPr>
    </w:p>
    <w:p w14:paraId="5B3E1DF3" w14:textId="77777777" w:rsidR="00D1406E" w:rsidRDefault="00990CEE">
      <w:pPr>
        <w:spacing w:line="480" w:lineRule="auto"/>
        <w:ind w:left="720" w:hanging="720"/>
        <w:jc w:val="both"/>
      </w:pPr>
      <w:r>
        <w:t xml:space="preserve">Chapman, C., &amp; Withers, A. J. (2019). </w:t>
      </w:r>
      <w:r>
        <w:rPr>
          <w:i/>
        </w:rPr>
        <w:t>A violent history of benevolence: Interlocking oppression in the moral economies of social working</w:t>
      </w:r>
      <w:r>
        <w:t>. University of Toronto Press.</w:t>
      </w:r>
    </w:p>
    <w:p w14:paraId="11AAC003" w14:textId="77777777" w:rsidR="00D1406E" w:rsidRDefault="00D1406E">
      <w:pPr>
        <w:spacing w:line="480" w:lineRule="auto"/>
      </w:pPr>
    </w:p>
    <w:p w14:paraId="11AAC004" w14:textId="77777777" w:rsidR="00D1406E" w:rsidRDefault="00990CEE">
      <w:pPr>
        <w:spacing w:line="480" w:lineRule="auto"/>
        <w:ind w:left="720" w:hanging="720"/>
        <w:jc w:val="both"/>
      </w:pPr>
      <w:r>
        <w:t>Collins, P. H., &amp; Bilge, S. (2020). Intersectionality (2nd ed.). Polity Press.</w:t>
      </w:r>
    </w:p>
    <w:p w14:paraId="790FD102" w14:textId="77777777" w:rsidR="00D1406E" w:rsidRDefault="00D1406E">
      <w:pPr>
        <w:spacing w:line="480" w:lineRule="auto"/>
      </w:pPr>
    </w:p>
    <w:p w14:paraId="6ED242D8" w14:textId="77777777" w:rsidR="00D1406E" w:rsidRDefault="00990CEE">
      <w:pPr>
        <w:spacing w:line="480" w:lineRule="auto"/>
        <w:ind w:left="720" w:hanging="720"/>
        <w:jc w:val="both"/>
      </w:pPr>
      <w:r>
        <w:t>Courteau, R., Deseyne, C., Laborde, F., &amp; Verien, D. (2019). Violences, femmes et handicap : denoncer l'invisible et agir (Rapport d'information no 14). Senat. https://www.senat.fr/rap/r19-014/r19-014_mono.html</w:t>
      </w:r>
    </w:p>
    <w:p w14:paraId="135B41BF" w14:textId="77777777" w:rsidR="00D1406E" w:rsidRDefault="00D1406E">
      <w:pPr>
        <w:spacing w:line="480" w:lineRule="auto"/>
      </w:pPr>
    </w:p>
    <w:p w14:paraId="2EF5F7CE" w14:textId="77777777" w:rsidR="00D1406E" w:rsidRDefault="00990CEE">
      <w:pPr>
        <w:spacing w:line="480" w:lineRule="auto"/>
        <w:ind w:left="720" w:hanging="720"/>
        <w:jc w:val="both"/>
      </w:pPr>
      <w:r>
        <w:t>Crenshaw, K. (1991). Mapping the margins: Intersectionality, identity politics, and violence against women of color. Stanford Law Review, 43(6), 1241-1299. https://doi.org/10.2307/1229039</w:t>
      </w:r>
    </w:p>
    <w:p w14:paraId="2D307540" w14:textId="77777777" w:rsidR="00D1406E" w:rsidRDefault="00D1406E">
      <w:pPr>
        <w:spacing w:line="480" w:lineRule="auto"/>
      </w:pPr>
    </w:p>
    <w:p w14:paraId="11AAD001" w14:textId="77777777" w:rsidR="00D1406E" w:rsidRDefault="00990CEE">
      <w:pPr>
        <w:spacing w:line="480" w:lineRule="auto"/>
        <w:ind w:left="720" w:hanging="720"/>
        <w:jc w:val="both"/>
      </w:pPr>
      <w:r>
        <w:t xml:space="preserve">Daley, A., Costa, L., &amp; Beresford, P. (Eds.). (2019). </w:t>
      </w:r>
      <w:r>
        <w:rPr>
          <w:i/>
        </w:rPr>
        <w:t>Madness, violence, and power: A critical collection</w:t>
      </w:r>
      <w:r>
        <w:t>. University of Toronto Press. https://doi.org/10.3138/9781442629974</w:t>
      </w:r>
    </w:p>
    <w:p w14:paraId="11AAD002" w14:textId="77777777" w:rsidR="00D1406E" w:rsidRDefault="00D1406E">
      <w:pPr>
        <w:spacing w:line="480" w:lineRule="auto"/>
      </w:pPr>
    </w:p>
    <w:p w14:paraId="4B583A3D" w14:textId="77777777" w:rsidR="00D1406E" w:rsidRDefault="00990CEE">
      <w:pPr>
        <w:spacing w:line="480" w:lineRule="auto"/>
        <w:ind w:left="720" w:hanging="720"/>
        <w:jc w:val="both"/>
      </w:pPr>
      <w:r>
        <w:lastRenderedPageBreak/>
        <w:t>Dohmen, J. (2016). A little of her language: Epistemic injustice and mental disability. Res Philosophica, 93(4), 669-691. https://doi.org/10.11612/resphil.1466</w:t>
      </w:r>
    </w:p>
    <w:p w14:paraId="12BF04B0" w14:textId="77777777" w:rsidR="00D1406E" w:rsidRDefault="00D1406E">
      <w:pPr>
        <w:spacing w:line="480" w:lineRule="auto"/>
      </w:pPr>
    </w:p>
    <w:p w14:paraId="45239533" w14:textId="77777777" w:rsidR="00D1406E" w:rsidRDefault="00990CEE">
      <w:pPr>
        <w:spacing w:line="480" w:lineRule="auto"/>
        <w:ind w:left="720" w:hanging="720"/>
        <w:jc w:val="both"/>
      </w:pPr>
      <w:r>
        <w:t>Dominelli, L. (2002). Anti-oppressive social work theory and practice. Palgrave Macmillan.</w:t>
      </w:r>
    </w:p>
    <w:p w14:paraId="011FA763" w14:textId="77777777" w:rsidR="00D1406E" w:rsidRDefault="00D1406E">
      <w:pPr>
        <w:spacing w:line="480" w:lineRule="auto"/>
      </w:pPr>
    </w:p>
    <w:p w14:paraId="36653CFC" w14:textId="77777777" w:rsidR="00D1406E" w:rsidRDefault="00990CEE">
      <w:pPr>
        <w:spacing w:line="480" w:lineRule="auto"/>
        <w:ind w:left="720" w:hanging="720"/>
        <w:jc w:val="both"/>
      </w:pPr>
      <w:r>
        <w:t>Erevelles, N. (2011). Disability and difference in global contexts: Enabling a transformative body politic. Palgrave Macmillan.</w:t>
      </w:r>
    </w:p>
    <w:p w14:paraId="64E155FB" w14:textId="77777777" w:rsidR="00D1406E" w:rsidRDefault="00D1406E">
      <w:pPr>
        <w:spacing w:line="480" w:lineRule="auto"/>
      </w:pPr>
    </w:p>
    <w:p w14:paraId="33AC5999" w14:textId="77777777" w:rsidR="00D1406E" w:rsidRDefault="00990CEE">
      <w:pPr>
        <w:spacing w:line="480" w:lineRule="auto"/>
        <w:ind w:left="720" w:hanging="720"/>
        <w:jc w:val="both"/>
      </w:pPr>
      <w:r>
        <w:t>Fineman, M. A. (2008). The vulnerable subject: Anchoring equality in the human condition. Yale Journal of Law &amp; Feminism, 20(1), 1-23.</w:t>
      </w:r>
    </w:p>
    <w:p w14:paraId="75F60D22" w14:textId="77777777" w:rsidR="00D1406E" w:rsidRDefault="00D1406E">
      <w:pPr>
        <w:spacing w:line="480" w:lineRule="auto"/>
      </w:pPr>
    </w:p>
    <w:p w14:paraId="7B62C749" w14:textId="77777777" w:rsidR="00D1406E" w:rsidRDefault="00990CEE">
      <w:pPr>
        <w:pStyle w:val="Normal"/>
        <w:spacing w:line="480" w:lineRule="auto"/>
        <w:ind w:left="720" w:hanging="720"/>
        <w:jc w:val="both"/>
      </w:pPr>
      <w:r>
        <w:rPr>
          <w:color w:val="0000CC"/>
        </w:rPr>
        <w:t xml:space="preserve">Flynn, M. (2012). </w:t>
      </w:r>
      <w:r>
        <w:rPr>
          <w:i/>
          <w:color w:val="0000CC"/>
        </w:rPr>
        <w:t>Winterbourne View Hospital: A serious case review</w:t>
      </w:r>
      <w:r>
        <w:rPr>
          <w:color w:val="0000CC"/>
        </w:rPr>
        <w:t>. South Gloucestershire Safeguarding Adults Board.</w:t>
      </w:r>
    </w:p>
    <w:p w14:paraId="7B62C749" w14:textId="77777777" w:rsidR="00D1406E" w:rsidRDefault="00990CEE">
      <w:pPr>
        <w:spacing w:line="480" w:lineRule="auto"/>
        <w:ind w:left="720" w:hanging="720"/>
        <w:jc w:val="both"/>
      </w:pPr>
      <w:r>
        <w:t>Fook, J. (2002). Social work: Critical theory and practice. Sage.</w:t>
      </w:r>
    </w:p>
    <w:p w14:paraId="178437FA" w14:textId="77777777" w:rsidR="00D1406E" w:rsidRDefault="00D1406E">
      <w:pPr>
        <w:spacing w:line="480" w:lineRule="auto"/>
      </w:pPr>
    </w:p>
    <w:p w14:paraId="4664406C" w14:textId="77777777" w:rsidR="00D1406E" w:rsidRDefault="00990CEE">
      <w:pPr>
        <w:spacing w:line="480" w:lineRule="auto"/>
        <w:ind w:left="720" w:hanging="720"/>
        <w:jc w:val="both"/>
      </w:pPr>
      <w:r>
        <w:t>Fricker, M. (2007). Epistemic injustice: Power and the ethics of knowing. Oxford University Press.</w:t>
      </w:r>
    </w:p>
    <w:p w14:paraId="0F083778" w14:textId="77777777" w:rsidR="00D1406E" w:rsidRDefault="00D1406E">
      <w:pPr>
        <w:spacing w:line="480" w:lineRule="auto"/>
      </w:pPr>
    </w:p>
    <w:p w14:paraId="4944ADF7" w14:textId="77777777" w:rsidR="00D1406E" w:rsidRDefault="00990CEE">
      <w:pPr>
        <w:spacing w:line="480" w:lineRule="auto"/>
        <w:ind w:left="720" w:hanging="720"/>
        <w:jc w:val="both"/>
      </w:pPr>
      <w:r>
        <w:t>Garland-Thomson, R. (1997). Extraordinary bodies: Figuring physical disability in American culture and literature. Columbia University Press.</w:t>
      </w:r>
    </w:p>
    <w:p w14:paraId="6AD2BF7C" w14:textId="77777777" w:rsidR="00D1406E" w:rsidRDefault="00D1406E">
      <w:pPr>
        <w:spacing w:line="480" w:lineRule="auto"/>
      </w:pPr>
    </w:p>
    <w:p w14:paraId="3208E153" w14:textId="77777777" w:rsidR="00D1406E" w:rsidRDefault="00990CEE">
      <w:pPr>
        <w:spacing w:line="480" w:lineRule="auto"/>
        <w:ind w:left="720" w:hanging="720"/>
        <w:jc w:val="both"/>
      </w:pPr>
      <w:r>
        <w:t>Garland-Thomson, R. (2002). Integrating disability, transforming feminist theory. NWSA Journal, 14(2), 1-32. https://doi.org/10.2979/NWS.2002.14.3.1</w:t>
      </w:r>
    </w:p>
    <w:p w14:paraId="19B8E893" w14:textId="77777777" w:rsidR="00D1406E" w:rsidRDefault="00D1406E">
      <w:pPr>
        <w:spacing w:line="480" w:lineRule="auto"/>
      </w:pPr>
    </w:p>
    <w:p w14:paraId="65BF0473" w14:textId="77777777" w:rsidR="00D1406E" w:rsidRDefault="00990CEE">
      <w:pPr>
        <w:spacing w:line="480" w:lineRule="auto"/>
        <w:ind w:left="720" w:hanging="720"/>
        <w:jc w:val="both"/>
      </w:pPr>
      <w:r>
        <w:t>Garland-Thomson, R. (2005). Feminist disability studies. Signs: Journal of Women in Culture and Society, 30(2), 1557-1587. https://doi.org/10.1086/423352</w:t>
      </w:r>
    </w:p>
    <w:p w14:paraId="6C1AA0B1" w14:textId="77777777" w:rsidR="00D1406E" w:rsidRDefault="00D1406E">
      <w:pPr>
        <w:spacing w:line="480" w:lineRule="auto"/>
      </w:pPr>
    </w:p>
    <w:p w14:paraId="54939C3D" w14:textId="77777777" w:rsidR="00D1406E" w:rsidRDefault="00990CEE">
      <w:pPr>
        <w:spacing w:line="480" w:lineRule="auto"/>
        <w:ind w:left="720" w:hanging="720"/>
        <w:jc w:val="both"/>
      </w:pPr>
      <w:r>
        <w:t>Garland-Thomson, R. (2011). Misfits: A feminist materialist disability concept. Hypatia, 26(3), 591-609. https://doi.org/10.1111/j.1527-2001.2011.01206.x</w:t>
      </w:r>
    </w:p>
    <w:p w14:paraId="3DDDA641" w14:textId="77777777" w:rsidR="00D1406E" w:rsidRDefault="00D1406E">
      <w:pPr>
        <w:spacing w:line="480" w:lineRule="auto"/>
      </w:pPr>
    </w:p>
    <w:p w14:paraId="7B3FDA23" w14:textId="77777777" w:rsidR="00D1406E" w:rsidRDefault="00990CEE">
      <w:pPr>
        <w:pStyle w:val="Normal"/>
        <w:spacing w:line="480" w:lineRule="auto"/>
        <w:ind w:left="720" w:hanging="720"/>
        <w:jc w:val="both"/>
      </w:pPr>
      <w:r>
        <w:rPr>
          <w:color w:val="0000CC"/>
        </w:rPr>
        <w:t xml:space="preserve">Graziano, T. A. (2026). Criptiquing disability models: Compulsory able-bodiedness, nursing practice, and reimagined disability. </w:t>
      </w:r>
      <w:r>
        <w:rPr>
          <w:i/>
          <w:color w:val="0000CC"/>
        </w:rPr>
        <w:t>Nursing Philosophy, 27</w:t>
      </w:r>
      <w:r>
        <w:rPr>
          <w:color w:val="0000CC"/>
        </w:rPr>
        <w:t>(2), e70075. https://doi.org/10.1111/nup.70075</w:t>
      </w:r>
    </w:p>
    <w:p w14:paraId="5BA05857" w14:textId="77777777" w:rsidR="00D1406E" w:rsidRDefault="00D1406E">
      <w:pPr>
        <w:spacing w:line="480" w:lineRule="auto"/>
      </w:pPr>
    </w:p>
    <w:p w14:paraId="42B7AF93" w14:textId="77777777" w:rsidR="00D1406E" w:rsidRDefault="00990CEE">
      <w:pPr>
        <w:spacing w:line="480" w:lineRule="auto"/>
        <w:ind w:left="720" w:hanging="720"/>
        <w:jc w:val="both"/>
      </w:pPr>
      <w:r>
        <w:t>Hollomotz, A. (2009). Beyond "vulnerability": An ecological model approach to conceptualizing risk of sexual violence against people with learning difficulties. British Journal of Social Work, 39(1), 99-112. https://doi.org/10.1093/bjsw/bcm089</w:t>
      </w:r>
    </w:p>
    <w:p w14:paraId="1BD76ABA" w14:textId="77777777" w:rsidR="00D1406E" w:rsidRDefault="00D1406E">
      <w:pPr>
        <w:spacing w:line="480" w:lineRule="auto"/>
      </w:pPr>
    </w:p>
    <w:p w14:paraId="3226309F" w14:textId="77777777" w:rsidR="00D1406E" w:rsidRDefault="00990CEE">
      <w:pPr>
        <w:spacing w:line="480" w:lineRule="auto"/>
        <w:ind w:left="720" w:hanging="720"/>
        <w:jc w:val="both"/>
      </w:pPr>
      <w:r>
        <w:t>Hollomotz, A. (2011). Learning difficulties and sexual vulnerability: A social approach. Jessica Kingsley.</w:t>
      </w:r>
    </w:p>
    <w:p w14:paraId="7E240F70" w14:textId="77777777" w:rsidR="00D1406E" w:rsidRDefault="00D1406E">
      <w:pPr>
        <w:spacing w:line="480" w:lineRule="auto"/>
      </w:pPr>
    </w:p>
    <w:p w14:paraId="4871270F" w14:textId="77777777" w:rsidR="00D1406E" w:rsidRDefault="00990CEE">
      <w:pPr>
        <w:spacing w:line="480" w:lineRule="auto"/>
        <w:ind w:left="720" w:hanging="720"/>
        <w:jc w:val="both"/>
      </w:pPr>
      <w:r>
        <w:t>Hollomotz, A. (2013). Disability, oppression and violence: Towards a sociological explanation. Sociology, 47(3), 477-493. https://doi.org/10.1177/0038038512448561</w:t>
      </w:r>
    </w:p>
    <w:p w14:paraId="37F44F87" w14:textId="77777777" w:rsidR="00D1406E" w:rsidRDefault="00D1406E">
      <w:pPr>
        <w:spacing w:line="480" w:lineRule="auto"/>
      </w:pPr>
    </w:p>
    <w:p w14:paraId="329BC928" w14:textId="77777777" w:rsidR="00D1406E" w:rsidRDefault="00990CEE">
      <w:pPr>
        <w:spacing w:line="480" w:lineRule="auto"/>
        <w:ind w:left="720" w:hanging="720"/>
        <w:jc w:val="both"/>
      </w:pPr>
      <w:r>
        <w:t xml:space="preserve">Hughes, K., Bellis, M. A., Jones, L., Wood, S., Bates, G., Eckley, L., McCoy, E., Mikton, C., Shakespeare, T., &amp; Officer, A. (2012). Prevalence and risk of violence against adults with </w:t>
        <w:lastRenderedPageBreak/>
        <w:t>disabilities: A systematic review and meta-analysis of observational studies. The Lancet, 379(9826), 1621-1629. https://doi.org/10.1016/S0140-6736(11)61851-5</w:t>
      </w:r>
    </w:p>
    <w:p w14:paraId="1D80D894" w14:textId="77777777" w:rsidR="00D1406E" w:rsidRDefault="00D1406E">
      <w:pPr>
        <w:spacing w:line="480" w:lineRule="auto"/>
      </w:pPr>
    </w:p>
    <w:p w14:paraId="73015F75" w14:textId="77777777" w:rsidR="00D1406E" w:rsidRDefault="00990CEE">
      <w:pPr>
        <w:spacing w:line="480" w:lineRule="auto"/>
        <w:ind w:left="720" w:hanging="720"/>
        <w:jc w:val="both"/>
      </w:pPr>
      <w:r>
        <w:t>Kafer, A. (2013). Feminist, queer, crip. Indiana University Press.</w:t>
      </w:r>
    </w:p>
    <w:p w14:paraId="16B80677" w14:textId="77777777" w:rsidR="00D1406E" w:rsidRDefault="00D1406E">
      <w:pPr>
        <w:spacing w:line="480" w:lineRule="auto"/>
      </w:pPr>
    </w:p>
    <w:p w14:paraId="2CDCB98E" w14:textId="77777777" w:rsidR="00D1406E" w:rsidRDefault="00990CEE">
      <w:pPr>
        <w:spacing w:line="480" w:lineRule="auto"/>
        <w:ind w:left="720" w:hanging="720"/>
        <w:jc w:val="both"/>
      </w:pPr>
      <w:r>
        <w:t>Kelly, L. (1988). Surviving sexual violence. Polity Press.</w:t>
      </w:r>
    </w:p>
    <w:p w14:paraId="2AC74A83" w14:textId="77777777" w:rsidR="00D1406E" w:rsidRDefault="00D1406E">
      <w:pPr>
        <w:spacing w:line="480" w:lineRule="auto"/>
      </w:pPr>
    </w:p>
    <w:p w14:paraId="3A8259D5" w14:textId="77777777" w:rsidR="00D1406E" w:rsidRDefault="00990CEE">
      <w:pPr>
        <w:spacing w:line="480" w:lineRule="auto"/>
        <w:ind w:left="720" w:hanging="720"/>
        <w:jc w:val="both"/>
      </w:pPr>
      <w:r>
        <w:t>Kim, J. B. (2017). Toward a crip-of-color critique: Thinking with Minich's "Enabling whom?" Lateral, 6(1). https://doi.org/10.25158/L6.1.9</w:t>
      </w:r>
    </w:p>
    <w:p w14:paraId="35BD1CD7" w14:textId="77777777" w:rsidR="00D1406E" w:rsidRDefault="00D1406E">
      <w:pPr>
        <w:spacing w:line="480" w:lineRule="auto"/>
      </w:pPr>
    </w:p>
    <w:p w14:paraId="3308437E" w14:textId="77777777" w:rsidR="00D1406E" w:rsidRDefault="00990CEE">
      <w:pPr>
        <w:spacing w:line="480" w:lineRule="auto"/>
        <w:ind w:left="720" w:hanging="720"/>
        <w:jc w:val="both"/>
      </w:pPr>
      <w:r>
        <w:t xml:space="preserve">LeFrançois, B. A., Menzies, R., &amp; Reaume, G. (Eds.). (2013). </w:t>
      </w:r>
      <w:r>
        <w:rPr>
          <w:i/>
        </w:rPr>
        <w:t>Mad matters: A critical reader in Canadian Mad Studies</w:t>
      </w:r>
      <w:r>
        <w:t>. Canadian Scholars’ Press.</w:t>
      </w:r>
    </w:p>
    <w:p w14:paraId="11AAL001" w14:textId="77777777" w:rsidR="00D1406E" w:rsidRDefault="00D1406E">
      <w:pPr>
        <w:spacing w:line="480" w:lineRule="auto"/>
      </w:pPr>
    </w:p>
    <w:p w14:paraId="11AAL002" w14:textId="77777777" w:rsidR="00D1406E" w:rsidRDefault="00990CEE">
      <w:pPr>
        <w:spacing w:line="480" w:lineRule="auto"/>
        <w:ind w:left="720" w:hanging="720"/>
        <w:jc w:val="both"/>
      </w:pPr>
      <w:r>
        <w:t>Lonsway, K. A., &amp; Archambault, J. (2012). The "justice gap" for sexual assault cases: Future directions for research and reform. Violence Against Women, 18(2), 145-168. https://doi.org/10.1177/1077801212440017</w:t>
      </w:r>
    </w:p>
    <w:p w14:paraId="5F11F504" w14:textId="77777777" w:rsidR="00D1406E" w:rsidRDefault="00D1406E">
      <w:pPr>
        <w:spacing w:line="480" w:lineRule="auto"/>
      </w:pPr>
    </w:p>
    <w:p w14:paraId="4EF175CA" w14:textId="77777777" w:rsidR="00D1406E" w:rsidRDefault="00990CEE">
      <w:pPr>
        <w:spacing w:line="480" w:lineRule="auto"/>
        <w:ind w:left="720" w:hanging="720"/>
        <w:jc w:val="both"/>
      </w:pPr>
      <w:r>
        <w:t>Mailhot Amborski, A., Bussières, E.-L., Vaillancourt-Morel, M.-P., &amp; Joyal, C. C. (2022). Sexual violence against persons with disabilities: A meta-analysis. Trauma, Violence, &amp; Abuse, 23(4), 1330-1343. https://doi.org/10.1177/1524838021995975</w:t>
      </w:r>
    </w:p>
    <w:p w14:paraId="2040B055" w14:textId="77777777" w:rsidR="00D1406E" w:rsidRDefault="00D1406E">
      <w:pPr>
        <w:spacing w:line="480" w:lineRule="auto"/>
      </w:pPr>
    </w:p>
    <w:p w14:paraId="6CB98092" w14:textId="77777777" w:rsidR="00D1406E" w:rsidRDefault="00990CEE">
      <w:pPr>
        <w:spacing w:line="480" w:lineRule="auto"/>
        <w:ind w:left="720" w:hanging="720"/>
        <w:jc w:val="both"/>
      </w:pPr>
      <w:r>
        <w:t>Masson, D. (2013). Femmes et handicap. Recherches feministes, 26(1), 111-129. https://doi.org/10.7202/1016897ar</w:t>
      </w:r>
    </w:p>
    <w:p w14:paraId="23865D1F" w14:textId="77777777" w:rsidR="00D1406E" w:rsidRDefault="00D1406E">
      <w:pPr>
        <w:spacing w:line="480" w:lineRule="auto"/>
      </w:pPr>
    </w:p>
    <w:p w14:paraId="74AF404E" w14:textId="77777777" w:rsidR="00D1406E" w:rsidRDefault="00990CEE">
      <w:pPr>
        <w:spacing w:line="480" w:lineRule="auto"/>
        <w:ind w:left="720" w:hanging="720"/>
        <w:jc w:val="both"/>
      </w:pPr>
      <w:r>
        <w:lastRenderedPageBreak/>
        <w:t>McRuer, R. (2002). Compulsory able-bodiedness and queer/disabled existence. In S. L. Snyder, B. J. Brueggemann, &amp; R. Garland-Thomson (Eds.), Disability studies: Enabling the humanities (pp. 88-99). Modern Language Association.</w:t>
      </w:r>
    </w:p>
    <w:p w14:paraId="0242EC92" w14:textId="77777777" w:rsidR="00D1406E" w:rsidRDefault="00D1406E">
      <w:pPr>
        <w:spacing w:line="480" w:lineRule="auto"/>
      </w:pPr>
    </w:p>
    <w:p w14:paraId="5C7A56A8" w14:textId="77777777" w:rsidR="00D1406E" w:rsidRDefault="00990CEE">
      <w:pPr>
        <w:spacing w:line="480" w:lineRule="auto"/>
        <w:ind w:left="720" w:hanging="720"/>
        <w:jc w:val="both"/>
      </w:pPr>
      <w:r>
        <w:t>McRuer, R. (2006). Crip theory: Cultural signs of queerness and disability. New York University Press.</w:t>
      </w:r>
    </w:p>
    <w:p w14:paraId="5C5B5F05" w14:textId="77777777" w:rsidR="00D1406E" w:rsidRDefault="00D1406E">
      <w:pPr>
        <w:spacing w:line="480" w:lineRule="auto"/>
      </w:pPr>
    </w:p>
    <w:p w14:paraId="5228171A" w14:textId="77777777" w:rsidR="00D1406E" w:rsidRDefault="00D1406E">
      <w:pPr>
        <w:spacing w:line="480" w:lineRule="auto"/>
      </w:pPr>
    </w:p>
    <w:p w14:paraId="670B1F27" w14:textId="77777777" w:rsidR="00D1406E" w:rsidRDefault="00990CEE">
      <w:pPr>
        <w:spacing w:line="480" w:lineRule="auto"/>
        <w:ind w:left="720" w:hanging="720"/>
        <w:jc w:val="both"/>
      </w:pPr>
      <w:r>
        <w:t>McRuer, R., &amp; Mollow, A. (Eds.). (2012). Sex and disability. Duke University Press.</w:t>
      </w:r>
    </w:p>
    <w:p w14:paraId="30B70BC9" w14:textId="77777777" w:rsidR="00D1406E" w:rsidRDefault="00D1406E">
      <w:pPr>
        <w:spacing w:line="480" w:lineRule="auto"/>
      </w:pPr>
    </w:p>
    <w:p w14:paraId="72792434" w14:textId="77777777" w:rsidR="00D1406E" w:rsidRDefault="00D1406E">
      <w:pPr>
        <w:spacing w:line="480" w:lineRule="auto"/>
      </w:pPr>
    </w:p>
    <w:p w14:paraId="2C6ED25B" w14:textId="77777777" w:rsidR="00D1406E" w:rsidRDefault="00990CEE">
      <w:pPr>
        <w:spacing w:line="480" w:lineRule="auto"/>
        <w:ind w:left="720" w:hanging="720"/>
        <w:jc w:val="both"/>
      </w:pPr>
      <w:r>
        <w:t>Mingus, M. (2011, May 5). Access intimacy: The missing link. Leaving Evidence. https://leavingevidence.wordpress.com/2011/05/05/access-intimacy-the-missing-link/</w:t>
      </w:r>
    </w:p>
    <w:p w14:paraId="3288C374" w14:textId="77777777" w:rsidR="00D1406E" w:rsidRDefault="00D1406E">
      <w:pPr>
        <w:spacing w:line="480" w:lineRule="auto"/>
      </w:pPr>
    </w:p>
    <w:p w14:paraId="43BEFD2D" w14:textId="77777777" w:rsidR="00D1406E" w:rsidRDefault="00990CEE">
      <w:pPr>
        <w:spacing w:line="480" w:lineRule="auto"/>
        <w:ind w:left="720" w:hanging="720"/>
        <w:jc w:val="both"/>
      </w:pPr>
      <w:r>
        <w:t>Mingus, M. (2017, August 6). Forced intimacy: An ableist norm. Leaving Evidence. https://leavingevidence.wordpress.com/2017/08/06/forced-intimacy-an-ableist-norm/</w:t>
      </w:r>
    </w:p>
    <w:p w14:paraId="11037E7E" w14:textId="77777777" w:rsidR="00D1406E" w:rsidRDefault="00D1406E">
      <w:pPr>
        <w:spacing w:line="480" w:lineRule="auto"/>
      </w:pPr>
    </w:p>
    <w:p w14:paraId="4E1864C4" w14:textId="77777777" w:rsidR="00D1406E" w:rsidRDefault="00990CEE">
      <w:pPr>
        <w:spacing w:line="480" w:lineRule="auto"/>
        <w:ind w:left="720" w:hanging="720"/>
        <w:jc w:val="both"/>
      </w:pPr>
      <w:r>
        <w:t>Morris, J. (1991). Pride against prejudice: Transforming attitudes to disability. The Women's Press.</w:t>
      </w:r>
    </w:p>
    <w:p w14:paraId="18DE8780" w14:textId="77777777" w:rsidR="00D1406E" w:rsidRDefault="00D1406E">
      <w:pPr>
        <w:spacing w:line="480" w:lineRule="auto"/>
      </w:pPr>
    </w:p>
    <w:p w14:paraId="2C00FA3D" w14:textId="77777777" w:rsidR="00D1406E" w:rsidRDefault="00990CEE">
      <w:pPr>
        <w:spacing w:line="480" w:lineRule="auto"/>
        <w:ind w:left="720" w:hanging="720"/>
        <w:jc w:val="both"/>
      </w:pPr>
      <w:r>
        <w:t>Mueller, C. O., Forber-Pratt, A. J., &amp; Sriken, J. (2019). Disability: Missing from the conversation of violence. Journal of Social Issues, 75(3), 707-725. https://doi.org/10.1111/josi.12339</w:t>
      </w:r>
    </w:p>
    <w:p w14:paraId="3C8CCD9A" w14:textId="77777777" w:rsidR="00D1406E" w:rsidRDefault="00D1406E">
      <w:pPr>
        <w:spacing w:line="480" w:lineRule="auto"/>
      </w:pPr>
    </w:p>
    <w:p w14:paraId="00B865D1" w14:textId="77777777" w:rsidR="00D1406E" w:rsidRDefault="00990CEE">
      <w:pPr>
        <w:pStyle w:val="Normal"/>
        <w:spacing w:line="480" w:lineRule="auto"/>
        <w:ind w:left="720" w:hanging="720"/>
        <w:jc w:val="both"/>
      </w:pPr>
      <w:r>
        <w:rPr>
          <w:color w:val="0000CC"/>
        </w:rPr>
        <w:t xml:space="preserve">Peña-Guzmán, D. M., &amp; Reynolds, J. M. (2019). The harm of ableism: Medical error and epistemic injustice. </w:t>
      </w:r>
      <w:r>
        <w:rPr>
          <w:i/>
          <w:color w:val="0000CC"/>
        </w:rPr>
        <w:t>Kennedy Institute of Ethics Journal, 29</w:t>
      </w:r>
      <w:r>
        <w:rPr>
          <w:color w:val="0000CC"/>
        </w:rPr>
        <w:t>(3), 205-242. https://doi.org/10.1353/ken.2019.0023</w:t>
      </w:r>
    </w:p>
    <w:p w14:paraId="3D26A060" w14:textId="77777777" w:rsidR="00D1406E" w:rsidRDefault="00D1406E">
      <w:pPr>
        <w:spacing w:line="480" w:lineRule="auto"/>
      </w:pPr>
    </w:p>
    <w:p w14:paraId="0DE3451E" w14:textId="77777777" w:rsidR="00D1406E" w:rsidRDefault="00990CEE">
      <w:pPr>
        <w:spacing w:line="480" w:lineRule="auto"/>
        <w:ind w:left="720" w:hanging="720"/>
        <w:jc w:val="both"/>
      </w:pPr>
      <w:r>
        <w:t>Piepzna-Samarasinha, L. L. (2018). Care work: Dreaming disability justice. Arsenal Pulp Press.</w:t>
      </w:r>
    </w:p>
    <w:p w14:paraId="62DF3E5A" w14:textId="77777777" w:rsidR="00D1406E" w:rsidRDefault="00D1406E">
      <w:pPr>
        <w:spacing w:line="480" w:lineRule="auto"/>
      </w:pPr>
    </w:p>
    <w:p w14:paraId="2967F437" w14:textId="77777777" w:rsidR="00D1406E" w:rsidRDefault="00990CEE">
      <w:pPr>
        <w:spacing w:line="480" w:lineRule="auto"/>
        <w:ind w:left="720" w:hanging="720"/>
        <w:jc w:val="both"/>
      </w:pPr>
      <w:r>
        <w:t>Price, M. (2011). Mad at school: Rhetorics of mental disability and academic life. University of Michigan Press.</w:t>
      </w:r>
    </w:p>
    <w:p w14:paraId="14109C94" w14:textId="77777777" w:rsidR="00D1406E" w:rsidRDefault="00D1406E">
      <w:pPr>
        <w:spacing w:line="480" w:lineRule="auto"/>
      </w:pPr>
    </w:p>
    <w:p w14:paraId="5C538EE3" w14:textId="77777777" w:rsidR="00D1406E" w:rsidRDefault="00990CEE">
      <w:pPr>
        <w:spacing w:line="480" w:lineRule="auto"/>
        <w:ind w:left="720" w:hanging="720"/>
        <w:jc w:val="both"/>
      </w:pPr>
      <w:r>
        <w:t>Price, M. (2015). The bodymind problem and the possibilities of pain. Hypatia, 30(1), 268-284. https://doi.org/10.1111/hypa.12127</w:t>
      </w:r>
    </w:p>
    <w:p w14:paraId="0C9D925B" w14:textId="77777777" w:rsidR="00D1406E" w:rsidRDefault="00D1406E">
      <w:pPr>
        <w:spacing w:line="480" w:lineRule="auto"/>
      </w:pPr>
    </w:p>
    <w:p w14:paraId="14045227" w14:textId="77777777" w:rsidR="00D1406E" w:rsidRDefault="00990CEE">
      <w:pPr>
        <w:spacing w:line="480" w:lineRule="auto"/>
        <w:ind w:left="720" w:hanging="720"/>
        <w:jc w:val="both"/>
      </w:pPr>
      <w:r>
        <w:t>Price, M. (2024). Crip spacetime: Access, failure, and accountability in academic life. Duke University Press.</w:t>
      </w:r>
    </w:p>
    <w:p w14:paraId="04D05247" w14:textId="77777777" w:rsidR="00D1406E" w:rsidRDefault="00D1406E">
      <w:pPr>
        <w:spacing w:line="480" w:lineRule="auto"/>
      </w:pPr>
    </w:p>
    <w:p w14:paraId="46F1126F" w14:textId="77777777" w:rsidR="00D1406E" w:rsidRDefault="00990CEE">
      <w:pPr>
        <w:pStyle w:val="Normal"/>
        <w:spacing w:line="480" w:lineRule="auto"/>
        <w:ind w:left="720" w:hanging="720"/>
        <w:jc w:val="both"/>
      </w:pPr>
      <w:r>
        <w:rPr>
          <w:color w:val="0000CC"/>
        </w:rPr>
        <w:t xml:space="preserve">Primerano, A. (2022). L'émergence des concepts de « capacitisme » et de « validisme » dans l'espace francophone : Entre monde universitaire et monde militant. </w:t>
      </w:r>
      <w:r>
        <w:rPr>
          <w:i/>
          <w:color w:val="0000CC"/>
        </w:rPr>
        <w:t>Alter: European Journal of Disability Research, 16</w:t>
      </w:r>
      <w:r>
        <w:rPr>
          <w:color w:val="0000CC"/>
        </w:rPr>
        <w:t>(2), 43-58. https://journals.openedition.org/alterjdr/683</w:t>
      </w:r>
    </w:p>
    <w:p w14:paraId="46F1126F" w14:textId="77777777" w:rsidR="00D1406E" w:rsidRDefault="00990CEE">
      <w:pPr>
        <w:spacing w:line="480" w:lineRule="auto"/>
        <w:ind w:left="720" w:hanging="720"/>
        <w:jc w:val="both"/>
      </w:pPr>
      <w:r>
        <w:t>Puar, J. K. (2017). The right to maim: Debility, capacity, disability. Duke University Press.</w:t>
      </w:r>
    </w:p>
    <w:p w14:paraId="295CFF59" w14:textId="77777777" w:rsidR="00D1406E" w:rsidRDefault="00D1406E">
      <w:pPr>
        <w:spacing w:line="480" w:lineRule="auto"/>
      </w:pPr>
    </w:p>
    <w:p w14:paraId="6FBCB6B2" w14:textId="77777777" w:rsidR="00D1406E" w:rsidRDefault="00990CEE">
      <w:pPr>
        <w:spacing w:line="480" w:lineRule="auto"/>
        <w:ind w:left="720" w:hanging="720"/>
        <w:jc w:val="both"/>
      </w:pPr>
      <w:r>
        <w:t>Puiseux, C. (2022). De chair et de fer : vivre et lutter dans une societe validiste. La Decouverte.</w:t>
      </w:r>
    </w:p>
    <w:p w14:paraId="35B9C1CD" w14:textId="77777777" w:rsidR="00D1406E" w:rsidRDefault="00D1406E">
      <w:pPr>
        <w:spacing w:line="480" w:lineRule="auto"/>
      </w:pPr>
    </w:p>
    <w:p w14:paraId="324CA7F8" w14:textId="77777777" w:rsidR="00D1406E" w:rsidRDefault="00990CEE">
      <w:pPr>
        <w:spacing w:line="480" w:lineRule="auto"/>
        <w:ind w:left="720" w:hanging="720"/>
        <w:jc w:val="both"/>
      </w:pPr>
      <w:r>
        <w:lastRenderedPageBreak/>
        <w:t>Reeve, D. (2002). Negotiating psycho-emotional dimensions of disability and their influence on identity constructions. Disability &amp; Society, 17(5), 493-508. https://doi.org/10.1080/09687590220148487</w:t>
      </w:r>
    </w:p>
    <w:p w14:paraId="41D4AE69" w14:textId="77777777" w:rsidR="00D1406E" w:rsidRDefault="00D1406E">
      <w:pPr>
        <w:spacing w:line="480" w:lineRule="auto"/>
      </w:pPr>
    </w:p>
    <w:p w14:paraId="1733B967" w14:textId="77777777" w:rsidR="00D1406E" w:rsidRDefault="00990CEE">
      <w:pPr>
        <w:spacing w:line="480" w:lineRule="auto"/>
        <w:ind w:left="720" w:hanging="720"/>
        <w:jc w:val="both"/>
      </w:pPr>
      <w:r>
        <w:t>Reeve, D. (2012). Preparation for practice: Enabling social work students to work with disabled people. Social Work Education, 31(2), 226-233. https://doi.org/10.1080/02615479.2012.644944</w:t>
      </w:r>
    </w:p>
    <w:p w14:paraId="365C744B" w14:textId="77777777" w:rsidR="00D1406E" w:rsidRDefault="00D1406E">
      <w:pPr>
        <w:spacing w:line="480" w:lineRule="auto"/>
      </w:pPr>
    </w:p>
    <w:p w14:paraId="13E62CDA" w14:textId="77777777" w:rsidR="00D1406E" w:rsidRDefault="00990CEE">
      <w:pPr>
        <w:spacing w:line="480" w:lineRule="auto"/>
        <w:ind w:left="720" w:hanging="720"/>
        <w:jc w:val="both"/>
      </w:pPr>
      <w:r>
        <w:t>Reeve, D. (2014). Psycho-emotional disablism and internalised oppression. In J. Swain, S. French, C. Barnes, &amp; C. Thomas (Eds.), Disabling barriers — enabling environments (3rd ed., pp. 92-98). Sage.</w:t>
      </w:r>
    </w:p>
    <w:p w14:paraId="0053653D" w14:textId="77777777" w:rsidR="00D1406E" w:rsidRDefault="00D1406E">
      <w:pPr>
        <w:spacing w:line="480" w:lineRule="auto"/>
      </w:pPr>
    </w:p>
    <w:p w14:paraId="1A5F97ED" w14:textId="77777777" w:rsidR="00D1406E" w:rsidRDefault="00990CEE">
      <w:pPr>
        <w:spacing w:line="480" w:lineRule="auto"/>
        <w:ind w:left="720" w:hanging="720"/>
        <w:jc w:val="both"/>
      </w:pPr>
      <w:r>
        <w:t>Revillard, A. (2020). Des droits vulnerables : handicap, action publique et changement social. Presses de Sciences Po.</w:t>
      </w:r>
    </w:p>
    <w:p w14:paraId="60540C81" w14:textId="77777777" w:rsidR="00D1406E" w:rsidRDefault="00D1406E">
      <w:pPr>
        <w:spacing w:line="480" w:lineRule="auto"/>
      </w:pPr>
    </w:p>
    <w:p w14:paraId="13709BEC" w14:textId="77777777" w:rsidR="00D1406E" w:rsidRDefault="00990CEE">
      <w:pPr>
        <w:spacing w:line="480" w:lineRule="auto"/>
        <w:ind w:left="720" w:hanging="720"/>
        <w:jc w:val="both"/>
      </w:pPr>
      <w:r>
        <w:t>Rich, A. (1980). Compulsory heterosexuality and lesbian existence. Signs: Journal of Women in Culture and Society, 5(4), 631-660. https://doi.org/10.1086/493756</w:t>
      </w:r>
    </w:p>
    <w:p w14:paraId="621A575E" w14:textId="77777777" w:rsidR="00D1406E" w:rsidRDefault="00D1406E">
      <w:pPr>
        <w:spacing w:line="480" w:lineRule="auto"/>
      </w:pPr>
    </w:p>
    <w:p w14:paraId="2796988D" w14:textId="77777777" w:rsidR="00D1406E" w:rsidRDefault="00990CEE">
      <w:pPr>
        <w:spacing w:line="480" w:lineRule="auto"/>
        <w:ind w:left="720" w:hanging="720"/>
        <w:jc w:val="both"/>
      </w:pPr>
      <w:r>
        <w:t xml:space="preserve">Rossiter, K., &amp; Rinaldi, J. (2018). </w:t>
      </w:r>
      <w:r>
        <w:rPr>
          <w:i/>
        </w:rPr>
        <w:t>Institutional violence and disability: Punishing conditions</w:t>
      </w:r>
      <w:r>
        <w:t>. Routledge.</w:t>
      </w:r>
    </w:p>
    <w:p w14:paraId="11AAR001" w14:textId="77777777" w:rsidR="00D1406E" w:rsidRDefault="00D1406E">
      <w:pPr>
        <w:spacing w:line="480" w:lineRule="auto"/>
      </w:pPr>
    </w:p>
    <w:p w14:paraId="11AAR002" w14:textId="77777777" w:rsidR="00D1406E" w:rsidRDefault="00990CEE">
      <w:pPr>
        <w:spacing w:line="480" w:lineRule="auto"/>
        <w:ind w:left="720" w:hanging="720"/>
        <w:jc w:val="both"/>
      </w:pPr>
      <w:r>
        <w:t xml:space="preserve">Samra, R. (2025). Conceptualising lived experience in mental health research: Problems, insights and implications. </w:t>
      </w:r>
      <w:r>
        <w:rPr>
          <w:i/>
        </w:rPr>
        <w:t>Sociology of Health &amp; Illness, 47</w:t>
      </w:r>
      <w:r>
        <w:t>, e70039. https://doi.org/10.1111/1467-9566.70039</w:t>
      </w:r>
    </w:p>
    <w:p w14:paraId="11AAR003" w14:textId="77777777" w:rsidR="00D1406E" w:rsidRDefault="00D1406E">
      <w:pPr>
        <w:spacing w:line="480" w:lineRule="auto"/>
      </w:pPr>
    </w:p>
    <w:p w14:paraId="11AAR004" w14:textId="77777777" w:rsidR="00D1406E" w:rsidRDefault="00990CEE">
      <w:pPr>
        <w:spacing w:line="480" w:lineRule="auto"/>
        <w:ind w:left="720" w:hanging="720"/>
        <w:jc w:val="both"/>
      </w:pPr>
      <w:r>
        <w:t>Schalk, S. (2018). Bodyminds reimagined: (Dis)ability, race, and gender in Black women's speculative fiction. Duke University Press.</w:t>
      </w:r>
    </w:p>
    <w:p w14:paraId="5767262C" w14:textId="77777777" w:rsidR="00D1406E" w:rsidRDefault="00D1406E">
      <w:pPr>
        <w:spacing w:line="480" w:lineRule="auto"/>
      </w:pPr>
    </w:p>
    <w:p w14:paraId="2B3054BB" w14:textId="77777777" w:rsidR="00D1406E" w:rsidRDefault="00990CEE">
      <w:pPr>
        <w:spacing w:line="480" w:lineRule="auto"/>
        <w:ind w:left="720" w:hanging="720"/>
        <w:jc w:val="both"/>
      </w:pPr>
      <w:r>
        <w:t>Schalk, S. (2022). Black disability politics. Duke University Press.</w:t>
      </w:r>
    </w:p>
    <w:p w14:paraId="782F4F3D" w14:textId="77777777" w:rsidR="00D1406E" w:rsidRDefault="00D1406E">
      <w:pPr>
        <w:spacing w:line="480" w:lineRule="auto"/>
      </w:pPr>
    </w:p>
    <w:p w14:paraId="49FFD809" w14:textId="77777777" w:rsidR="00D1406E" w:rsidRDefault="00990CEE">
      <w:pPr>
        <w:spacing w:line="480" w:lineRule="auto"/>
        <w:ind w:left="720" w:hanging="720"/>
        <w:jc w:val="both"/>
      </w:pPr>
      <w:r>
        <w:lastRenderedPageBreak/>
        <w:t xml:space="preserve">Shaikh, S. S., LeFrançois, B. A., &amp; Macías, T. (Eds.). (2022). </w:t>
      </w:r>
      <w:r>
        <w:rPr>
          <w:i/>
        </w:rPr>
        <w:t>Critical social work praxis</w:t>
      </w:r>
      <w:r>
        <w:t>. Fernwood Publishing.</w:t>
      </w:r>
    </w:p>
    <w:p w14:paraId="11AAS001" w14:textId="77777777" w:rsidR="00D1406E" w:rsidRDefault="00D1406E">
      <w:pPr>
        <w:spacing w:line="480" w:lineRule="auto"/>
      </w:pPr>
    </w:p>
    <w:p w14:paraId="11AAS002" w14:textId="77777777" w:rsidR="00D1406E" w:rsidRDefault="00990CEE">
      <w:pPr>
        <w:spacing w:line="480" w:lineRule="auto"/>
        <w:ind w:left="720" w:hanging="720"/>
        <w:jc w:val="both"/>
      </w:pPr>
      <w:r>
        <w:t>Sins Invalid. (2018). Skin, tooth, and bone: The basis of movement is our people — a disability justice primer (2nd ed.). Sins Invalid.</w:t>
      </w:r>
    </w:p>
    <w:p w14:paraId="770FBB4A" w14:textId="77777777" w:rsidR="00D1406E" w:rsidRDefault="00D1406E">
      <w:pPr>
        <w:spacing w:line="480" w:lineRule="auto"/>
      </w:pPr>
    </w:p>
    <w:p w14:paraId="319106E9" w14:textId="77777777" w:rsidR="00D1406E" w:rsidRDefault="00990CEE">
      <w:pPr>
        <w:spacing w:line="480" w:lineRule="auto"/>
        <w:ind w:left="720" w:hanging="720"/>
        <w:jc w:val="both"/>
      </w:pPr>
      <w:r>
        <w:t>Smith, C. P., &amp; Freyd, J. J. (2013). Dangerous safe havens: Institutional betrayal exacerbates sexual trauma. Journal of Traumatic Stress, 26(1), 119-124. https://doi.org/10.1002/jts.21778</w:t>
      </w:r>
    </w:p>
    <w:p w14:paraId="23C2EA3E" w14:textId="77777777" w:rsidR="00D1406E" w:rsidRDefault="00D1406E">
      <w:pPr>
        <w:spacing w:line="480" w:lineRule="auto"/>
      </w:pPr>
    </w:p>
    <w:p w14:paraId="07A11EF3" w14:textId="77777777" w:rsidR="00D1406E" w:rsidRDefault="00990CEE">
      <w:pPr>
        <w:spacing w:line="480" w:lineRule="auto"/>
        <w:ind w:left="720" w:hanging="720"/>
        <w:jc w:val="both"/>
      </w:pPr>
      <w:r>
        <w:t>Smith, C. P., &amp; Freyd, J. J. (2014). Institutional betrayal. American Psychologist, 69(6), 575-587. https://doi.org/10.1037/a0037564</w:t>
      </w:r>
    </w:p>
    <w:p w14:paraId="4B2CFC43" w14:textId="77777777" w:rsidR="00D1406E" w:rsidRDefault="00D1406E">
      <w:pPr>
        <w:spacing w:line="480" w:lineRule="auto"/>
      </w:pPr>
    </w:p>
    <w:p w14:paraId="17D661B8" w14:textId="77777777" w:rsidR="00D1406E" w:rsidRDefault="00990CEE">
      <w:pPr>
        <w:spacing w:line="480" w:lineRule="auto"/>
        <w:ind w:left="720" w:hanging="720"/>
        <w:jc w:val="both"/>
      </w:pPr>
      <w:r>
        <w:t>Sobsey, D. (1994). Violence and abuse in the lives of people with disabilities: The end of silent acceptance? Paul H. Brookes.</w:t>
      </w:r>
    </w:p>
    <w:p w14:paraId="166F9F58" w14:textId="77777777" w:rsidR="00D1406E" w:rsidRDefault="00D1406E">
      <w:pPr>
        <w:spacing w:line="480" w:lineRule="auto"/>
      </w:pPr>
    </w:p>
    <w:p w14:paraId="11AAS003" w14:textId="77777777" w:rsidR="00D1406E" w:rsidRDefault="00D1406E">
      <w:pPr>
        <w:spacing w:line="480" w:lineRule="auto"/>
      </w:pPr>
    </w:p>
    <w:p w14:paraId="11AAS004" w14:textId="77777777" w:rsidR="00D1406E" w:rsidRDefault="00990CEE">
      <w:pPr>
        <w:spacing w:line="480" w:lineRule="auto"/>
        <w:ind w:left="720" w:hanging="720"/>
        <w:jc w:val="both"/>
      </w:pPr>
      <w:r>
        <w:t xml:space="preserve">Steele, L. (2020). </w:t>
      </w:r>
      <w:r>
        <w:rPr>
          <w:i/>
        </w:rPr>
        <w:t>Disability, criminal justice and law: Reconsidering court diversion</w:t>
      </w:r>
      <w:r>
        <w:t>. Routledge.</w:t>
      </w:r>
    </w:p>
    <w:p w14:paraId="11AAS004" w14:textId="77777777" w:rsidR="00D1406E" w:rsidRDefault="00990CEE">
      <w:pPr>
        <w:pStyle w:val="Normal"/>
        <w:spacing w:line="480" w:lineRule="auto"/>
        <w:ind w:left="720" w:hanging="720"/>
        <w:jc w:val="both"/>
      </w:pPr>
      <w:r>
        <w:rPr>
          <w:color w:val="0000CC"/>
        </w:rPr>
        <w:t xml:space="preserve">Stiker, H.-J. (2013). </w:t>
      </w:r>
      <w:r>
        <w:rPr>
          <w:i/>
          <w:color w:val="0000CC"/>
        </w:rPr>
        <w:t>Corps infirmes et sociétés : essais d'anthropologie historique</w:t>
      </w:r>
      <w:r>
        <w:rPr>
          <w:color w:val="0000CC"/>
        </w:rPr>
        <w:t xml:space="preserve"> (3rd ed.). Dunod.</w:t>
      </w:r>
    </w:p>
    <w:p w14:paraId="11AAT001" w14:textId="77777777" w:rsidR="00D1406E" w:rsidRDefault="00D1406E">
      <w:pPr>
        <w:spacing w:line="480" w:lineRule="auto"/>
      </w:pPr>
    </w:p>
    <w:p w14:paraId="11AAT002" w14:textId="77777777" w:rsidR="00D1406E" w:rsidRDefault="00990CEE">
      <w:pPr>
        <w:spacing w:line="480" w:lineRule="auto"/>
        <w:ind w:left="720" w:hanging="720"/>
        <w:jc w:val="both"/>
      </w:pPr>
      <w:r>
        <w:t>Thiara, R., Hague, G., Bashall, R., Ellis, B., &amp; Mullender, A. (2012). Disabled women and domestic violence: Responding to the experiences of survivors. Jessica Kingsley.</w:t>
      </w:r>
    </w:p>
    <w:p w14:paraId="7662E55D" w14:textId="77777777" w:rsidR="00D1406E" w:rsidRDefault="00D1406E">
      <w:pPr>
        <w:spacing w:line="480" w:lineRule="auto"/>
      </w:pPr>
    </w:p>
    <w:p w14:paraId="4B060809" w14:textId="77777777" w:rsidR="00D1406E" w:rsidRDefault="00990CEE">
      <w:pPr>
        <w:spacing w:line="480" w:lineRule="auto"/>
        <w:ind w:left="720" w:hanging="720"/>
        <w:jc w:val="both"/>
      </w:pPr>
      <w:r>
        <w:t>Thomas, C. (1999). Female forms: Experiencing and understanding disability. Open University Press.</w:t>
      </w:r>
    </w:p>
    <w:p w14:paraId="416F26A6" w14:textId="77777777" w:rsidR="00D1406E" w:rsidRDefault="00D1406E">
      <w:pPr>
        <w:spacing w:line="480" w:lineRule="auto"/>
      </w:pPr>
    </w:p>
    <w:p w14:paraId="602A7EED" w14:textId="77777777" w:rsidR="00D1406E" w:rsidRDefault="00990CEE">
      <w:pPr>
        <w:spacing w:line="480" w:lineRule="auto"/>
        <w:ind w:left="720" w:hanging="720"/>
        <w:jc w:val="both"/>
      </w:pPr>
      <w:r>
        <w:t>Ville, I., Fillion, E., &amp; Ravaud, J.-F. (2020). Introduction a la sociologie du handicap : histoire, politiques et experience (2nd ed.). De Boeck Superieur.</w:t>
      </w:r>
    </w:p>
    <w:p w14:paraId="59543505" w14:textId="77777777" w:rsidR="00D1406E" w:rsidRDefault="00D1406E">
      <w:pPr>
        <w:spacing w:line="480" w:lineRule="auto"/>
      </w:pPr>
    </w:p>
    <w:p w14:paraId="0E82E260" w14:textId="77777777" w:rsidR="00D1406E" w:rsidRDefault="00990CEE">
      <w:pPr>
        <w:spacing w:line="480" w:lineRule="auto"/>
        <w:ind w:left="720" w:hanging="720"/>
        <w:jc w:val="both"/>
      </w:pPr>
      <w:r>
        <w:lastRenderedPageBreak/>
        <w:t>Wendell, S. (1989). Toward a feminist theory of disability. Hypatia, 4(2), 104-124. https://doi.org/10.1111/j.1527-2001.1989.tb00576.x</w:t>
      </w:r>
    </w:p>
    <w:p w14:paraId="4E334362" w14:textId="77777777" w:rsidR="00D1406E" w:rsidRDefault="00D1406E">
      <w:pPr>
        <w:spacing w:line="480" w:lineRule="auto"/>
      </w:pPr>
    </w:p>
    <w:p w14:paraId="1FACDD85" w14:textId="77777777" w:rsidR="00D1406E" w:rsidRDefault="00990CEE">
      <w:pPr>
        <w:spacing w:line="480" w:lineRule="auto"/>
        <w:ind w:left="720" w:hanging="720"/>
        <w:jc w:val="both"/>
      </w:pPr>
      <w:r>
        <w:t>Wendell, S. (1996). The rejected body: Feminist philosophical reflections on disability. Routledge.</w:t>
      </w:r>
    </w:p>
    <w:p w14:paraId="45BB05C4" w14:textId="77777777" w:rsidR="00D1406E" w:rsidRDefault="00D1406E">
      <w:pPr>
        <w:spacing w:line="480" w:lineRule="auto"/>
      </w:pPr>
    </w:p>
    <w:p w14:paraId="32D910DD" w14:textId="77777777" w:rsidR="00D1406E" w:rsidRDefault="00990CEE">
      <w:pPr>
        <w:spacing w:line="480" w:lineRule="auto"/>
        <w:ind w:left="720" w:hanging="720"/>
        <w:jc w:val="both"/>
      </w:pPr>
      <w:r>
        <w:t>Williams, H., &amp; Jobe, A. (2024). Testimonial injustice: Exploring “credibility” as a barrier to justice for people with learning disabilities/autism who report sexual violence. Disability &amp; Society, 40(4), 1061-1083. https://doi.org/10.1080/09687599.2024.2323455</w:t>
      </w:r>
    </w:p>
    <w:p w14:paraId="4C68ADE6" w14:textId="77777777" w:rsidR="00D1406E" w:rsidRDefault="00D1406E">
      <w:pPr>
        <w:spacing w:line="480" w:lineRule="auto"/>
      </w:pPr>
    </w:p>
    <w:p w14:paraId="66E4328F" w14:textId="77777777" w:rsidR="00D1406E" w:rsidRDefault="00990CEE">
      <w:pPr>
        <w:pStyle w:val="Normal"/>
        <w:spacing w:line="480" w:lineRule="auto"/>
        <w:ind w:left="720" w:hanging="720"/>
        <w:jc w:val="both"/>
      </w:pPr>
      <w:r>
        <w:rPr>
          <w:color w:val="0000CC"/>
        </w:rPr>
        <w:t xml:space="preserve">Wright, J. J., &amp; Manuel, C. A. (2024). Cripping and queering gender-based violence prevention: Bridging disability justice, queer joy, and consent education. </w:t>
      </w:r>
      <w:r>
        <w:rPr>
          <w:i/>
          <w:color w:val="0000CC"/>
        </w:rPr>
        <w:t>Culture, Health &amp; Sexuality, 27</w:t>
      </w:r>
      <w:r>
        <w:rPr>
          <w:color w:val="0000CC"/>
        </w:rPr>
        <w:t>(4), 464-478. https://doi.org/10.1080/13691058.2024.2380768</w:t>
      </w:r>
    </w:p>
    <w:sectPr w:rsidR="00D1406E">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FB859" w14:textId="77777777" w:rsidR="00990CEE" w:rsidRDefault="00990CEE">
      <w:r>
        <w:separator/>
      </w:r>
    </w:p>
  </w:endnote>
  <w:endnote w:type="continuationSeparator" w:id="0">
    <w:p w14:paraId="12339726" w14:textId="77777777" w:rsidR="00990CEE" w:rsidRDefault="00990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4459F" w14:textId="77777777" w:rsidR="00990CEE" w:rsidRDefault="00990CEE">
      <w:r>
        <w:separator/>
      </w:r>
    </w:p>
  </w:footnote>
  <w:footnote w:type="continuationSeparator" w:id="0">
    <w:p w14:paraId="71540675" w14:textId="77777777" w:rsidR="00990CEE" w:rsidRDefault="00990C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B7302" w14:textId="77777777" w:rsidR="00D1406E" w:rsidRDefault="00990CEE">
    <w:pPr>
      <w:tabs>
        <w:tab w:val="right" w:pos="9026"/>
      </w:tabs>
      <w:jc w:val="right"/>
    </w:pPr>
    <w:r>
      <w:rPr>
        <w:sz w:val="20"/>
        <w:szCs w:val="20"/>
      </w:rPr>
      <w:t>CRIPPING FEMINIST SOCIAL WORK</w:t>
    </w:r>
    <w:r>
      <w:rPr>
        <w:sz w:val="20"/>
        <w:szCs w:val="20"/>
      </w:rPr>
      <w:fldChar w:fldCharType="begin"/>
    </w:r>
    <w:r>
      <w:rPr>
        <w:sz w:val="20"/>
        <w:szCs w:val="20"/>
      </w:rPr>
      <w:instrText>PAGE</w:instrText>
    </w:r>
    <w:r>
      <w:rPr>
        <w:sz w:val="20"/>
        <w:szCs w:val="20"/>
      </w:rPr>
      <w:fldChar w:fldCharType="separate"/>
    </w:r>
    <w:r w:rsidR="00173AF6">
      <w:rPr>
        <w:noProof/>
        <w:sz w:val="20"/>
        <w:szCs w:val="20"/>
      </w:rPr>
      <w:t>1</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9B447F"/>
    <w:multiLevelType w:val="hybridMultilevel"/>
    <w:tmpl w:val="19E02404"/>
    <w:lvl w:ilvl="0" w:tplc="218A0042">
      <w:start w:val="1"/>
      <w:numFmt w:val="bullet"/>
      <w:lvlText w:val="●"/>
      <w:lvlJc w:val="left"/>
      <w:pPr>
        <w:ind w:left="720" w:hanging="360"/>
      </w:pPr>
    </w:lvl>
    <w:lvl w:ilvl="1" w:tplc="23246D88">
      <w:start w:val="1"/>
      <w:numFmt w:val="bullet"/>
      <w:lvlText w:val="○"/>
      <w:lvlJc w:val="left"/>
      <w:pPr>
        <w:ind w:left="1440" w:hanging="360"/>
      </w:pPr>
    </w:lvl>
    <w:lvl w:ilvl="2" w:tplc="712C31C0">
      <w:start w:val="1"/>
      <w:numFmt w:val="bullet"/>
      <w:lvlText w:val="■"/>
      <w:lvlJc w:val="left"/>
      <w:pPr>
        <w:ind w:left="2160" w:hanging="360"/>
      </w:pPr>
    </w:lvl>
    <w:lvl w:ilvl="3" w:tplc="F948D98A">
      <w:start w:val="1"/>
      <w:numFmt w:val="bullet"/>
      <w:lvlText w:val="●"/>
      <w:lvlJc w:val="left"/>
      <w:pPr>
        <w:ind w:left="2880" w:hanging="360"/>
      </w:pPr>
    </w:lvl>
    <w:lvl w:ilvl="4" w:tplc="4252AC04">
      <w:start w:val="1"/>
      <w:numFmt w:val="bullet"/>
      <w:lvlText w:val="○"/>
      <w:lvlJc w:val="left"/>
      <w:pPr>
        <w:ind w:left="3600" w:hanging="360"/>
      </w:pPr>
    </w:lvl>
    <w:lvl w:ilvl="5" w:tplc="941A2BDE">
      <w:start w:val="1"/>
      <w:numFmt w:val="bullet"/>
      <w:lvlText w:val="■"/>
      <w:lvlJc w:val="left"/>
      <w:pPr>
        <w:ind w:left="4320" w:hanging="360"/>
      </w:pPr>
    </w:lvl>
    <w:lvl w:ilvl="6" w:tplc="60FAB438">
      <w:start w:val="1"/>
      <w:numFmt w:val="bullet"/>
      <w:lvlText w:val="●"/>
      <w:lvlJc w:val="left"/>
      <w:pPr>
        <w:ind w:left="5040" w:hanging="360"/>
      </w:pPr>
    </w:lvl>
    <w:lvl w:ilvl="7" w:tplc="5AD8A898">
      <w:start w:val="1"/>
      <w:numFmt w:val="bullet"/>
      <w:lvlText w:val="●"/>
      <w:lvlJc w:val="left"/>
      <w:pPr>
        <w:ind w:left="5760" w:hanging="360"/>
      </w:pPr>
    </w:lvl>
    <w:lvl w:ilvl="8" w:tplc="60504CE8">
      <w:start w:val="1"/>
      <w:numFmt w:val="bullet"/>
      <w:lvlText w:val="●"/>
      <w:lvlJc w:val="left"/>
      <w:pPr>
        <w:ind w:left="6480" w:hanging="360"/>
      </w:pPr>
    </w:lvl>
  </w:abstractNum>
  <w:num w:numId="1" w16cid:durableId="7711732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06E"/>
    <w:rsid w:val="00173AF6"/>
    <w:rsid w:val="00990CEE"/>
    <w:rsid w:val="00C001F0"/>
    <w:rsid w:val="00D1406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A867938"/>
  <w15:docId w15:val="{595C0996-0E97-A24E-87E8-D7D53DF04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240"/>
      <w:outlineLvl w:val="0"/>
    </w:pPr>
    <w:rPr>
      <w:b/>
      <w:bCs/>
      <w:color w:val="000000"/>
    </w:rPr>
  </w:style>
  <w:style w:type="paragraph" w:styleId="Titre2">
    <w:name w:val="heading 2"/>
    <w:uiPriority w:val="9"/>
    <w:semiHidden/>
    <w:unhideWhenUsed/>
    <w:qFormat/>
    <w:pPr>
      <w:spacing w:before="360" w:after="120"/>
      <w:outlineLvl w:val="1"/>
    </w:pPr>
    <w:rPr>
      <w:b/>
      <w:bCs/>
      <w:i/>
      <w:iCs/>
      <w:color w:val="000000"/>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7317</Words>
  <Characters>47421</Characters>
  <Application>Microsoft Office Word</Application>
  <DocSecurity>0</DocSecurity>
  <Lines>750</Lines>
  <Paragraphs>125</Paragraphs>
  <ScaleCrop>false</ScaleCrop>
  <Company/>
  <LinksUpToDate>false</LinksUpToDate>
  <CharactersWithSpaces>54676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Author</cp:lastModifiedBy>
  <cp:revision>2</cp:revision>
  <dcterms:created xsi:type="dcterms:W3CDTF">2026-03-13T12:21:00Z</dcterms:created>
  <dcterms:modified xsi:type="dcterms:W3CDTF">2026-03-13T12:21:00Z</dcterms:modified>
</cp:coreProperties>
</file>