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AFFILIA: Feminist Inquiry in Social Work</w:t>
      </w:r>
    </w:p>
    <w:p>
      <w:pPr>
        <w:spacing w:after="200"/>
        <w:jc w:val="center"/>
      </w:pPr>
      <w:r>
        <w:rPr>
          <w:rFonts w:ascii="Times New Roman" w:hAnsi="Times New Roman"/>
          <w:b/>
          <w:i w:val="0"/>
          <w:sz w:val="24"/>
        </w:rPr>
        <w:t>Author's Responses to Comments by Reviewers &amp; the Editor</w:t>
      </w:r>
    </w:p>
    <w:p>
      <w:pPr>
        <w:spacing w:after="40"/>
      </w:pPr>
      <w:r>
        <w:rPr>
          <w:rFonts w:ascii="Times New Roman" w:hAnsi="Times New Roman"/>
          <w:b w:val="0"/>
          <w:i w:val="0"/>
          <w:sz w:val="22"/>
        </w:rPr>
        <w:t>Manuscript ID: Affilia-26-053</w:t>
      </w:r>
    </w:p>
    <w:p>
      <w:pPr>
        <w:spacing w:after="240"/>
      </w:pPr>
      <w:r>
        <w:rPr>
          <w:rFonts w:ascii="Times New Roman" w:hAnsi="Times New Roman"/>
          <w:b w:val="0"/>
          <w:i w:val="0"/>
          <w:sz w:val="22"/>
        </w:rPr>
        <w:t>Title: Cripping Feminist Social Work: Compulsory Able-Bodiedness, Epistemic Injustice, and Sexual Violence Against Disabled People</w:t>
      </w:r>
    </w:p>
    <w:p>
      <w:pPr>
        <w:spacing w:after="120"/>
      </w:pPr>
      <w:r>
        <w:rPr>
          <w:rFonts w:ascii="Times New Roman" w:hAnsi="Times New Roman"/>
          <w:b/>
          <w:i w:val="0"/>
          <w:sz w:val="24"/>
        </w:rPr>
        <w:t>Summary of the revision</w:t>
      </w:r>
    </w:p>
    <w:p>
      <w:pPr>
        <w:spacing w:after="120"/>
        <w:jc w:val="both"/>
      </w:pPr>
      <w:r>
        <w:rPr>
          <w:rFonts w:ascii="Times New Roman" w:hAnsi="Times New Roman"/>
          <w:b w:val="0"/>
          <w:i w:val="0"/>
          <w:sz w:val="22"/>
        </w:rPr>
        <w:t>This revision responds to a single diagnosis shared by Reviewer 1's comments: the article was organized around two objects at once — a regional-institutional regime and a placeless “feminist social work” said to need changing — and neither claim was therefore able to hold the paper. We have reorganized around one object.</w:t>
      </w:r>
    </w:p>
    <w:p>
      <w:pPr>
        <w:spacing w:after="120"/>
        <w:jc w:val="both"/>
      </w:pPr>
      <w:r>
        <w:rPr>
          <w:rFonts w:ascii="Times New Roman" w:hAnsi="Times New Roman"/>
          <w:b w:val="0"/>
          <w:i w:val="0"/>
          <w:sz w:val="22"/>
        </w:rPr>
        <w:t>The article now addresses a configuration of mandated care, specified in the Belgian and French medico-social regime. Four conditions define it: access to a person's body or life is institutionally mandated rather than chosen; that access is performed under a vocabulary of care, help or treatment; the authority to interpret what happens within it is held professionally rather than by the person who undergoes it; and the institution that would receive a complaint is also the institution that arranges the access. The contribution is a claim about how those conditions work together: forced intimacy is not one risk factor among others but the structural medium binding the normative system to the epistemic one, so that a single arrangement produces exposure to sexual violation and forecloses its nameability in the same movement. Epistemic injustice therefore operates before disclosure and not only after it — which is why interventions addressed to the reception of testimony cannot reach the mechanism.</w:t>
      </w:r>
    </w:p>
    <w:p>
      <w:pPr>
        <w:spacing w:after="120"/>
        <w:jc w:val="both"/>
      </w:pPr>
      <w:r>
        <w:rPr>
          <w:rFonts w:ascii="Times New Roman" w:hAnsi="Times New Roman"/>
          <w:b w:val="0"/>
          <w:i w:val="0"/>
          <w:sz w:val="22"/>
        </w:rPr>
        <w:t>Feminist social work is no longer positioned as the problem. It is positioned institutionally: in this regime the professional who qualifies a disclosure — decides what it is, whether it is one, and what happens next — is very often a social worker or an éducateur·rice spécialisé·e. That is the point at which the configuration converts a disclosure into a non-event, and it is a position of epistemic power rather than of intimate contact. The critique is addressed there, and it is specific and cited rather than general.</w:t>
      </w:r>
    </w:p>
    <w:p>
      <w:pPr>
        <w:spacing w:after="120"/>
        <w:jc w:val="both"/>
      </w:pPr>
      <w:r>
        <w:rPr>
          <w:rFonts w:ascii="Times New Roman" w:hAnsi="Times New Roman"/>
          <w:b w:val="0"/>
          <w:i w:val="0"/>
          <w:sz w:val="22"/>
        </w:rPr>
        <w:t>Reviewer 3's fourth comment, on generalizability, has been incorporated as a new subsection opening the Discussion. Because the four conditions are stated abstractly, the analysis travels: to the congregate settings that remain after incomplete deinstitutionalization, to community treatment orders, and to child protection, where the mandated access is relational or informational rather than physical. The same conditions specify where the mechanism should weaken. We note that this addition resolves rather than aggravates the tension between the two reviews: the medico-social regime is where the mechanism is specified, and the four conditions are what travel.</w:t>
      </w:r>
    </w:p>
    <w:p>
      <w:pPr>
        <w:spacing w:after="120"/>
        <w:jc w:val="both"/>
      </w:pPr>
      <w:r>
        <w:rPr>
          <w:rFonts w:ascii="Times New Roman" w:hAnsi="Times New Roman"/>
          <w:b w:val="0"/>
          <w:i w:val="0"/>
          <w:sz w:val="22"/>
        </w:rPr>
        <w:t>Structurally: canonical exposition has been condensed throughout (Background 1,094 → 998 words; the epistemic section 1,374 → 1,237; the expository paragraphs in the section on structural exposure cut by roughly a third each), and the space reinvested in the article's own analysis (the three-mechanism account of forced intimacy, the occupational analysis, and the scope section, all new or substantially expanded). Repetition flagged by Reviewer 1 has been removed, uncited generalizations have been given sources or cut, the decolonial gesture and its two references have been deleted, the occupational vocabulary has been specified, and the conclusion has been rewritten so that it introduces no new material. Net change in body length: 9,177 → 9,667 words.</w:t>
      </w:r>
    </w:p>
    <w:p>
      <w:pPr>
        <w:spacing w:after="120"/>
        <w:jc w:val="both"/>
      </w:pPr>
      <w:r>
        <w:rPr>
          <w:rFonts w:ascii="Times New Roman" w:hAnsi="Times New Roman"/>
          <w:b w:val="0"/>
          <w:i w:val="0"/>
          <w:sz w:val="22"/>
        </w:rPr>
        <w:t>Page references below are to the clean revised manuscript; section titles are given where they may be more robust than pagination.</w:t>
      </w:r>
    </w:p>
    <w:p>
      <w:r>
        <w:br w:type="page"/>
      </w:r>
    </w:p>
    <w:p>
      <w:pPr>
        <w:spacing w:after="160"/>
      </w:pPr>
      <w:r>
        <w:rPr>
          <w:rFonts w:ascii="Times New Roman" w:hAnsi="Times New Roman"/>
          <w:b/>
          <w:i w:val="0"/>
          <w:sz w:val="24"/>
        </w:rPr>
        <w:t>Reviewer #1</w:t>
      </w:r>
    </w:p>
    <w:tbl>
      <w:tblPr>
        <w:tblStyle w:val="TableGrid"/>
        <w:tblW w:type="auto" w:w="0"/>
        <w:jc w:val="center"/>
        <w:tblLook w:firstColumn="1" w:firstRow="1" w:lastColumn="0" w:lastRow="0" w:noHBand="0" w:noVBand="1" w:val="04A0"/>
      </w:tblPr>
      <w:tblGrid>
        <w:gridCol w:w="3408"/>
        <w:gridCol w:w="3408"/>
        <w:gridCol w:w="3408"/>
      </w:tblGrid>
      <w:tr>
        <w:tc>
          <w:tcPr>
            <w:tcW w:type="dxa" w:w="720"/>
          </w:tcPr>
          <w:p>
            <w:pPr>
              <w:spacing w:after="80"/>
            </w:pPr>
            <w:r/>
            <w:r>
              <w:rPr>
                <w:rFonts w:ascii="Times New Roman" w:hAnsi="Times New Roman"/>
                <w:b/>
                <w:sz w:val="20"/>
              </w:rPr>
              <w:t>#</w:t>
            </w:r>
          </w:p>
        </w:tc>
        <w:tc>
          <w:tcPr>
            <w:tcW w:type="dxa" w:w="4032"/>
          </w:tcPr>
          <w:p>
            <w:pPr>
              <w:spacing w:after="80"/>
            </w:pPr>
            <w:r/>
            <w:r>
              <w:rPr>
                <w:rFonts w:ascii="Times New Roman" w:hAnsi="Times New Roman"/>
                <w:b/>
                <w:sz w:val="20"/>
              </w:rPr>
              <w:t>Reviewer #1 — comments/suggestions (verbatim)</w:t>
            </w:r>
          </w:p>
        </w:tc>
        <w:tc>
          <w:tcPr>
            <w:tcW w:type="dxa" w:w="5328"/>
          </w:tcPr>
          <w:p>
            <w:pPr>
              <w:spacing w:after="80"/>
            </w:pPr>
            <w:r/>
            <w:r>
              <w:rPr>
                <w:rFonts w:ascii="Times New Roman" w:hAnsi="Times New Roman"/>
                <w:b/>
                <w:sz w:val="20"/>
              </w:rPr>
              <w:t>Revisions made in the manuscript, with page numbers</w:t>
            </w:r>
          </w:p>
        </w:tc>
      </w:tr>
      <w:tr>
        <w:tc>
          <w:tcPr>
            <w:tcW w:type="dxa" w:w="720"/>
          </w:tcPr>
          <w:p>
            <w:pPr>
              <w:spacing w:after="80"/>
            </w:pPr>
            <w:r/>
            <w:r>
              <w:rPr>
                <w:rFonts w:ascii="Times New Roman" w:hAnsi="Times New Roman"/>
                <w:b w:val="0"/>
                <w:sz w:val="20"/>
              </w:rPr>
              <w:t>General</w:t>
            </w:r>
          </w:p>
        </w:tc>
        <w:tc>
          <w:tcPr>
            <w:tcW w:type="dxa" w:w="4032"/>
          </w:tcPr>
          <w:p>
            <w:pPr>
              <w:spacing w:after="80"/>
            </w:pPr>
            <w:r/>
            <w:r>
              <w:rPr>
                <w:rFonts w:ascii="Times New Roman" w:hAnsi="Times New Roman"/>
                <w:b w:val="0"/>
                <w:sz w:val="20"/>
              </w:rPr>
              <w:t>This is still an interesting and worthwhile paper, but it needs further work to clarify central claims and contributions. My read is that you are trying to do two main things: (1) synthesize literature that is useful to you in your home context, and (2) get it published in an Anglo feminist social work journal. Both reasonable things to do, but in the paper as written, they are confusing what the central problem/gap and contribution of the work is, flipping from regional-national welfare-institutional contexts to feminist social work as a placeless entity that needs to change without the necessary connective work. There is a lot of good, interesting material in this paper, but it needs to be condensed and focused around a problem/gap and a clear contribution. I am not convinced that “feminist social work” is the problem that needs to change, based on what you cover. It feels like an add-on specific to the intended journal rather than something central to the work. What other argument might you develop and organize a revised draft around?</w:t>
            </w:r>
          </w:p>
        </w:tc>
        <w:tc>
          <w:tcPr>
            <w:tcW w:type="dxa" w:w="5328"/>
          </w:tcPr>
          <w:p>
            <w:pPr>
              <w:spacing w:after="80"/>
            </w:pPr>
            <w:r/>
            <w:r>
              <w:rPr>
                <w:rFonts w:ascii="Times New Roman" w:hAnsi="Times New Roman"/>
                <w:b w:val="0"/>
                <w:sz w:val="20"/>
              </w:rPr>
              <w:t>We accept this diagnosis and have reorganized the article around a single object. The problem the article now addresses is not feminist social work but a configuration of mandated care, specified in the Belgian and French medico-social regime: intimate access is institutionally mandated, performed under a vocabulary of care, interpreted by professionals rather than by the person, and complained of to the institution that arranges it. The contribution is a mechanism claim about that configuration — that forced intimacy is the structural medium binding the normative and the epistemic systems, so that exposure and unsayability are produced together, and epistemic injustice therefore operates before disclosure and not only after it. Feminist social work is no longer positioned as the thing that needs to change. It is positioned as the profession that occupies the point of interpretation inside this configuration, and therefore as the field for which the analysis has consequences. Concretely: a new pair of paragraphs states the argument and its two consequences (pp. 5–6); the section formerly titled “Feminist Social Work as Site of Reproduction and Resistance” is now “Inside the Configuration: Feminist Social Work between Absorption and Refusal” and opens by stating explicitly that the problem predates any profession and would persist without social work (pp. 25–26); and a new subsection in the Discussion sets out the four conditions that generate the mechanism and shows where it does and does not travel (pp. 32–34).</w:t>
            </w:r>
          </w:p>
        </w:tc>
      </w:tr>
      <w:tr>
        <w:tc>
          <w:tcPr>
            <w:tcW w:type="dxa" w:w="720"/>
          </w:tcPr>
          <w:p>
            <w:pPr>
              <w:spacing w:after="80"/>
            </w:pPr>
            <w:r/>
            <w:r>
              <w:rPr>
                <w:rFonts w:ascii="Times New Roman" w:hAnsi="Times New Roman"/>
                <w:b w:val="0"/>
                <w:sz w:val="20"/>
              </w:rPr>
              <w:t>General (AI flag)</w:t>
            </w:r>
          </w:p>
        </w:tc>
        <w:tc>
          <w:tcPr>
            <w:tcW w:type="dxa" w:w="4032"/>
          </w:tcPr>
          <w:p>
            <w:pPr>
              <w:spacing w:after="80"/>
            </w:pPr>
            <w:r/>
            <w:r>
              <w:rPr>
                <w:rFonts w:ascii="Times New Roman" w:hAnsi="Times New Roman"/>
                <w:b w:val="0"/>
                <w:sz w:val="20"/>
              </w:rPr>
              <w:t>One flag, and I say this as someone who uses Claude to support my writing, AI can take your general claims and the specific language and framing you give it and rework them into a funny kind of elaboration and repetition that doesn’t add anything new or useful to a draft. Some of the current draft reads like this to me. […] AI or not, I flag some structural features that need to be addressed below.</w:t>
            </w:r>
          </w:p>
        </w:tc>
        <w:tc>
          <w:tcPr>
            <w:tcW w:type="dxa" w:w="5328"/>
          </w:tcPr>
          <w:p>
            <w:pPr>
              <w:spacing w:after="80"/>
            </w:pPr>
            <w:r/>
            <w:r>
              <w:rPr>
                <w:rFonts w:ascii="Times New Roman" w:hAnsi="Times New Roman"/>
                <w:b w:val="0"/>
                <w:sz w:val="20"/>
              </w:rPr>
              <w:t>We have treated the structural features flagged as the substance of this comment and addressed them directly. Three specific operations were carried out on the whole manuscript. First, restatement was removed: the concession that structural analysis of violence is not itself novel appeared in five places in R1 and now appears twice (pp. 4 and 13–14), the forced-intimacy claim is stated once as the article's spine rather than reformulated at each section boundary, and the abstract was rewritten so that it no longer duplicates the wording of the Introduction and of the Mingus paragraph. Second, unsupported generalization was eliminated: every paragraph flagged below as “general claims not supported by citations” has been rewritten with sources, most importantly the vulnerability claim (comment 9). Third, listing prose was converted to argument: the three-mechanism passage on forced intimacy, which read as an unsourced enumeration, is now four paragraphs, each with an empirical anchor in the published literature (pp. 17–19). We are glad to make any further disclosure the journal requires.</w:t>
            </w:r>
          </w:p>
        </w:tc>
      </w:tr>
      <w:tr>
        <w:tc>
          <w:tcPr>
            <w:tcW w:type="dxa" w:w="720"/>
          </w:tcPr>
          <w:p>
            <w:pPr>
              <w:spacing w:after="80"/>
            </w:pPr>
            <w:r/>
            <w:r>
              <w:rPr>
                <w:rFonts w:ascii="Times New Roman" w:hAnsi="Times New Roman"/>
                <w:b w:val="0"/>
                <w:sz w:val="20"/>
              </w:rPr>
              <w:t>1</w:t>
            </w:r>
          </w:p>
        </w:tc>
        <w:tc>
          <w:tcPr>
            <w:tcW w:type="dxa" w:w="4032"/>
          </w:tcPr>
          <w:p>
            <w:pPr>
              <w:spacing w:after="80"/>
            </w:pPr>
            <w:r/>
            <w:r>
              <w:rPr>
                <w:rFonts w:ascii="Times New Roman" w:hAnsi="Times New Roman"/>
                <w:b w:val="0"/>
                <w:sz w:val="20"/>
              </w:rPr>
              <w:t>The contribution claim on p.4: “Our contribution is not to claim…” is nice and clear, but the paper that follows doesn’t yet land the argument. I believe you that this integrative work can be useful for your context. I’m not clear on how this connects back to “feminist social work” more generally as the thing you claim needs to change. Is it perhaps the “continental medico-social regime” (p. 6) that you are trying to intervene in?</w:t>
            </w:r>
          </w:p>
        </w:tc>
        <w:tc>
          <w:tcPr>
            <w:tcW w:type="dxa" w:w="5328"/>
          </w:tcPr>
          <w:p>
            <w:pPr>
              <w:spacing w:after="80"/>
            </w:pPr>
            <w:r/>
            <w:r>
              <w:rPr>
                <w:rFonts w:ascii="Times New Roman" w:hAnsi="Times New Roman"/>
                <w:b w:val="0"/>
                <w:sz w:val="20"/>
              </w:rPr>
              <w:t>Yes — and we have said so. The paragraph at p. 4 now ends: “That a structural account is needed is therefore not our claim, and would not be news to critical or feminist social work. Our claim concerns the mechanism: how, specifically, the arrangements through which care is delivered produce both the exposure and its unsayability.” The object of intervention is the medico-social regime and, more precisely, the configuration of mandated care it instantiates. The place of feminist social work in the argument is now stated in one sentence and held to throughout: it occupies the point at which a disclosure is qualified, and that is a position of epistemic power inside the configuration, not a separate problem.</w:t>
            </w:r>
          </w:p>
        </w:tc>
      </w:tr>
      <w:tr>
        <w:tc>
          <w:tcPr>
            <w:tcW w:type="dxa" w:w="720"/>
          </w:tcPr>
          <w:p>
            <w:pPr>
              <w:spacing w:after="80"/>
            </w:pPr>
            <w:r/>
            <w:r>
              <w:rPr>
                <w:rFonts w:ascii="Times New Roman" w:hAnsi="Times New Roman"/>
                <w:b w:val="0"/>
                <w:sz w:val="20"/>
              </w:rPr>
              <w:t>2</w:t>
            </w:r>
          </w:p>
        </w:tc>
        <w:tc>
          <w:tcPr>
            <w:tcW w:type="dxa" w:w="4032"/>
          </w:tcPr>
          <w:p>
            <w:pPr>
              <w:spacing w:after="80"/>
            </w:pPr>
            <w:r/>
            <w:r>
              <w:rPr>
                <w:rFonts w:ascii="Times New Roman" w:hAnsi="Times New Roman"/>
                <w:b w:val="0"/>
                <w:sz w:val="20"/>
              </w:rPr>
              <w:t>The Belgian and French contexts on p.4 and 5 are nice and clear, and helpful to this North American reader.</w:t>
            </w:r>
          </w:p>
        </w:tc>
        <w:tc>
          <w:tcPr>
            <w:tcW w:type="dxa" w:w="5328"/>
          </w:tcPr>
          <w:p>
            <w:pPr>
              <w:spacing w:after="80"/>
            </w:pPr>
            <w:r/>
            <w:r>
              <w:rPr>
                <w:rFonts w:ascii="Times New Roman" w:hAnsi="Times New Roman"/>
                <w:b w:val="0"/>
                <w:sz w:val="20"/>
              </w:rPr>
              <w:t>Thank you. These passages are retained and now carry more of the argument's weight: the institutional description is what licenses the mechanism claim rather than sitting alongside it (pp. 4–5, 12–13, 24, 35–36).</w:t>
            </w:r>
          </w:p>
        </w:tc>
      </w:tr>
      <w:tr>
        <w:tc>
          <w:tcPr>
            <w:tcW w:type="dxa" w:w="720"/>
          </w:tcPr>
          <w:p>
            <w:pPr>
              <w:spacing w:after="80"/>
            </w:pPr>
            <w:r/>
            <w:r>
              <w:rPr>
                <w:rFonts w:ascii="Times New Roman" w:hAnsi="Times New Roman"/>
                <w:b w:val="0"/>
                <w:sz w:val="20"/>
              </w:rPr>
              <w:t>3</w:t>
            </w:r>
          </w:p>
        </w:tc>
        <w:tc>
          <w:tcPr>
            <w:tcW w:type="dxa" w:w="4032"/>
          </w:tcPr>
          <w:p>
            <w:pPr>
              <w:spacing w:after="80"/>
            </w:pPr>
            <w:r/>
            <w:r>
              <w:rPr>
                <w:rFonts w:ascii="Times New Roman" w:hAnsi="Times New Roman"/>
                <w:b w:val="0"/>
                <w:sz w:val="20"/>
              </w:rPr>
              <w:t>P. 5 – the claim that violence is systemic rather than an expression of individual vulnerability or fragility is a fairly common claim in my social work context. You will need to do more work to position the contribution made by this claim.</w:t>
            </w:r>
          </w:p>
        </w:tc>
        <w:tc>
          <w:tcPr>
            <w:tcW w:type="dxa" w:w="5328"/>
          </w:tcPr>
          <w:p>
            <w:pPr>
              <w:spacing w:after="80"/>
            </w:pPr>
            <w:r/>
            <w:r>
              <w:rPr>
                <w:rFonts w:ascii="Times New Roman" w:hAnsi="Times New Roman"/>
                <w:b w:val="0"/>
                <w:sz w:val="20"/>
              </w:rPr>
              <w:t>Agreed, and we now concede the point in the text rather than resting on it. The Introduction states that the need for a structural account “would not be news to critical or feminist social work” (p. 4), and the section on structural exposure closes by saying that the shift from vulnerability to exposure “is not itself novel, and we do not present it as such,” before identifying what is new: “not that exposure is structural, but that in this regime the structure is a mandated intimacy whose routinization produces the exposure and dismantles the resources for naming it in the same movement” (p. 20).</w:t>
            </w:r>
          </w:p>
        </w:tc>
      </w:tr>
      <w:tr>
        <w:tc>
          <w:tcPr>
            <w:tcW w:type="dxa" w:w="720"/>
          </w:tcPr>
          <w:p>
            <w:pPr>
              <w:spacing w:after="80"/>
            </w:pPr>
            <w:r/>
            <w:r>
              <w:rPr>
                <w:rFonts w:ascii="Times New Roman" w:hAnsi="Times New Roman"/>
                <w:b w:val="0"/>
                <w:sz w:val="20"/>
              </w:rPr>
              <w:t>4</w:t>
            </w:r>
          </w:p>
        </w:tc>
        <w:tc>
          <w:tcPr>
            <w:tcW w:type="dxa" w:w="4032"/>
          </w:tcPr>
          <w:p>
            <w:pPr>
              <w:spacing w:after="80"/>
            </w:pPr>
            <w:r/>
            <w:r>
              <w:rPr>
                <w:rFonts w:ascii="Times New Roman" w:hAnsi="Times New Roman"/>
                <w:b w:val="0"/>
                <w:sz w:val="20"/>
              </w:rPr>
              <w:t>P. 6 – very general/somewhat repetitive claims that are not supported by citations and do not contribute to a clear through line of argument for the paper</w:t>
            </w:r>
          </w:p>
        </w:tc>
        <w:tc>
          <w:tcPr>
            <w:tcW w:type="dxa" w:w="5328"/>
          </w:tcPr>
          <w:p>
            <w:pPr>
              <w:spacing w:after="80"/>
            </w:pPr>
            <w:r/>
            <w:r>
              <w:rPr>
                <w:rFonts w:ascii="Times New Roman" w:hAnsi="Times New Roman"/>
                <w:b w:val="0"/>
                <w:sz w:val="20"/>
              </w:rPr>
              <w:t>This material has been rewritten. The paragraph presenting the three systems is now compressed and fully cited (pp. 5–6), and the paragraph that followed it — the most repetitive in R1 — has been replaced by a statement of the article's claim followed by a short paragraph, “Two consequences organize the article,” which sets up the analytical consequence and the question of scope that the Discussion returns to (p. 6). Nothing in these pages now restates a claim made earlier.</w:t>
            </w:r>
          </w:p>
        </w:tc>
      </w:tr>
      <w:tr>
        <w:tc>
          <w:tcPr>
            <w:tcW w:type="dxa" w:w="720"/>
          </w:tcPr>
          <w:p>
            <w:pPr>
              <w:spacing w:after="80"/>
            </w:pPr>
            <w:r/>
            <w:r>
              <w:rPr>
                <w:rFonts w:ascii="Times New Roman" w:hAnsi="Times New Roman"/>
                <w:b w:val="0"/>
                <w:sz w:val="20"/>
              </w:rPr>
              <w:t>5</w:t>
            </w:r>
          </w:p>
        </w:tc>
        <w:tc>
          <w:tcPr>
            <w:tcW w:type="dxa" w:w="4032"/>
          </w:tcPr>
          <w:p>
            <w:pPr>
              <w:spacing w:after="80"/>
            </w:pPr>
            <w:r/>
            <w:r>
              <w:rPr>
                <w:rFonts w:ascii="Times New Roman" w:hAnsi="Times New Roman"/>
                <w:b w:val="0"/>
                <w:sz w:val="20"/>
              </w:rPr>
              <w:t>P. 7 – ends on a claim about expressing “what a crip feminist social work praxis might concretely involve” Is a different claim than the problem identified on page 4</w:t>
            </w:r>
          </w:p>
        </w:tc>
        <w:tc>
          <w:tcPr>
            <w:tcW w:type="dxa" w:w="5328"/>
          </w:tcPr>
          <w:p>
            <w:pPr>
              <w:spacing w:after="80"/>
            </w:pPr>
            <w:r/>
            <w:r>
              <w:rPr>
                <w:rFonts w:ascii="Times New Roman" w:hAnsi="Times New Roman"/>
                <w:b w:val="0"/>
                <w:sz w:val="20"/>
              </w:rPr>
              <w:t>The roadmap paragraph has been rewritten so that it describes the argument actually made (pp. 6–7). The phrase in question is gone; the paragraph now announces the three systems, the professional register “where the analysis bears most directly on feminist social work,” and a Discussion that “establishes the scope of the argument beyond the medico-social regime.”</w:t>
            </w:r>
          </w:p>
        </w:tc>
      </w:tr>
      <w:tr>
        <w:tc>
          <w:tcPr>
            <w:tcW w:type="dxa" w:w="720"/>
          </w:tcPr>
          <w:p>
            <w:pPr>
              <w:spacing w:after="80"/>
            </w:pPr>
            <w:r/>
            <w:r>
              <w:rPr>
                <w:rFonts w:ascii="Times New Roman" w:hAnsi="Times New Roman"/>
                <w:b w:val="0"/>
                <w:sz w:val="20"/>
              </w:rPr>
              <w:t>6</w:t>
            </w:r>
          </w:p>
        </w:tc>
        <w:tc>
          <w:tcPr>
            <w:tcW w:type="dxa" w:w="4032"/>
          </w:tcPr>
          <w:p>
            <w:pPr>
              <w:spacing w:after="80"/>
            </w:pPr>
            <w:r/>
            <w:r>
              <w:rPr>
                <w:rFonts w:ascii="Times New Roman" w:hAnsi="Times New Roman"/>
                <w:b w:val="0"/>
                <w:sz w:val="20"/>
              </w:rPr>
              <w:t>P. 8 – the new text about integrating field work and theory is useful but not yet sufficient. I believe you that you are working through everything you say you are, and that the literature and thinking is very meaningful to you. But it is not yet clear to me how your learning converts to a clear contribution to the literature.</w:t>
            </w:r>
          </w:p>
        </w:tc>
        <w:tc>
          <w:tcPr>
            <w:tcW w:type="dxa" w:w="5328"/>
          </w:tcPr>
          <w:p>
            <w:pPr>
              <w:spacing w:after="80"/>
            </w:pPr>
            <w:r/>
            <w:r>
              <w:rPr>
                <w:rFonts w:ascii="Times New Roman" w:hAnsi="Times New Roman"/>
                <w:b w:val="0"/>
                <w:sz w:val="20"/>
              </w:rPr>
              <w:t>We have made the conversion explicit by naming what the fieldwork contributed and what it did not (pp. 7–8). Three things in the argument are identified as field-derived rather than literature-derived: the salience of forced intimacy itself (“what recurred was not a catalogue of risk factors but the sheer ordinariness of mandated bodily access”); the observation that disclosures were metabolized rather than refused, which is what directed us to institutional betrayal rather than to individual disbelief; and the sequencing, since interpretive foreclosure appeared to precede disclosure. The paragraph then states the limit plainly: “The answers we give are conceptual, and every claim advanced here is warranted by published scholarship and publicly available institutional sources, which we cite as such; readers are not asked to take unpublished data on trust.”</w:t>
            </w:r>
          </w:p>
        </w:tc>
      </w:tr>
      <w:tr>
        <w:tc>
          <w:tcPr>
            <w:tcW w:type="dxa" w:w="720"/>
          </w:tcPr>
          <w:p>
            <w:pPr>
              <w:spacing w:after="80"/>
            </w:pPr>
            <w:r/>
            <w:r>
              <w:rPr>
                <w:rFonts w:ascii="Times New Roman" w:hAnsi="Times New Roman"/>
                <w:b w:val="0"/>
                <w:sz w:val="20"/>
              </w:rPr>
              <w:t>7</w:t>
            </w:r>
          </w:p>
        </w:tc>
        <w:tc>
          <w:tcPr>
            <w:tcW w:type="dxa" w:w="4032"/>
          </w:tcPr>
          <w:p>
            <w:pPr>
              <w:spacing w:after="80"/>
            </w:pPr>
            <w:r/>
            <w:r>
              <w:rPr>
                <w:rFonts w:ascii="Times New Roman" w:hAnsi="Times New Roman"/>
                <w:b w:val="0"/>
                <w:sz w:val="20"/>
              </w:rPr>
              <w:t>The “analytic strategy follows…” claim at the bottom of p. 8 and top of p. 9 is getting closer to claim that can hold the paper, but still needs more work. There is slippage in the core claim of the paper, here linking literature with your regional context, but dropping feminist social work from the claim.</w:t>
            </w:r>
          </w:p>
        </w:tc>
        <w:tc>
          <w:tcPr>
            <w:tcW w:type="dxa" w:w="5328"/>
          </w:tcPr>
          <w:p>
            <w:pPr>
              <w:spacing w:after="80"/>
            </w:pPr>
            <w:r/>
            <w:r>
              <w:rPr>
                <w:rFonts w:ascii="Times New Roman" w:hAnsi="Times New Roman"/>
                <w:b w:val="0"/>
                <w:sz w:val="20"/>
              </w:rPr>
              <w:t>Rewritten (pp. 8–9). The paragraph now states one claim, and the same one stated everywhere else in the article: “an account of how the three lock together in a specific institutional regime, with forced intimacy as the hinge, and of what that account makes visible that a structural framing alone does not: that the conditions of exposure and the conditions of its unsayability are the same conditions.” Feminist social work is not dropped from the claim, because it is not part of the claim; its place in the argument is as the profession positioned at the point of interpretation, which the article states separately and consistently.</w:t>
            </w:r>
          </w:p>
        </w:tc>
      </w:tr>
      <w:tr>
        <w:tc>
          <w:tcPr>
            <w:tcW w:type="dxa" w:w="720"/>
          </w:tcPr>
          <w:p>
            <w:pPr>
              <w:spacing w:after="80"/>
            </w:pPr>
            <w:r/>
            <w:r>
              <w:rPr>
                <w:rFonts w:ascii="Times New Roman" w:hAnsi="Times New Roman"/>
                <w:b w:val="0"/>
                <w:sz w:val="20"/>
              </w:rPr>
              <w:t>8</w:t>
            </w:r>
          </w:p>
        </w:tc>
        <w:tc>
          <w:tcPr>
            <w:tcW w:type="dxa" w:w="4032"/>
          </w:tcPr>
          <w:p>
            <w:pPr>
              <w:spacing w:after="80"/>
            </w:pPr>
            <w:r/>
            <w:r>
              <w:rPr>
                <w:rFonts w:ascii="Times New Roman" w:hAnsi="Times New Roman"/>
                <w:b w:val="0"/>
                <w:sz w:val="20"/>
              </w:rPr>
              <w:t>P. 14 – “what remains incomplete is the articulation of these resources into an integrated structural account of…. In dialogue with the institutional and political specificities of continental…” this is an interesting and novel claim (in terms of what is in the Anglo literature), but the paper as currently drafted hold the two separately – literature review vs. regional institutional context. Better integrating them is one option for revising the paper to show a clearer contribution</w:t>
            </w:r>
          </w:p>
        </w:tc>
        <w:tc>
          <w:tcPr>
            <w:tcW w:type="dxa" w:w="5328"/>
          </w:tcPr>
          <w:p>
            <w:pPr>
              <w:spacing w:after="80"/>
            </w:pPr>
            <w:r/>
            <w:r>
              <w:rPr>
                <w:rFonts w:ascii="Times New Roman" w:hAnsi="Times New Roman"/>
                <w:b w:val="0"/>
                <w:sz w:val="20"/>
              </w:rPr>
              <w:t>We have taken this option. The “What this article adds” paragraph now names two distinct incompletions — an analytical one (no tradition has isolated the mechanism by which one arrangement produces exposure and unsayability together) and a geographical one — rather than a single fused claim (pp. 13–14). More importantly, the integration is now carried out rather than announced: the mechanism is stated in institutional terms at each step (pp. 17–19), the francophone material on validisme and capacitisme is developed as analysis rather than as context (p. 13), and the professional section maps the occupational division of labour of a Belgian residential service onto the three systems (pp. 27–28).</w:t>
            </w:r>
          </w:p>
        </w:tc>
      </w:tr>
      <w:tr>
        <w:tc>
          <w:tcPr>
            <w:tcW w:type="dxa" w:w="720"/>
          </w:tcPr>
          <w:p>
            <w:pPr>
              <w:spacing w:after="80"/>
            </w:pPr>
            <w:r/>
            <w:r>
              <w:rPr>
                <w:rFonts w:ascii="Times New Roman" w:hAnsi="Times New Roman"/>
                <w:b w:val="0"/>
                <w:sz w:val="20"/>
              </w:rPr>
              <w:t>9</w:t>
            </w:r>
          </w:p>
        </w:tc>
        <w:tc>
          <w:tcPr>
            <w:tcW w:type="dxa" w:w="4032"/>
          </w:tcPr>
          <w:p>
            <w:pPr>
              <w:spacing w:after="80"/>
            </w:pPr>
            <w:r/>
            <w:r>
              <w:rPr>
                <w:rFonts w:ascii="Times New Roman" w:hAnsi="Times New Roman"/>
                <w:b w:val="0"/>
                <w:sz w:val="20"/>
              </w:rPr>
              <w:t>P. 14 – bottom – claim that “the dominant framing… concept of vulnerability as inherent” this needs a citation. You are asking this claim to do a lot of heavy lifting for your argument but don’t actually ground it in anything.</w:t>
            </w:r>
          </w:p>
        </w:tc>
        <w:tc>
          <w:tcPr>
            <w:tcW w:type="dxa" w:w="5328"/>
          </w:tcPr>
          <w:p>
            <w:pPr>
              <w:spacing w:after="80"/>
            </w:pPr>
            <w:r/>
            <w:r>
              <w:rPr>
                <w:rFonts w:ascii="Times New Roman" w:hAnsi="Times New Roman"/>
                <w:b w:val="0"/>
                <w:sz w:val="20"/>
              </w:rPr>
              <w:t>Grounded, in both places where the claim appears. The claim now reads: “The framing is not a straw figure. It structures the meta-analytic literature, where impairment category is the variable through which elevated prevalence is explained (Hughes et al., 2012; Mailhot Amborski et al., 2022); it structures francophone public policy (Courteau et al., 2019); it was the operative assumption of the services studied by Hollomotz (2009, 2011) and by Thiara and colleagues (2012); and it persists in the safeguarding vocabularies through which continental medico-social institutions describe their own populations (Revillard, 2020)” (pp. 14–15). The parallel statement in the Introduction carries the same citations (p. 4).</w:t>
            </w:r>
          </w:p>
        </w:tc>
      </w:tr>
      <w:tr>
        <w:tc>
          <w:tcPr>
            <w:tcW w:type="dxa" w:w="720"/>
          </w:tcPr>
          <w:p>
            <w:pPr>
              <w:spacing w:after="80"/>
            </w:pPr>
            <w:r/>
            <w:r>
              <w:rPr>
                <w:rFonts w:ascii="Times New Roman" w:hAnsi="Times New Roman"/>
                <w:b w:val="0"/>
                <w:sz w:val="20"/>
              </w:rPr>
              <w:t>10</w:t>
            </w:r>
          </w:p>
        </w:tc>
        <w:tc>
          <w:tcPr>
            <w:tcW w:type="dxa" w:w="4032"/>
          </w:tcPr>
          <w:p>
            <w:pPr>
              <w:spacing w:after="80"/>
            </w:pPr>
            <w:r/>
            <w:r>
              <w:rPr>
                <w:rFonts w:ascii="Times New Roman" w:hAnsi="Times New Roman"/>
                <w:b w:val="0"/>
                <w:sz w:val="20"/>
              </w:rPr>
              <w:t>P. 14 onwards – these reads as a fairly high level overview of canonical scholarship, and I wonder if it could be significantly condensed to give you room to develop your own arguments and claims?</w:t>
            </w:r>
          </w:p>
        </w:tc>
        <w:tc>
          <w:tcPr>
            <w:tcW w:type="dxa" w:w="5328"/>
          </w:tcPr>
          <w:p>
            <w:pPr>
              <w:spacing w:after="80"/>
            </w:pPr>
            <w:r/>
            <w:r>
              <w:rPr>
                <w:rFonts w:ascii="Times New Roman" w:hAnsi="Times New Roman"/>
                <w:b w:val="0"/>
                <w:sz w:val="20"/>
              </w:rPr>
              <w:t>Condensed, and the room reinvested. The Background section is down from 1,094 to 998 words and the epistemic section from 1,374 to 1,237; within the section on structural exposure, the expository paragraphs on Hollomotz, Schalk and Erevelles, McRuer and Price, Garland-Thomson and Fineman were each cut by a third. The space has gone to the article's own analysis: the three-mechanism account of forced intimacy grew from a single paragraph to four (pp. 17–19), the occupational analysis is new (pp. 27–28), and the scope section is new (pp. 32–34). The net effect on length is small (body text 9,177 → 9,667 words) but the proportion of survey to argument has changed substantially.</w:t>
            </w:r>
          </w:p>
        </w:tc>
      </w:tr>
      <w:tr>
        <w:tc>
          <w:tcPr>
            <w:tcW w:type="dxa" w:w="720"/>
          </w:tcPr>
          <w:p>
            <w:pPr>
              <w:spacing w:after="80"/>
            </w:pPr>
            <w:r/>
            <w:r>
              <w:rPr>
                <w:rFonts w:ascii="Times New Roman" w:hAnsi="Times New Roman"/>
                <w:b w:val="0"/>
                <w:sz w:val="20"/>
              </w:rPr>
              <w:t>11</w:t>
            </w:r>
          </w:p>
        </w:tc>
        <w:tc>
          <w:tcPr>
            <w:tcW w:type="dxa" w:w="4032"/>
          </w:tcPr>
          <w:p>
            <w:pPr>
              <w:spacing w:after="80"/>
            </w:pPr>
            <w:r/>
            <w:r>
              <w:rPr>
                <w:rFonts w:ascii="Times New Roman" w:hAnsi="Times New Roman"/>
                <w:b w:val="0"/>
                <w:sz w:val="20"/>
              </w:rPr>
              <w:t>P. 17 – parts of the Mingus paragraph resonate as a repetition of earlier paragraphs. Parts of it might be duplicated in the abstract or elsewhere. I haven’t double checked if this is actually the case. Keep repetition in mind as you revise the draft.</w:t>
            </w:r>
          </w:p>
        </w:tc>
        <w:tc>
          <w:tcPr>
            <w:tcW w:type="dxa" w:w="5328"/>
          </w:tcPr>
          <w:p>
            <w:pPr>
              <w:spacing w:after="80"/>
            </w:pPr>
            <w:r/>
            <w:r>
              <w:rPr>
                <w:rFonts w:ascii="Times New Roman" w:hAnsi="Times New Roman"/>
                <w:b w:val="0"/>
                <w:sz w:val="20"/>
              </w:rPr>
              <w:t>You were right to suspect it. R1's Mingus paragraph restated, in sequence, the abstract's third sentence and two sentences from the Introduction. The abstract has been rewritten, the Introduction now states the claim once (p. 5), and the Mingus material has been split so that the first paragraph establishes the concept and the following ones do new work (pp. 17–19). We also cut the closing paragraph of that passage, which restated the section's own argument, and folded its one load-bearing sentence into the preceding paragraph.</w:t>
            </w:r>
          </w:p>
        </w:tc>
      </w:tr>
      <w:tr>
        <w:tc>
          <w:tcPr>
            <w:tcW w:type="dxa" w:w="720"/>
          </w:tcPr>
          <w:p>
            <w:pPr>
              <w:spacing w:after="80"/>
            </w:pPr>
            <w:r/>
            <w:r>
              <w:rPr>
                <w:rFonts w:ascii="Times New Roman" w:hAnsi="Times New Roman"/>
                <w:b w:val="0"/>
                <w:sz w:val="20"/>
              </w:rPr>
              <w:t>12</w:t>
            </w:r>
          </w:p>
        </w:tc>
        <w:tc>
          <w:tcPr>
            <w:tcW w:type="dxa" w:w="4032"/>
          </w:tcPr>
          <w:p>
            <w:pPr>
              <w:spacing w:after="80"/>
            </w:pPr>
            <w:r/>
            <w:r>
              <w:rPr>
                <w:rFonts w:ascii="Times New Roman" w:hAnsi="Times New Roman"/>
                <w:b w:val="0"/>
                <w:sz w:val="20"/>
              </w:rPr>
              <w:t>P. 18 – the line “if forced intimacy is not itself sexual violence…” this is interesting. Is there room to develop this in this paper? There may not be.</w:t>
            </w:r>
          </w:p>
        </w:tc>
        <w:tc>
          <w:tcPr>
            <w:tcW w:type="dxa" w:w="5328"/>
          </w:tcPr>
          <w:p>
            <w:pPr>
              <w:spacing w:after="80"/>
            </w:pPr>
            <w:r/>
            <w:r>
              <w:rPr>
                <w:rFonts w:ascii="Times New Roman" w:hAnsi="Times New Roman"/>
                <w:b w:val="0"/>
                <w:sz w:val="20"/>
              </w:rPr>
              <w:t>We have made room, and this is now the theoretical core of the article. The question is posed explicitly — “If forced intimacy is not itself sexual violence, by what mechanisms does it produce the conditions of violation?” — and answered across four paragraphs: desensitization of bodily boundary, interpretive blurring, and asymmetry of interpretive authority, followed by the statement that “forced intimacy is the structural medium in which the perceptual, lexical, and authority conditions for violation are assembled at once” (pp. 17–19). This is also the claim the abstract, the Introduction, the Discussion and the Conclusion now organize themselves around.</w:t>
            </w:r>
          </w:p>
        </w:tc>
      </w:tr>
      <w:tr>
        <w:tc>
          <w:tcPr>
            <w:tcW w:type="dxa" w:w="720"/>
          </w:tcPr>
          <w:p>
            <w:pPr>
              <w:spacing w:after="80"/>
            </w:pPr>
            <w:r/>
            <w:r>
              <w:rPr>
                <w:rFonts w:ascii="Times New Roman" w:hAnsi="Times New Roman"/>
                <w:b w:val="0"/>
                <w:sz w:val="20"/>
              </w:rPr>
              <w:t>13</w:t>
            </w:r>
          </w:p>
        </w:tc>
        <w:tc>
          <w:tcPr>
            <w:tcW w:type="dxa" w:w="4032"/>
          </w:tcPr>
          <w:p>
            <w:pPr>
              <w:spacing w:after="80"/>
            </w:pPr>
            <w:r/>
            <w:r>
              <w:rPr>
                <w:rFonts w:ascii="Times New Roman" w:hAnsi="Times New Roman"/>
                <w:b w:val="0"/>
                <w:sz w:val="20"/>
              </w:rPr>
              <w:t>P. 18 – use of “worker” and “him” is confusing in a paper targeting feminist social work – is there slippage in the worker you are imagining? Is this worker a social worker or a personal care attendant? Are these different professional designations in your context?</w:t>
            </w:r>
          </w:p>
        </w:tc>
        <w:tc>
          <w:tcPr>
            <w:tcW w:type="dxa" w:w="5328"/>
          </w:tcPr>
          <w:p>
            <w:pPr>
              <w:spacing w:after="80"/>
            </w:pPr>
            <w:r/>
            <w:r>
              <w:rPr>
                <w:rFonts w:ascii="Times New Roman" w:hAnsi="Times New Roman"/>
                <w:b w:val="0"/>
                <w:sz w:val="20"/>
              </w:rPr>
              <w:t>They are different designations, and the slippage was ours. A new paragraph in the scope section sets out the occupational vocabulary (pp. 9–10): the assistant de service social is a state-certified profession oriented to rights, entitlements and case management; intimate bodily care is performed by aides-soignant·es and auxiliaires de vie, and under a broader mandate by éducateur·rices spécialisé·es. We then state the rule we follow: “When we speak of forced intimacy we describe the work of these frontline occupations; when we speak of the assessment and closure of a disclosure we usually describe the work of a référent or case manager.” The composite has been rewritten accordingly, and the male gender of the care worker is now marked as analytically relevant rather than left as an unexplained default: “a man, in a workforce overwhelmingly composed of women, a disproportion that shapes how his conduct is read and how hers is” (pp. 26–27).</w:t>
            </w:r>
          </w:p>
        </w:tc>
      </w:tr>
      <w:tr>
        <w:tc>
          <w:tcPr>
            <w:tcW w:type="dxa" w:w="720"/>
          </w:tcPr>
          <w:p>
            <w:pPr>
              <w:spacing w:after="80"/>
            </w:pPr>
            <w:r/>
            <w:r>
              <w:rPr>
                <w:rFonts w:ascii="Times New Roman" w:hAnsi="Times New Roman"/>
                <w:b w:val="0"/>
                <w:sz w:val="20"/>
              </w:rPr>
              <w:t>14</w:t>
            </w:r>
          </w:p>
        </w:tc>
        <w:tc>
          <w:tcPr>
            <w:tcW w:type="dxa" w:w="4032"/>
          </w:tcPr>
          <w:p>
            <w:pPr>
              <w:spacing w:after="80"/>
            </w:pPr>
            <w:r/>
            <w:r>
              <w:rPr>
                <w:rFonts w:ascii="Times New Roman" w:hAnsi="Times New Roman"/>
                <w:b w:val="0"/>
                <w:sz w:val="20"/>
              </w:rPr>
              <w:t>P. 18 – this page reads as AI-style repetition/elaboration/listing and doesn’t include any references. I don’t follow the arguments made at the bottom of the paragraph.</w:t>
            </w:r>
          </w:p>
        </w:tc>
        <w:tc>
          <w:tcPr>
            <w:tcW w:type="dxa" w:w="5328"/>
          </w:tcPr>
          <w:p>
            <w:pPr>
              <w:spacing w:after="80"/>
            </w:pPr>
            <w:r/>
            <w:r>
              <w:rPr>
                <w:rFonts w:ascii="Times New Roman" w:hAnsi="Times New Roman"/>
                <w:b w:val="0"/>
                <w:sz w:val="20"/>
              </w:rPr>
              <w:t>Rewritten. Each of the three mechanisms now carries its own empirical anchor: desensitization of bodily boundary is grounded in Sobsey (1994) on institutionally instilled compliance and in Hollomotz (2011); interpretive blurring in Thiara et al. (2012) on disclosures metabolized as questions about care adequacy; asymmetry of interpretive authority in Benedet and Grant (2007, 2014) and Williams and Jobe (2024). The passage that closed the paragraph in R1, which we agree was not followable, has been cut and replaced by a single sentence stating what the three mechanisms jointly establish (pp. 17–19).</w:t>
            </w:r>
          </w:p>
        </w:tc>
      </w:tr>
      <w:tr>
        <w:tc>
          <w:tcPr>
            <w:tcW w:type="dxa" w:w="720"/>
          </w:tcPr>
          <w:p>
            <w:pPr>
              <w:spacing w:after="80"/>
            </w:pPr>
            <w:r/>
            <w:r>
              <w:rPr>
                <w:rFonts w:ascii="Times New Roman" w:hAnsi="Times New Roman"/>
                <w:b w:val="0"/>
                <w:sz w:val="20"/>
              </w:rPr>
              <w:t>15</w:t>
            </w:r>
          </w:p>
        </w:tc>
        <w:tc>
          <w:tcPr>
            <w:tcW w:type="dxa" w:w="4032"/>
          </w:tcPr>
          <w:p>
            <w:pPr>
              <w:spacing w:after="80"/>
            </w:pPr>
            <w:r/>
            <w:r>
              <w:rPr>
                <w:rFonts w:ascii="Times New Roman" w:hAnsi="Times New Roman"/>
                <w:b w:val="0"/>
                <w:sz w:val="20"/>
              </w:rPr>
              <w:t>P. 19 – bottom of the first paragraph – the argument is getting lost/focus is drifting</w:t>
            </w:r>
          </w:p>
        </w:tc>
        <w:tc>
          <w:tcPr>
            <w:tcW w:type="dxa" w:w="5328"/>
          </w:tcPr>
          <w:p>
            <w:pPr>
              <w:spacing w:after="80"/>
            </w:pPr>
            <w:r/>
            <w:r>
              <w:rPr>
                <w:rFonts w:ascii="Times New Roman" w:hAnsi="Times New Roman"/>
                <w:b w:val="0"/>
                <w:sz w:val="20"/>
              </w:rPr>
              <w:t>The paragraph on misfitting, Wendell and Fineman has been rewritten with an explicit function: it now presents two resources that sharpen the section's claim and ends by naming the risk that Arsenault-Gallant identifies in Fineman — that resilience frameworks return the person to the position of the deficient individual — as a risk the article's own reframing must be held against (pp. 19–20).</w:t>
            </w:r>
          </w:p>
        </w:tc>
      </w:tr>
      <w:tr>
        <w:tc>
          <w:tcPr>
            <w:tcW w:type="dxa" w:w="720"/>
          </w:tcPr>
          <w:p>
            <w:pPr>
              <w:spacing w:after="80"/>
            </w:pPr>
            <w:r/>
            <w:r>
              <w:rPr>
                <w:rFonts w:ascii="Times New Roman" w:hAnsi="Times New Roman"/>
                <w:b w:val="0"/>
                <w:sz w:val="20"/>
              </w:rPr>
              <w:t>16</w:t>
            </w:r>
          </w:p>
        </w:tc>
        <w:tc>
          <w:tcPr>
            <w:tcW w:type="dxa" w:w="4032"/>
          </w:tcPr>
          <w:p>
            <w:pPr>
              <w:spacing w:after="80"/>
            </w:pPr>
            <w:r/>
            <w:r>
              <w:rPr>
                <w:rFonts w:ascii="Times New Roman" w:hAnsi="Times New Roman"/>
                <w:b w:val="0"/>
                <w:sz w:val="20"/>
              </w:rPr>
              <w:t>Bottom of p. 19 – you introduce a new or slightly new argument about what you are trying to do with this paper “…produced, made visible, and reproduced through the very forms of professional intervention that feminist social work has developed…” so is feminist social work the problem? Which feminist social work? Or is it the regional-national history and context of institutionalization?</w:t>
            </w:r>
          </w:p>
        </w:tc>
        <w:tc>
          <w:tcPr>
            <w:tcW w:type="dxa" w:w="5328"/>
          </w:tcPr>
          <w:p>
            <w:pPr>
              <w:spacing w:after="80"/>
            </w:pPr>
            <w:r/>
            <w:r>
              <w:rPr>
                <w:rFonts w:ascii="Times New Roman" w:hAnsi="Times New Roman"/>
                <w:b w:val="0"/>
                <w:sz w:val="20"/>
              </w:rPr>
              <w:t>It is the regional-national configuration, and the sentence you quote has been removed. The section now closes on the mechanism rather than on an accusation (p. 20). Where the professional register is taken up, the article answers your question in its own words: “The problem is a configuration of mandated care that predates any profession and would persist if social work vanished from it tomorrow. But social work is not outside that configuration either” (pp. 25–26).</w:t>
            </w:r>
          </w:p>
        </w:tc>
      </w:tr>
      <w:tr>
        <w:tc>
          <w:tcPr>
            <w:tcW w:type="dxa" w:w="720"/>
          </w:tcPr>
          <w:p>
            <w:pPr>
              <w:spacing w:after="80"/>
            </w:pPr>
            <w:r/>
            <w:r>
              <w:rPr>
                <w:rFonts w:ascii="Times New Roman" w:hAnsi="Times New Roman"/>
                <w:b w:val="0"/>
                <w:sz w:val="20"/>
              </w:rPr>
              <w:t>17</w:t>
            </w:r>
          </w:p>
        </w:tc>
        <w:tc>
          <w:tcPr>
            <w:tcW w:type="dxa" w:w="4032"/>
          </w:tcPr>
          <w:p>
            <w:pPr>
              <w:spacing w:after="80"/>
            </w:pPr>
            <w:r/>
            <w:r>
              <w:rPr>
                <w:rFonts w:ascii="Times New Roman" w:hAnsi="Times New Roman"/>
                <w:b w:val="0"/>
                <w:sz w:val="20"/>
              </w:rPr>
              <w:t>P. 20 – end of first paragraph – locates the action in “epistemic and institutional mechanisms” is this feminist social work? Need to clarify where the problem is located.</w:t>
            </w:r>
          </w:p>
        </w:tc>
        <w:tc>
          <w:tcPr>
            <w:tcW w:type="dxa" w:w="5328"/>
          </w:tcPr>
          <w:p>
            <w:pPr>
              <w:spacing w:after="80"/>
            </w:pPr>
            <w:r/>
            <w:r>
              <w:rPr>
                <w:rFonts w:ascii="Times New Roman" w:hAnsi="Times New Roman"/>
                <w:b w:val="0"/>
                <w:sz w:val="20"/>
              </w:rPr>
              <w:t>The problem is located, and named, in four conditions of the configuration: mandated access, a helping vocabulary, professionally held interpretive authority, and complaint routed to the arranging institution (pp. 32–33). The paragraph you flag now states the relation between the two systems explicitly rather than leaving the agent unspecified: forced intimacy supplies the conditions under which the epistemic mechanisms have purchase, and they in turn make the arrangement hard to see as an arrangement (p. 25).</w:t>
            </w:r>
          </w:p>
        </w:tc>
      </w:tr>
      <w:tr>
        <w:tc>
          <w:tcPr>
            <w:tcW w:type="dxa" w:w="720"/>
          </w:tcPr>
          <w:p>
            <w:pPr>
              <w:spacing w:after="80"/>
            </w:pPr>
            <w:r/>
            <w:r>
              <w:rPr>
                <w:rFonts w:ascii="Times New Roman" w:hAnsi="Times New Roman"/>
                <w:b w:val="0"/>
                <w:sz w:val="20"/>
              </w:rPr>
              <w:t>18</w:t>
            </w:r>
          </w:p>
        </w:tc>
        <w:tc>
          <w:tcPr>
            <w:tcW w:type="dxa" w:w="4032"/>
          </w:tcPr>
          <w:p>
            <w:pPr>
              <w:spacing w:after="80"/>
            </w:pPr>
            <w:r/>
            <w:r>
              <w:rPr>
                <w:rFonts w:ascii="Times New Roman" w:hAnsi="Times New Roman"/>
                <w:b w:val="0"/>
                <w:sz w:val="20"/>
              </w:rPr>
              <w:t>P. 22 – last paragraph reads like repetition of earlier section. Again, I haven’t gone back and cross-referenced sections, so I may be wrong.</w:t>
            </w:r>
          </w:p>
        </w:tc>
        <w:tc>
          <w:tcPr>
            <w:tcW w:type="dxa" w:w="5328"/>
          </w:tcPr>
          <w:p>
            <w:pPr>
              <w:spacing w:after="80"/>
            </w:pPr>
            <w:r/>
            <w:r>
              <w:rPr>
                <w:rFonts w:ascii="Times New Roman" w:hAnsi="Times New Roman"/>
                <w:b w:val="0"/>
                <w:sz w:val="20"/>
              </w:rPr>
              <w:t>You were right again. The paragraph re-listed the five epistemic mechanisms already named individually in the preceding pages. It has been shortened and given transitional work to do: it now states how the epistemic section relates to the section before it, and what social workers' position within the system is, rather than summarizing (p. 25).</w:t>
            </w:r>
          </w:p>
        </w:tc>
      </w:tr>
      <w:tr>
        <w:tc>
          <w:tcPr>
            <w:tcW w:type="dxa" w:w="720"/>
          </w:tcPr>
          <w:p>
            <w:pPr>
              <w:spacing w:after="80"/>
            </w:pPr>
            <w:r/>
            <w:r>
              <w:rPr>
                <w:rFonts w:ascii="Times New Roman" w:hAnsi="Times New Roman"/>
                <w:b w:val="0"/>
                <w:sz w:val="20"/>
              </w:rPr>
              <w:t>19</w:t>
            </w:r>
          </w:p>
        </w:tc>
        <w:tc>
          <w:tcPr>
            <w:tcW w:type="dxa" w:w="4032"/>
          </w:tcPr>
          <w:p>
            <w:pPr>
              <w:spacing w:after="80"/>
            </w:pPr>
            <w:r/>
            <w:r>
              <w:rPr>
                <w:rFonts w:ascii="Times New Roman" w:hAnsi="Times New Roman"/>
                <w:b w:val="0"/>
                <w:sz w:val="20"/>
              </w:rPr>
              <w:t>P. 23 – conclusion of the middle paragraph – feminist social work as the problem again</w:t>
            </w:r>
          </w:p>
        </w:tc>
        <w:tc>
          <w:tcPr>
            <w:tcW w:type="dxa" w:w="5328"/>
          </w:tcPr>
          <w:p>
            <w:pPr>
              <w:spacing w:after="80"/>
            </w:pPr>
            <w:r/>
            <w:r>
              <w:rPr>
                <w:rFonts w:ascii="Times New Roman" w:hAnsi="Times New Roman"/>
                <w:b w:val="0"/>
                <w:sz w:val="20"/>
              </w:rPr>
              <w:t>Addressed with comment 16. The opening of that section has been fully rewritten to place feminist social work inside the configuration at the point of interpretation, and to state that the critique concerns what happens to feminist frameworks when they operate there, not the frameworks' intent (pp. 25–26).</w:t>
            </w:r>
          </w:p>
        </w:tc>
      </w:tr>
      <w:tr>
        <w:tc>
          <w:tcPr>
            <w:tcW w:type="dxa" w:w="720"/>
          </w:tcPr>
          <w:p>
            <w:pPr>
              <w:spacing w:after="80"/>
            </w:pPr>
            <w:r/>
            <w:r>
              <w:rPr>
                <w:rFonts w:ascii="Times New Roman" w:hAnsi="Times New Roman"/>
                <w:b w:val="0"/>
                <w:sz w:val="20"/>
              </w:rPr>
              <w:t>20</w:t>
            </w:r>
          </w:p>
        </w:tc>
        <w:tc>
          <w:tcPr>
            <w:tcW w:type="dxa" w:w="4032"/>
          </w:tcPr>
          <w:p>
            <w:pPr>
              <w:spacing w:after="80"/>
            </w:pPr>
            <w:r/>
            <w:r>
              <w:rPr>
                <w:rFonts w:ascii="Times New Roman" w:hAnsi="Times New Roman"/>
                <w:b w:val="0"/>
                <w:sz w:val="20"/>
              </w:rPr>
              <w:t>P. 24 – the new text about your research is really interesting and a clear contribution. Figuring out how to include interpretation from an under review article is a bit tricky. Keep an eye on this as you undertake further revisions. This other work may or may not be needed to justify the work of the current paper.</w:t>
            </w:r>
          </w:p>
        </w:tc>
        <w:tc>
          <w:tcPr>
            <w:tcW w:type="dxa" w:w="5328"/>
          </w:tcPr>
          <w:p>
            <w:pPr>
              <w:spacing w:after="80"/>
            </w:pPr>
            <w:r/>
            <w:r>
              <w:rPr>
                <w:rFonts w:ascii="Times New Roman" w:hAnsi="Times New Roman"/>
                <w:b w:val="0"/>
                <w:sz w:val="20"/>
              </w:rPr>
              <w:t>We have kept the material and reduced its load-bearing role, so that the article stands without it. The three mechanisms of institutional absorption are now presented as “documented in published scholarship and in publicly available inspection material, and each recurring in our own fieldwork” — with each mechanism separately cited to Courteau et al. (2019), Peña-Guzmán and Reynolds (2019), Williams and Jobe (2024) and Thiara et al. (2012) — rather than as findings reported from work under review (p. 24). The scope note in the conceptual section makes the same commitment explicit (pp. 7–8).</w:t>
            </w:r>
          </w:p>
        </w:tc>
      </w:tr>
      <w:tr>
        <w:tc>
          <w:tcPr>
            <w:tcW w:type="dxa" w:w="720"/>
          </w:tcPr>
          <w:p>
            <w:pPr>
              <w:spacing w:after="80"/>
            </w:pPr>
            <w:r/>
            <w:r>
              <w:rPr>
                <w:rFonts w:ascii="Times New Roman" w:hAnsi="Times New Roman"/>
                <w:b w:val="0"/>
                <w:sz w:val="20"/>
              </w:rPr>
              <w:t>21</w:t>
            </w:r>
          </w:p>
        </w:tc>
        <w:tc>
          <w:tcPr>
            <w:tcW w:type="dxa" w:w="4032"/>
          </w:tcPr>
          <w:p>
            <w:pPr>
              <w:spacing w:after="80"/>
            </w:pPr>
            <w:r/>
            <w:r>
              <w:rPr>
                <w:rFonts w:ascii="Times New Roman" w:hAnsi="Times New Roman"/>
                <w:b w:val="0"/>
                <w:sz w:val="20"/>
              </w:rPr>
              <w:t>P. 25 – transitioning from “normative and epistemic systems that produce sexual violence” to “feminist social work… as a practice internally traversed by those systems…” this argument needs further work</w:t>
            </w:r>
          </w:p>
        </w:tc>
        <w:tc>
          <w:tcPr>
            <w:tcW w:type="dxa" w:w="5328"/>
          </w:tcPr>
          <w:p>
            <w:pPr>
              <w:spacing w:after="80"/>
            </w:pPr>
            <w:r/>
            <w:r>
              <w:rPr>
                <w:rFonts w:ascii="Times New Roman" w:hAnsi="Times New Roman"/>
                <w:b w:val="0"/>
                <w:sz w:val="20"/>
              </w:rPr>
              <w:t>Rewritten (pp. 25–26). The transition no longer asserts that feminist social work is traversed by the systems; it establishes, institutionally, why the profession is implicated: in this regime the professional who qualifies a disclosure is very often a social worker or an éducateur·rice spécialisé·e, and in feminist and anti-oppressive services the frameworks used to make that judgment are frameworks feminist social work built. The question the section then asks is what happens to those frameworks inside a configuration organized by forced intimacy.</w:t>
            </w:r>
          </w:p>
        </w:tc>
      </w:tr>
      <w:tr>
        <w:tc>
          <w:tcPr>
            <w:tcW w:type="dxa" w:w="720"/>
          </w:tcPr>
          <w:p>
            <w:pPr>
              <w:spacing w:after="80"/>
            </w:pPr>
            <w:r/>
            <w:r>
              <w:rPr>
                <w:rFonts w:ascii="Times New Roman" w:hAnsi="Times New Roman"/>
                <w:b w:val="0"/>
                <w:sz w:val="20"/>
              </w:rPr>
              <w:t>22</w:t>
            </w:r>
          </w:p>
        </w:tc>
        <w:tc>
          <w:tcPr>
            <w:tcW w:type="dxa" w:w="4032"/>
          </w:tcPr>
          <w:p>
            <w:pPr>
              <w:spacing w:after="80"/>
            </w:pPr>
            <w:r/>
            <w:r>
              <w:rPr>
                <w:rFonts w:ascii="Times New Roman" w:hAnsi="Times New Roman"/>
                <w:b w:val="0"/>
                <w:sz w:val="20"/>
              </w:rPr>
              <w:t>P. 26 – the composite example maps an institutional arrangement of different occupational groups and it is not clear how this relates to social work as one occupation among many. It ends with a transition to feminist social work and how professional systems absorb critique to protect the work of institutions, and the next pages return to a review of the literature, much of it well established and the pages that follow are listing analytic resources and arguments without focusing or extending into a new contribution</w:t>
            </w:r>
          </w:p>
        </w:tc>
        <w:tc>
          <w:tcPr>
            <w:tcW w:type="dxa" w:w="5328"/>
          </w:tcPr>
          <w:p>
            <w:pPr>
              <w:spacing w:after="80"/>
            </w:pPr>
            <w:r/>
            <w:r>
              <w:rPr>
                <w:rFonts w:ascii="Times New Roman" w:hAnsi="Times New Roman"/>
                <w:b w:val="0"/>
                <w:sz w:val="20"/>
              </w:rPr>
              <w:t>Two changes. First, a new paragraph directly after the composite maps the four occupational positions and states where social work sits among them: “Social work's characteristic position is thus not the site of intimate contact but the site of its interpretation, which is why an analysis of epistemic power is the form this critique has to take. It is not that social workers commit the violence described here. It is that the point at which the configuration converts a disclosure into a non-event is, institutionally, a social work decision” (pp. 27–28). Second, the pages that follow have been condensed and tied back to the composite rather than left as a survey: the Reeve paragraph now ends by explaining how the composite référent's decision becomes possible without anyone intending harm (pp. 28–29), and the access intimacy paragraph ends by naming it as the interpretive move the référent did not make (pp. 31–32).</w:t>
            </w:r>
          </w:p>
        </w:tc>
      </w:tr>
      <w:tr>
        <w:tc>
          <w:tcPr>
            <w:tcW w:type="dxa" w:w="720"/>
          </w:tcPr>
          <w:p>
            <w:pPr>
              <w:spacing w:after="80"/>
            </w:pPr>
            <w:r/>
            <w:r>
              <w:rPr>
                <w:rFonts w:ascii="Times New Roman" w:hAnsi="Times New Roman"/>
                <w:b w:val="0"/>
                <w:sz w:val="20"/>
              </w:rPr>
              <w:t>23</w:t>
            </w:r>
          </w:p>
        </w:tc>
        <w:tc>
          <w:tcPr>
            <w:tcW w:type="dxa" w:w="4032"/>
          </w:tcPr>
          <w:p>
            <w:pPr>
              <w:spacing w:after="80"/>
            </w:pPr>
            <w:r/>
            <w:r>
              <w:rPr>
                <w:rFonts w:ascii="Times New Roman" w:hAnsi="Times New Roman"/>
                <w:b w:val="0"/>
                <w:sz w:val="20"/>
              </w:rPr>
              <w:t>P. 31 – implications for feminist social work practice and education (1) vulnerability replaced with ecological and structural framing; (2) disclosure practice and credibility hierarchies; (3) institutional accountability – back to Belgium and France for where feminist social workers should focus; (4) epistemology and some version of feminist social work that isn’t grounded or located. These implications will need more work, if you decide to keep them.</w:t>
            </w:r>
          </w:p>
        </w:tc>
        <w:tc>
          <w:tcPr>
            <w:tcW w:type="dxa" w:w="5328"/>
          </w:tcPr>
          <w:p>
            <w:pPr>
              <w:spacing w:after="80"/>
            </w:pPr>
            <w:r/>
            <w:r>
              <w:rPr>
                <w:rFonts w:ascii="Times New Roman" w:hAnsi="Times New Roman"/>
                <w:b w:val="0"/>
                <w:sz w:val="20"/>
              </w:rPr>
              <w:t>Kept, but rebuilt. They are now introduced as answers to a stated question (“What, then, does the analysis ask of feminist social work?”, p. 34) and each is tied to the mechanism. (1) Education now names the specific competence at issue — “the capacity to recognize that an interpretive frame built from prior professional judgments about a person is itself a mechanism of exposure” (p. 34). (2) Disclosure practice now states why existing feminist knowledge is insufficient rather than merely incomplete: it addresses the reception of testimony while the mechanism operates before testimony is given (p. 35). (3) Accountability is organized around removing one of the four conditions, with the French statutory instruments described concretely and the borrowed models explicitly not offered as templates for import (pp. 35–36). (4) The former “epistemology” implication is now an implication for research, grounded in a specific agenda: which able-bodied assumptions are carried by autonomy, resilience and empowerment, and what a comparative test of the four conditions would look like (pp. 37–38).</w:t>
            </w:r>
          </w:p>
        </w:tc>
      </w:tr>
      <w:tr>
        <w:tc>
          <w:tcPr>
            <w:tcW w:type="dxa" w:w="720"/>
          </w:tcPr>
          <w:p>
            <w:pPr>
              <w:spacing w:after="80"/>
            </w:pPr>
            <w:r/>
            <w:r>
              <w:rPr>
                <w:rFonts w:ascii="Times New Roman" w:hAnsi="Times New Roman"/>
                <w:b w:val="0"/>
                <w:sz w:val="20"/>
              </w:rPr>
              <w:t>24</w:t>
            </w:r>
          </w:p>
        </w:tc>
        <w:tc>
          <w:tcPr>
            <w:tcW w:type="dxa" w:w="4032"/>
          </w:tcPr>
          <w:p>
            <w:pPr>
              <w:spacing w:after="80"/>
            </w:pPr>
            <w:r/>
            <w:r>
              <w:rPr>
                <w:rFonts w:ascii="Times New Roman" w:hAnsi="Times New Roman"/>
                <w:b w:val="0"/>
                <w:sz w:val="20"/>
              </w:rPr>
              <w:t>P. 35 – the need for dialogue between structure issues and regional-national contexts displaced to future work. Intro capacitisme and validisme without explanation. Conflate transnational and decolonial arguments – I’d remove the decolonial gesture. Anglo dominance is one thing. The imperial histories of Belgium and France are another, and the global circuits of debility are theorized as an outcome of Global North exploitation of the rest of the globe.</w:t>
            </w:r>
          </w:p>
        </w:tc>
        <w:tc>
          <w:tcPr>
            <w:tcW w:type="dxa" w:w="5328"/>
          </w:tcPr>
          <w:p>
            <w:pPr>
              <w:spacing w:after="80"/>
            </w:pPr>
            <w:r/>
            <w:r>
              <w:rPr>
                <w:rFonts w:ascii="Times New Roman" w:hAnsi="Times New Roman"/>
                <w:b w:val="0"/>
                <w:sz w:val="20"/>
              </w:rPr>
              <w:t>All three points accepted. The decolonial gesture has been removed, together with the references it rested on (McRuer, 2018; Meekosha, 2011): we agree that Anglophone disciplinary dominance, Belgian and French imperial histories, and the global production of debility are three different arguments, and that gesturing at all three in one sentence did none of them justice. Validisme and capacitisme are now explained substantively where they are introduced (p. 13; see also reply to Reviewer 3, comment 5). And the dialogue is no longer displaced entirely to future work: the scope section performs part of it (pp. 32–34), while what remains for future work is stated as a specific, answerable question — whether the four conditions predict the absorption of disclosures across regimes with different statutory architectures (pp. 37–38).</w:t>
            </w:r>
          </w:p>
        </w:tc>
      </w:tr>
      <w:tr>
        <w:tc>
          <w:tcPr>
            <w:tcW w:type="dxa" w:w="720"/>
          </w:tcPr>
          <w:p>
            <w:pPr>
              <w:spacing w:after="80"/>
            </w:pPr>
            <w:r/>
            <w:r>
              <w:rPr>
                <w:rFonts w:ascii="Times New Roman" w:hAnsi="Times New Roman"/>
                <w:b w:val="0"/>
                <w:sz w:val="20"/>
              </w:rPr>
              <w:t>25</w:t>
            </w:r>
          </w:p>
        </w:tc>
        <w:tc>
          <w:tcPr>
            <w:tcW w:type="dxa" w:w="4032"/>
          </w:tcPr>
          <w:p>
            <w:pPr>
              <w:spacing w:after="80"/>
            </w:pPr>
            <w:r/>
            <w:r>
              <w:rPr>
                <w:rFonts w:ascii="Times New Roman" w:hAnsi="Times New Roman"/>
                <w:b w:val="0"/>
                <w:sz w:val="20"/>
              </w:rPr>
              <w:t>P. 36 – middle of the page re: “…require feminist social work to hold the question open…” this is a casual charge to make, especially without citational support – who and where is this feminist social work that you create as your foil?</w:t>
            </w:r>
          </w:p>
        </w:tc>
        <w:tc>
          <w:tcPr>
            <w:tcW w:type="dxa" w:w="5328"/>
          </w:tcPr>
          <w:p>
            <w:pPr>
              <w:spacing w:after="80"/>
            </w:pPr>
            <w:r/>
            <w:r>
              <w:rPr>
                <w:rFonts w:ascii="Times New Roman" w:hAnsi="Times New Roman"/>
                <w:b w:val="0"/>
                <w:sz w:val="20"/>
              </w:rPr>
              <w:t>The charge has been withdrawn and replaced by an entailment. The passage no longer tells feminist social work what it must do; it states what follows from the four conditions: three of them can in principle be addressed by reform, but the first — that access is mandated rather than chosen — is constitutive of congregate provision itself, so “an analysis locating the mechanism in a mandated arrangement cannot consistently treat the future of that arrangement as someone else's question” (pp. 38–39). The abolitionist position is now attributed to named scholarship rather than invoked as a general horizon.</w:t>
            </w:r>
          </w:p>
        </w:tc>
      </w:tr>
      <w:tr>
        <w:tc>
          <w:tcPr>
            <w:tcW w:type="dxa" w:w="720"/>
          </w:tcPr>
          <w:p>
            <w:pPr>
              <w:spacing w:after="80"/>
            </w:pPr>
            <w:r/>
            <w:r>
              <w:rPr>
                <w:rFonts w:ascii="Times New Roman" w:hAnsi="Times New Roman"/>
                <w:b w:val="0"/>
                <w:sz w:val="20"/>
              </w:rPr>
              <w:t>26</w:t>
            </w:r>
          </w:p>
        </w:tc>
        <w:tc>
          <w:tcPr>
            <w:tcW w:type="dxa" w:w="4032"/>
          </w:tcPr>
          <w:p>
            <w:pPr>
              <w:spacing w:after="80"/>
            </w:pPr>
            <w:r/>
            <w:r>
              <w:rPr>
                <w:rFonts w:ascii="Times New Roman" w:hAnsi="Times New Roman"/>
                <w:b w:val="0"/>
                <w:sz w:val="20"/>
              </w:rPr>
              <w:t>P. 36 – bottom of page re: core claim – this is not strong enough to make a new contribution to the literature.</w:t>
            </w:r>
          </w:p>
        </w:tc>
        <w:tc>
          <w:tcPr>
            <w:tcW w:type="dxa" w:w="5328"/>
          </w:tcPr>
          <w:p>
            <w:pPr>
              <w:spacing w:after="80"/>
            </w:pPr>
            <w:r/>
            <w:r>
              <w:rPr>
                <w:rFonts w:ascii="Times New Roman" w:hAnsi="Times New Roman"/>
                <w:b w:val="0"/>
                <w:sz w:val="20"/>
              </w:rPr>
              <w:t>The core claim has been replaced. It is now: forced intimacy is the structural medium binding the normative and epistemic systems, so that a single arrangement produces exposure to sexual violation and forecloses its nameability at once; epistemic injustice therefore operates before disclosure and not only after it; this conjunction is generated by four specifiable conditions; and interventions addressing only the reception of testimony cannot reach it. We take this to be a claim that can be argued with, which the earlier formulation was not.</w:t>
            </w:r>
          </w:p>
        </w:tc>
      </w:tr>
      <w:tr>
        <w:tc>
          <w:tcPr>
            <w:tcW w:type="dxa" w:w="720"/>
          </w:tcPr>
          <w:p>
            <w:pPr>
              <w:spacing w:after="80"/>
            </w:pPr>
            <w:r/>
            <w:r>
              <w:rPr>
                <w:rFonts w:ascii="Times New Roman" w:hAnsi="Times New Roman"/>
                <w:b w:val="0"/>
                <w:sz w:val="20"/>
              </w:rPr>
              <w:t>27</w:t>
            </w:r>
          </w:p>
        </w:tc>
        <w:tc>
          <w:tcPr>
            <w:tcW w:type="dxa" w:w="4032"/>
          </w:tcPr>
          <w:p>
            <w:pPr>
              <w:spacing w:after="80"/>
            </w:pPr>
            <w:r/>
            <w:r>
              <w:rPr>
                <w:rFonts w:ascii="Times New Roman" w:hAnsi="Times New Roman"/>
                <w:b w:val="0"/>
                <w:sz w:val="20"/>
              </w:rPr>
              <w:t>P. 37 – some of these conclusions – compulsory, routinized, professional cultures – these don’t follow from the main work of the paper. Not sure if they are traveling over from some of your empirical work? Ensure your conclusion is not introducing any new material.</w:t>
            </w:r>
          </w:p>
        </w:tc>
        <w:tc>
          <w:tcPr>
            <w:tcW w:type="dxa" w:w="5328"/>
          </w:tcPr>
          <w:p>
            <w:pPr>
              <w:spacing w:after="80"/>
            </w:pPr>
            <w:r/>
            <w:r>
              <w:rPr>
                <w:rFonts w:ascii="Times New Roman" w:hAnsi="Times New Roman"/>
                <w:b w:val="0"/>
                <w:sz w:val="20"/>
              </w:rPr>
              <w:t>The conclusion has been rewritten and given its own heading. It now restates only what the article argued: the configuration and its four conditions, forced intimacy as its medium, the pre-disclosure operation of epistemic injustice, and the position of feminist social work at the point of interpretation (p. 39). The three terms you flag no longer appear there, and no source, concept or claim is introduced in the conclusion that was not established earlier.</w:t>
            </w:r>
          </w:p>
        </w:tc>
      </w:tr>
      <w:tr>
        <w:tc>
          <w:tcPr>
            <w:tcW w:type="dxa" w:w="720"/>
          </w:tcPr>
          <w:p>
            <w:pPr>
              <w:spacing w:after="80"/>
            </w:pPr>
            <w:r/>
            <w:r>
              <w:rPr>
                <w:rFonts w:ascii="Times New Roman" w:hAnsi="Times New Roman"/>
                <w:b w:val="0"/>
                <w:sz w:val="20"/>
              </w:rPr>
              <w:t>28</w:t>
            </w:r>
          </w:p>
        </w:tc>
        <w:tc>
          <w:tcPr>
            <w:tcW w:type="dxa" w:w="4032"/>
          </w:tcPr>
          <w:p>
            <w:pPr>
              <w:spacing w:after="80"/>
            </w:pPr>
            <w:r/>
            <w:r>
              <w:rPr>
                <w:rFonts w:ascii="Times New Roman" w:hAnsi="Times New Roman"/>
                <w:b w:val="0"/>
                <w:sz w:val="20"/>
              </w:rPr>
              <w:t>P. 37 – paper ends on cripping feminist social work</w:t>
            </w:r>
          </w:p>
        </w:tc>
        <w:tc>
          <w:tcPr>
            <w:tcW w:type="dxa" w:w="5328"/>
          </w:tcPr>
          <w:p>
            <w:pPr>
              <w:spacing w:after="80"/>
            </w:pPr>
            <w:r/>
            <w:r>
              <w:rPr>
                <w:rFonts w:ascii="Times New Roman" w:hAnsi="Times New Roman"/>
                <w:b w:val="0"/>
                <w:sz w:val="20"/>
              </w:rPr>
              <w:t>It still does, but the phrase now has an argued content rather than serving as a closing gesture: “It is the claim that disability is not one population among those the field serves but a constitutive axis of the arrangements through which it works, and that taking it as such changes what counts as an adequate response to violence: not only better listening, but the removal of the conditions that determined in advance what could be said” (pp. 39–40). If you would still prefer a different ending, we will change it.</w:t>
            </w:r>
          </w:p>
        </w:tc>
      </w:tr>
      <w:tr>
        <w:tc>
          <w:tcPr>
            <w:tcW w:type="dxa" w:w="720"/>
          </w:tcPr>
          <w:p>
            <w:pPr>
              <w:spacing w:after="80"/>
            </w:pPr>
            <w:r/>
            <w:r>
              <w:rPr>
                <w:rFonts w:ascii="Times New Roman" w:hAnsi="Times New Roman"/>
                <w:b w:val="0"/>
                <w:sz w:val="20"/>
              </w:rPr>
              <w:t>29</w:t>
            </w:r>
          </w:p>
        </w:tc>
        <w:tc>
          <w:tcPr>
            <w:tcW w:type="dxa" w:w="4032"/>
          </w:tcPr>
          <w:p>
            <w:pPr>
              <w:spacing w:after="80"/>
            </w:pPr>
            <w:r/>
            <w:r>
              <w:rPr>
                <w:rFonts w:ascii="Times New Roman" w:hAnsi="Times New Roman"/>
                <w:b w:val="0"/>
                <w:sz w:val="20"/>
              </w:rPr>
              <w:t>There is lots of really good content in this paper, and the work you are doing in your national contexts is important. I would be glad to review a revised draft.</w:t>
            </w:r>
          </w:p>
        </w:tc>
        <w:tc>
          <w:tcPr>
            <w:tcW w:type="dxa" w:w="5328"/>
          </w:tcPr>
          <w:p>
            <w:pPr>
              <w:spacing w:after="80"/>
            </w:pPr>
            <w:r/>
            <w:r>
              <w:rPr>
                <w:rFonts w:ascii="Times New Roman" w:hAnsi="Times New Roman"/>
                <w:b w:val="0"/>
                <w:sz w:val="20"/>
              </w:rPr>
              <w:t>Thank you — the two rounds of comments have changed the article substantially and, we think, for the better. We would welcome your reading of this version.</w:t>
            </w:r>
          </w:p>
        </w:tc>
      </w:tr>
    </w:tbl>
    <w:p>
      <w:r>
        <w:br w:type="page"/>
      </w:r>
    </w:p>
    <w:p>
      <w:pPr>
        <w:spacing w:after="160"/>
      </w:pPr>
      <w:r>
        <w:rPr>
          <w:rFonts w:ascii="Times New Roman" w:hAnsi="Times New Roman"/>
          <w:b/>
          <w:i w:val="0"/>
          <w:sz w:val="24"/>
        </w:rPr>
        <w:t>Reviewer #3</w:t>
      </w:r>
    </w:p>
    <w:tbl>
      <w:tblPr>
        <w:tblStyle w:val="TableGrid"/>
        <w:tblW w:type="auto" w:w="0"/>
        <w:jc w:val="center"/>
        <w:tblLook w:firstColumn="1" w:firstRow="1" w:lastColumn="0" w:lastRow="0" w:noHBand="0" w:noVBand="1" w:val="04A0"/>
      </w:tblPr>
      <w:tblGrid>
        <w:gridCol w:w="3408"/>
        <w:gridCol w:w="3408"/>
        <w:gridCol w:w="3408"/>
      </w:tblGrid>
      <w:tr>
        <w:tc>
          <w:tcPr>
            <w:tcW w:type="dxa" w:w="720"/>
          </w:tcPr>
          <w:p>
            <w:pPr>
              <w:spacing w:after="80"/>
            </w:pPr>
            <w:r/>
            <w:r>
              <w:rPr>
                <w:rFonts w:ascii="Times New Roman" w:hAnsi="Times New Roman"/>
                <w:b/>
                <w:sz w:val="20"/>
              </w:rPr>
              <w:t>#</w:t>
            </w:r>
          </w:p>
        </w:tc>
        <w:tc>
          <w:tcPr>
            <w:tcW w:type="dxa" w:w="4032"/>
          </w:tcPr>
          <w:p>
            <w:pPr>
              <w:spacing w:after="80"/>
            </w:pPr>
            <w:r/>
            <w:r>
              <w:rPr>
                <w:rFonts w:ascii="Times New Roman" w:hAnsi="Times New Roman"/>
                <w:b/>
                <w:sz w:val="20"/>
              </w:rPr>
              <w:t>Reviewer #3 — comments/suggestions (verbatim)</w:t>
            </w:r>
          </w:p>
        </w:tc>
        <w:tc>
          <w:tcPr>
            <w:tcW w:type="dxa" w:w="5328"/>
          </w:tcPr>
          <w:p>
            <w:pPr>
              <w:spacing w:after="80"/>
            </w:pPr>
            <w:r/>
            <w:r>
              <w:rPr>
                <w:rFonts w:ascii="Times New Roman" w:hAnsi="Times New Roman"/>
                <w:b/>
                <w:sz w:val="20"/>
              </w:rPr>
              <w:t>Revisions made in the manuscript, with page numbers</w:t>
            </w:r>
          </w:p>
        </w:tc>
      </w:tr>
      <w:tr>
        <w:tc>
          <w:tcPr>
            <w:tcW w:type="dxa" w:w="720"/>
          </w:tcPr>
          <w:p>
            <w:pPr>
              <w:spacing w:after="80"/>
            </w:pPr>
            <w:r/>
            <w:r>
              <w:rPr>
                <w:rFonts w:ascii="Times New Roman" w:hAnsi="Times New Roman"/>
                <w:b w:val="0"/>
                <w:sz w:val="20"/>
              </w:rPr>
              <w:t>General</w:t>
            </w:r>
          </w:p>
        </w:tc>
        <w:tc>
          <w:tcPr>
            <w:tcW w:type="dxa" w:w="4032"/>
          </w:tcPr>
          <w:p>
            <w:pPr>
              <w:spacing w:after="80"/>
            </w:pPr>
            <w:r/>
            <w:r>
              <w:rPr>
                <w:rFonts w:ascii="Times New Roman" w:hAnsi="Times New Roman"/>
                <w:b w:val="0"/>
                <w:sz w:val="20"/>
              </w:rPr>
              <w:t>This article is great and I learned a lot from it. I would consider it basically ready to go.</w:t>
            </w:r>
          </w:p>
        </w:tc>
        <w:tc>
          <w:tcPr>
            <w:tcW w:type="dxa" w:w="5328"/>
          </w:tcPr>
          <w:p>
            <w:pPr>
              <w:spacing w:after="80"/>
            </w:pPr>
            <w:r/>
            <w:r>
              <w:rPr>
                <w:rFonts w:ascii="Times New Roman" w:hAnsi="Times New Roman"/>
                <w:b w:val="0"/>
                <w:sz w:val="20"/>
              </w:rPr>
              <w:t>Thank you. The revisions below respond to your five points; the larger structural changes in this version respond to Reviewer 1 and are summarized at the head of this document.</w:t>
            </w:r>
          </w:p>
        </w:tc>
      </w:tr>
      <w:tr>
        <w:tc>
          <w:tcPr>
            <w:tcW w:type="dxa" w:w="720"/>
          </w:tcPr>
          <w:p>
            <w:pPr>
              <w:spacing w:after="80"/>
            </w:pPr>
            <w:r/>
            <w:r>
              <w:rPr>
                <w:rFonts w:ascii="Times New Roman" w:hAnsi="Times New Roman"/>
                <w:b w:val="0"/>
                <w:sz w:val="20"/>
              </w:rPr>
              <w:t>1</w:t>
            </w:r>
          </w:p>
        </w:tc>
        <w:tc>
          <w:tcPr>
            <w:tcW w:type="dxa" w:w="4032"/>
          </w:tcPr>
          <w:p>
            <w:pPr>
              <w:spacing w:after="80"/>
            </w:pPr>
            <w:r/>
            <w:r>
              <w:rPr>
                <w:rFonts w:ascii="Times New Roman" w:hAnsi="Times New Roman"/>
                <w:b w:val="0"/>
                <w:sz w:val="20"/>
              </w:rPr>
              <w:t>Liat Ben-Moshe isn't in the discipline of social work. She's currently in a criminology department and has been in disability studies departments previously. She has no footing in social work per se</w:t>
            </w:r>
          </w:p>
        </w:tc>
        <w:tc>
          <w:tcPr>
            <w:tcW w:type="dxa" w:w="5328"/>
          </w:tcPr>
          <w:p>
            <w:pPr>
              <w:spacing w:after="80"/>
            </w:pPr>
            <w:r/>
            <w:r>
              <w:rPr>
                <w:rFonts w:ascii="Times New Roman" w:hAnsi="Times New Roman"/>
                <w:b w:val="0"/>
                <w:sz w:val="20"/>
              </w:rPr>
              <w:t>Corrected in both places where the attribution was made. The Background section now reads: “this work is written from disability studies and critical criminology rather than from social work, and its purchase on social work is one of implication rather than of disciplinary membership” (p. 11). The Discussion no longer describes the abolitionist position as “elaborated in social work by scholars such as Ben-Moshe … and Chapman and Withers,” and instead attributes it to “scholars working across disability studies, criminology, and social work” (pp. 38–39).</w:t>
            </w:r>
          </w:p>
        </w:tc>
      </w:tr>
      <w:tr>
        <w:tc>
          <w:tcPr>
            <w:tcW w:type="dxa" w:w="720"/>
          </w:tcPr>
          <w:p>
            <w:pPr>
              <w:spacing w:after="80"/>
            </w:pPr>
            <w:r/>
            <w:r>
              <w:rPr>
                <w:rFonts w:ascii="Times New Roman" w:hAnsi="Times New Roman"/>
                <w:b w:val="0"/>
                <w:sz w:val="20"/>
              </w:rPr>
              <w:t>2</w:t>
            </w:r>
          </w:p>
        </w:tc>
        <w:tc>
          <w:tcPr>
            <w:tcW w:type="dxa" w:w="4032"/>
          </w:tcPr>
          <w:p>
            <w:pPr>
              <w:spacing w:after="80"/>
            </w:pPr>
            <w:r/>
            <w:r>
              <w:rPr>
                <w:rFonts w:ascii="Times New Roman" w:hAnsi="Times New Roman"/>
                <w:b w:val="0"/>
                <w:sz w:val="20"/>
              </w:rPr>
              <w:t>Late in the article you mention debility and cite a few people including McRuer, but maybe cite Puar there?</w:t>
            </w:r>
          </w:p>
        </w:tc>
        <w:tc>
          <w:tcPr>
            <w:tcW w:type="dxa" w:w="5328"/>
          </w:tcPr>
          <w:p>
            <w:pPr>
              <w:spacing w:after="80"/>
            </w:pPr>
            <w:r/>
            <w:r>
              <w:rPr>
                <w:rFonts w:ascii="Times New Roman" w:hAnsi="Times New Roman"/>
                <w:b w:val="0"/>
                <w:sz w:val="20"/>
              </w:rPr>
              <w:t>The sentence that cited McRuer (2018) and Meekosha (2011) on “global circuits of debility” has been removed at Reviewer 1's request, so the problem no longer arises in that form. Puar (2017) remains the sole citation for debility, and that passage has been expanded to say what the concept does: debility names attrition “distributed unevenly across populations, produced deliberately as well as incidentally, and falling outside the frameworks through which disability rights are claimed,” which is why debilitated people are hard to reach with existing social work frameworks (pp. 16–17).</w:t>
            </w:r>
          </w:p>
        </w:tc>
      </w:tr>
      <w:tr>
        <w:tc>
          <w:tcPr>
            <w:tcW w:type="dxa" w:w="720"/>
          </w:tcPr>
          <w:p>
            <w:pPr>
              <w:spacing w:after="80"/>
            </w:pPr>
            <w:r/>
            <w:r>
              <w:rPr>
                <w:rFonts w:ascii="Times New Roman" w:hAnsi="Times New Roman"/>
                <w:b w:val="0"/>
                <w:sz w:val="20"/>
              </w:rPr>
              <w:t>3</w:t>
            </w:r>
          </w:p>
        </w:tc>
        <w:tc>
          <w:tcPr>
            <w:tcW w:type="dxa" w:w="4032"/>
          </w:tcPr>
          <w:p>
            <w:pPr>
              <w:spacing w:after="80"/>
            </w:pPr>
            <w:r/>
            <w:r>
              <w:rPr>
                <w:rFonts w:ascii="Times New Roman" w:hAnsi="Times New Roman"/>
                <w:b w:val="0"/>
                <w:sz w:val="20"/>
              </w:rPr>
              <w:t>Do what you wish with this, but Chris Chapman and AJ Withers can certainly both be located within social work but are sometimes also located within disability studies, and so the line there is a little more blurry than you suggest.</w:t>
            </w:r>
          </w:p>
        </w:tc>
        <w:tc>
          <w:tcPr>
            <w:tcW w:type="dxa" w:w="5328"/>
          </w:tcPr>
          <w:p>
            <w:pPr>
              <w:spacing w:after="80"/>
            </w:pPr>
            <w:r/>
            <w:r>
              <w:rPr>
                <w:rFonts w:ascii="Times New Roman" w:hAnsi="Times New Roman"/>
                <w:b w:val="0"/>
                <w:sz w:val="20"/>
              </w:rPr>
              <w:t>Noted in the text: “both authors write from within social work while also locating themselves within disability studies, and the boundary is in their case genuinely porous rather than merely crossed” (p. 12).</w:t>
            </w:r>
          </w:p>
        </w:tc>
      </w:tr>
      <w:tr>
        <w:tc>
          <w:tcPr>
            <w:tcW w:type="dxa" w:w="720"/>
          </w:tcPr>
          <w:p>
            <w:pPr>
              <w:spacing w:after="80"/>
            </w:pPr>
            <w:r/>
            <w:r>
              <w:rPr>
                <w:rFonts w:ascii="Times New Roman" w:hAnsi="Times New Roman"/>
                <w:b w:val="0"/>
                <w:sz w:val="20"/>
              </w:rPr>
              <w:t>4</w:t>
            </w:r>
          </w:p>
        </w:tc>
        <w:tc>
          <w:tcPr>
            <w:tcW w:type="dxa" w:w="4032"/>
          </w:tcPr>
          <w:p>
            <w:pPr>
              <w:spacing w:after="80"/>
            </w:pPr>
            <w:r/>
            <w:r>
              <w:rPr>
                <w:rFonts w:ascii="Times New Roman" w:hAnsi="Times New Roman"/>
                <w:b w:val="0"/>
                <w:sz w:val="20"/>
              </w:rPr>
              <w:t>Most importantly, and least likely for you to do anything about, I wonder if your analysis might be much more generalizable than you imagine. Deinstitutionalization in North America remains, at best, an ongoing imperfect process. […] I think those same mechanisms you identify, with some obvious distinctions, are there in many sites of social work and professional care — such as when mad people are on community treatment orders […] and child welfare systems. The “forced intimacy” is not of a physical kind, but there is something strongly resonant at play when people […] are mandated to speak with people in positions of authority, epistemic and otherwise. I would love to see your analysis taken up seriously in critical and feminist social work well beyond the limitations you place on it.</w:t>
            </w:r>
          </w:p>
        </w:tc>
        <w:tc>
          <w:tcPr>
            <w:tcW w:type="dxa" w:w="5328"/>
          </w:tcPr>
          <w:p>
            <w:pPr>
              <w:spacing w:after="80"/>
            </w:pPr>
            <w:r/>
            <w:r>
              <w:rPr>
                <w:rFonts w:ascii="Times New Roman" w:hAnsi="Times New Roman"/>
                <w:b w:val="0"/>
                <w:sz w:val="20"/>
              </w:rPr>
              <w:t>This comment changed the article, and we are grateful for it. A new subsection opens the Discussion — “The scope of the argument: mandated care beyond the medico-social” (pp. 32–34) — which abstracts four conditions from the regime we studied: access is institutionally mandated rather than chosen; it is performed under a vocabulary of care, help or treatment; the authority to interpret what happens within it is held professionally; and the institution that would receive a complaint is the institution that arranges the access. We then take up your three examples. Deinstitutionalization is described as “an uneven and incomplete process rather than a completed transition,” with the remaining congregate settings satisfying all four conditions. Community treatment orders are analyzed as mandated access “to compliance, to speech, and to the interior life,” where “the professional holds the authority to interpret what compliance and insight consist in.” Child protection is analyzed as mandated access to the home and to family intimacy under a helping vocabulary. Your observation that the intimacy need not be physical is the pivot of the passage: “In each case the intimacy is relational or informational rather than physical, but the structure is the same, and so, we would predict, is the pre-disclosure foreclosure it produces.” We have been careful about the epistemic status of the extension — “we advance this as an analytic claim rather than an empirical finding: we have not studied those sites” — and we use the four conditions to specify where the mechanism should weaken, which we think is what distinguishes the claim from a general appeal to structure. This addition also resolves a tension with Reviewer 1, who asked us to anchor the paper in its regional-institutional object: the regime is where we specify the mechanism, and the four conditions are what travel.</w:t>
            </w:r>
          </w:p>
        </w:tc>
      </w:tr>
      <w:tr>
        <w:tc>
          <w:tcPr>
            <w:tcW w:type="dxa" w:w="720"/>
          </w:tcPr>
          <w:p>
            <w:pPr>
              <w:spacing w:after="80"/>
            </w:pPr>
            <w:r/>
            <w:r>
              <w:rPr>
                <w:rFonts w:ascii="Times New Roman" w:hAnsi="Times New Roman"/>
                <w:b w:val="0"/>
                <w:sz w:val="20"/>
              </w:rPr>
              <w:t>5</w:t>
            </w:r>
          </w:p>
        </w:tc>
        <w:tc>
          <w:tcPr>
            <w:tcW w:type="dxa" w:w="4032"/>
          </w:tcPr>
          <w:p>
            <w:pPr>
              <w:spacing w:after="80"/>
            </w:pPr>
            <w:r/>
            <w:r>
              <w:rPr>
                <w:rFonts w:ascii="Times New Roman" w:hAnsi="Times New Roman"/>
                <w:b w:val="0"/>
                <w:sz w:val="20"/>
              </w:rPr>
              <w:t>minor thing, no need to address unless you wish to do so. We can google after all! Both times you mention validisme and capacitisme and say they're not simply ableism, I would have liked to hear a little more on what they are, at least from your perspective.</w:t>
            </w:r>
          </w:p>
        </w:tc>
        <w:tc>
          <w:tcPr>
            <w:tcW w:type="dxa" w:w="5328"/>
          </w:tcPr>
          <w:p>
            <w:pPr>
              <w:spacing w:after="80"/>
            </w:pPr>
            <w:r/>
            <w:r>
              <w:rPr>
                <w:rFonts w:ascii="Times New Roman" w:hAnsi="Times New Roman"/>
                <w:b w:val="0"/>
                <w:sz w:val="20"/>
              </w:rPr>
              <w:t>We wished to. A new paragraph explains both (p. 13). Validisme is built from valide, the everyday French word for a non-disabled person and also for what is legally or administratively valid; forged in activist critique of the French institutional apparatus, its primary referents are placement, medical gatekeeping and administrative categorization rather than attitude or prejudice. Capacitisme is a later coinage modelled on racisme and sexisme and built on capacité, foregrounding the ranking of persons by measured capacity, and travels more readily to schooling, employment and evaluation. Many francophone authors use them interchangeably; the distinction we work with is that “validisme names a regime and capacitisme a metric.” We also state why neither is a translation of ableism: “neither was produced by translating it: both were produced by politicizing a specific medico-social inheritance, which is why they carry institutional referents the Anglophone term does not.” Google, we found, does not say this.</w:t>
            </w:r>
          </w:p>
        </w:tc>
      </w:tr>
    </w:tbl>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