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3660C" w14:textId="712ED131" w:rsidR="00DC3167" w:rsidRPr="00DC3167" w:rsidRDefault="00DC3167" w:rsidP="00DC3167">
      <w:pPr>
        <w:pStyle w:val="Title"/>
        <w:numPr>
          <w:ilvl w:val="0"/>
          <w:numId w:val="0"/>
        </w:numPr>
        <w:ind w:left="1068"/>
        <w:jc w:val="center"/>
        <w:rPr>
          <w:b/>
          <w:bCs/>
        </w:rPr>
      </w:pPr>
      <w:r w:rsidRPr="00DC3167">
        <w:rPr>
          <w:b/>
          <w:bCs/>
        </w:rPr>
        <w:t>LC-15 Solvant</w:t>
      </w:r>
    </w:p>
    <w:p w14:paraId="2C1C4827" w14:textId="5408C3AD" w:rsidR="00DC3167" w:rsidRDefault="00DC3167" w:rsidP="00DC3167">
      <w:pPr>
        <w:numPr>
          <w:ilvl w:val="0"/>
          <w:numId w:val="0"/>
        </w:numPr>
        <w:ind w:left="1068"/>
      </w:pPr>
    </w:p>
    <w:p w14:paraId="6F47B6EF" w14:textId="1108E136" w:rsidR="00DC3167" w:rsidRDefault="00343AD0" w:rsidP="00343AD0">
      <w:pPr>
        <w:pStyle w:val="Heading1"/>
        <w:numPr>
          <w:ilvl w:val="0"/>
          <w:numId w:val="0"/>
        </w:numPr>
        <w:ind w:left="1080"/>
      </w:pPr>
      <w:r>
        <w:rPr>
          <w:noProof/>
        </w:rPr>
        <w:drawing>
          <wp:anchor distT="0" distB="0" distL="114300" distR="114300" simplePos="0" relativeHeight="251658240" behindDoc="0" locked="0" layoutInCell="1" allowOverlap="1" wp14:anchorId="2081EDE2" wp14:editId="7532F38A">
            <wp:simplePos x="0" y="0"/>
            <wp:positionH relativeFrom="column">
              <wp:posOffset>677545</wp:posOffset>
            </wp:positionH>
            <wp:positionV relativeFrom="paragraph">
              <wp:posOffset>-1270</wp:posOffset>
            </wp:positionV>
            <wp:extent cx="4953000" cy="37528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53000" cy="3752850"/>
                    </a:xfrm>
                    <a:prstGeom prst="rect">
                      <a:avLst/>
                    </a:prstGeom>
                  </pic:spPr>
                </pic:pic>
              </a:graphicData>
            </a:graphic>
          </wp:anchor>
        </w:drawing>
      </w:r>
      <w:r>
        <w:t xml:space="preserve">Prérequis : </w:t>
      </w:r>
    </w:p>
    <w:p w14:paraId="1CB4A0AC" w14:textId="691D97E9" w:rsidR="00343AD0" w:rsidRPr="00343AD0" w:rsidRDefault="00343AD0" w:rsidP="00343AD0">
      <w:r>
        <w:t>Tableau périodique</w:t>
      </w:r>
    </w:p>
    <w:p w14:paraId="108BC91F" w14:textId="6A935852" w:rsidR="00343AD0" w:rsidRDefault="00343AD0" w:rsidP="00343AD0">
      <w:r>
        <w:t>Polarité</w:t>
      </w:r>
    </w:p>
    <w:p w14:paraId="31B04224" w14:textId="2F59C34D" w:rsidR="00343AD0" w:rsidRPr="00C84826" w:rsidRDefault="00343AD0" w:rsidP="00343AD0">
      <w:pPr>
        <w:rPr>
          <w:b/>
          <w:bCs/>
        </w:rPr>
      </w:pPr>
      <w:r w:rsidRPr="00C84826">
        <w:rPr>
          <w:b/>
          <w:bCs/>
        </w:rPr>
        <w:t>Liaison hydrogène</w:t>
      </w:r>
    </w:p>
    <w:p w14:paraId="21A62BE7" w14:textId="0137AA7C" w:rsidR="00343AD0" w:rsidRPr="00C84826" w:rsidRDefault="001357DA" w:rsidP="00343AD0">
      <w:pPr>
        <w:rPr>
          <w:b/>
          <w:bCs/>
        </w:rPr>
      </w:pPr>
      <w:r w:rsidRPr="00C84826">
        <w:rPr>
          <w:b/>
          <w:bCs/>
        </w:rPr>
        <w:t>Interactions de Van der Waals</w:t>
      </w:r>
    </w:p>
    <w:p w14:paraId="4F941743" w14:textId="77777777" w:rsidR="001357DA" w:rsidRDefault="001357DA" w:rsidP="001357DA">
      <w:pPr>
        <w:numPr>
          <w:ilvl w:val="0"/>
          <w:numId w:val="0"/>
        </w:numPr>
        <w:ind w:left="1068"/>
      </w:pPr>
    </w:p>
    <w:p w14:paraId="42A51EC2" w14:textId="77777777" w:rsidR="00343AD0" w:rsidRDefault="00343AD0" w:rsidP="00343AD0">
      <w:pPr>
        <w:pStyle w:val="Heading1"/>
        <w:numPr>
          <w:ilvl w:val="0"/>
          <w:numId w:val="0"/>
        </w:numPr>
        <w:ind w:left="1080"/>
      </w:pPr>
      <w:r>
        <w:t>Introduction</w:t>
      </w:r>
    </w:p>
    <w:p w14:paraId="4CA5362F" w14:textId="1AA4B162" w:rsidR="0044176B" w:rsidRDefault="0044176B" w:rsidP="00343AD0">
      <w:r w:rsidRPr="0044176B">
        <w:rPr>
          <w:b/>
          <w:bCs/>
        </w:rPr>
        <w:t xml:space="preserve">Définition de la solution : </w:t>
      </w:r>
      <w:r w:rsidR="00E65B61">
        <w:t>Au lycée, vous avez été amené à travailler avec des solutions</w:t>
      </w:r>
      <w:r>
        <w:t xml:space="preserve"> que nous avons définies comme étant un mélange constitué 1- d’une espèce majoritaire à l’état liquide (solvant) par exemple de l’eau ce qui donne le nom de solution aqueuse, 2- d’une ou plusieurs espèces dissoutes (molécules, ions…). </w:t>
      </w:r>
    </w:p>
    <w:p w14:paraId="5D36814A" w14:textId="22BC185B" w:rsidR="00E10987" w:rsidRDefault="0044176B" w:rsidP="00343AD0">
      <w:r>
        <w:rPr>
          <w:b/>
          <w:bCs/>
        </w:rPr>
        <w:t xml:space="preserve">Rôle du solvant : </w:t>
      </w:r>
      <w:r>
        <w:t xml:space="preserve">Nous avons pu constater l’utilité du solvant pour faire réagir les molécules du soluté. Le solvant va être le lieu où les molécules du soluté vont pouvoir facilement se rencontrer et éventuellement réagir à travers des collisions. </w:t>
      </w:r>
      <w:r w:rsidR="00BA4298">
        <w:t xml:space="preserve">Nous allons voir dans cette leçon que le solvant ne se limite pas à favoriser des réactions chimiques : rôle de séparation </w:t>
      </w:r>
      <w:r w:rsidR="00E10987">
        <w:t>de différents composés (extraction).</w:t>
      </w:r>
    </w:p>
    <w:p w14:paraId="24FF2F21" w14:textId="34D20955" w:rsidR="00E10987" w:rsidRPr="00ED33F3" w:rsidRDefault="00E10987" w:rsidP="00343AD0">
      <w:r>
        <w:rPr>
          <w:b/>
          <w:bCs/>
        </w:rPr>
        <w:t>Problématique</w:t>
      </w:r>
      <w:r w:rsidR="0020739D">
        <w:rPr>
          <w:b/>
          <w:bCs/>
        </w:rPr>
        <w:t xml:space="preserve"> (Manip introductive)</w:t>
      </w:r>
      <w:r>
        <w:rPr>
          <w:b/>
          <w:bCs/>
        </w:rPr>
        <w:t xml:space="preserve"> : </w:t>
      </w:r>
      <w:r w:rsidR="0020739D">
        <w:t>Expérience du diiode. Dans l’eau : faible dissolution couleur jaune brun. Dans le cyclohexane</w:t>
      </w:r>
      <w:r w:rsidR="00D804ED">
        <w:t xml:space="preserve"> (utiliser huile d’arachide car bon pour l’environnement et pas toxique. Cyclohexane potentiel CMR)</w:t>
      </w:r>
      <w:r w:rsidR="0020739D">
        <w:t> : forte dissolution couleur violette. Si je prends le contenu aqueux</w:t>
      </w:r>
      <w:r w:rsidR="00A442FE">
        <w:t xml:space="preserve"> (éventuellement on peut tricher avec du iodure de potassium)</w:t>
      </w:r>
      <w:r w:rsidR="0020739D">
        <w:t xml:space="preserve"> et que je rajoute du cyclohexane la couleur jaune disparaît et la teinte violette apparaît.</w:t>
      </w:r>
      <w:r w:rsidR="00066776">
        <w:t xml:space="preserve"> Faire la manip </w:t>
      </w:r>
      <w:r w:rsidR="002303ED">
        <w:t xml:space="preserve">complète </w:t>
      </w:r>
      <w:r w:rsidR="00066776">
        <w:t xml:space="preserve">avec </w:t>
      </w:r>
      <w:r w:rsidR="002303ED">
        <w:t>le sulfate de cuivre. (</w:t>
      </w:r>
      <w:proofErr w:type="spellStart"/>
      <w:r w:rsidR="00303790">
        <w:t>cf.</w:t>
      </w:r>
      <w:r w:rsidR="002303ED">
        <w:t>Hatier</w:t>
      </w:r>
      <w:proofErr w:type="spellEnd"/>
      <w:r w:rsidR="002303ED">
        <w:t xml:space="preserve">) Pour mettre en </w:t>
      </w:r>
      <w:r w:rsidR="002303ED">
        <w:lastRenderedPageBreak/>
        <w:t>évidence la séparation. L’intro est complète !!</w:t>
      </w:r>
      <w:r w:rsidR="00066776">
        <w:t xml:space="preserve"> </w:t>
      </w:r>
      <w:r w:rsidR="00D8148E">
        <w:t xml:space="preserve"> Les questions de la leçon : </w:t>
      </w:r>
      <w:r w:rsidR="00D8148E">
        <w:rPr>
          <w:b/>
          <w:bCs/>
          <w:color w:val="00B050"/>
        </w:rPr>
        <w:t>Pourquoi le diiode se dissout dans le cyclohexane et pas dans l’eau (</w:t>
      </w:r>
      <w:r w:rsidR="00D8148E" w:rsidRPr="00E12412">
        <w:rPr>
          <w:b/>
          <w:bCs/>
          <w:color w:val="00B050"/>
          <w:sz w:val="30"/>
          <w:szCs w:val="30"/>
        </w:rPr>
        <w:t>solubilité</w:t>
      </w:r>
      <w:r w:rsidR="00D8148E">
        <w:rPr>
          <w:b/>
          <w:bCs/>
          <w:color w:val="00B050"/>
        </w:rPr>
        <w:t xml:space="preserve"> du diiode) ? Pourquoi le cyclohexane</w:t>
      </w:r>
      <w:r w:rsidR="006868FF">
        <w:rPr>
          <w:b/>
          <w:bCs/>
          <w:color w:val="00B050"/>
        </w:rPr>
        <w:t xml:space="preserve"> (ou l’huile)</w:t>
      </w:r>
      <w:r w:rsidR="00D8148E">
        <w:rPr>
          <w:b/>
          <w:bCs/>
          <w:color w:val="00B050"/>
        </w:rPr>
        <w:t xml:space="preserve"> et l’eau ne se mélange</w:t>
      </w:r>
      <w:r w:rsidR="006868FF">
        <w:rPr>
          <w:b/>
          <w:bCs/>
          <w:color w:val="00B050"/>
        </w:rPr>
        <w:t>nt</w:t>
      </w:r>
      <w:r w:rsidR="00D8148E">
        <w:rPr>
          <w:b/>
          <w:bCs/>
          <w:color w:val="00B050"/>
        </w:rPr>
        <w:t xml:space="preserve"> pas (Non </w:t>
      </w:r>
      <w:r w:rsidR="00D8148E" w:rsidRPr="00E12412">
        <w:rPr>
          <w:b/>
          <w:bCs/>
          <w:color w:val="00B050"/>
          <w:sz w:val="30"/>
          <w:szCs w:val="30"/>
        </w:rPr>
        <w:t>miscibilité</w:t>
      </w:r>
      <w:r w:rsidR="00D8148E">
        <w:rPr>
          <w:b/>
          <w:bCs/>
          <w:color w:val="00B050"/>
        </w:rPr>
        <w:t xml:space="preserve"> de l’huile dans l’eau</w:t>
      </w:r>
      <w:r w:rsidR="006868FF">
        <w:rPr>
          <w:b/>
          <w:bCs/>
          <w:color w:val="00B050"/>
        </w:rPr>
        <w:t> ?</w:t>
      </w:r>
      <w:r w:rsidR="00D8148E">
        <w:rPr>
          <w:b/>
          <w:bCs/>
          <w:color w:val="00B050"/>
        </w:rPr>
        <w:t xml:space="preserve">). </w:t>
      </w:r>
    </w:p>
    <w:p w14:paraId="78BCC1F1" w14:textId="72B2EFB5" w:rsidR="00ED33F3" w:rsidRPr="00ED33F3" w:rsidRDefault="00ED33F3" w:rsidP="00ED33F3">
      <w:pPr>
        <w:numPr>
          <w:ilvl w:val="0"/>
          <w:numId w:val="0"/>
        </w:numPr>
        <w:ind w:left="1068"/>
        <w:rPr>
          <w:color w:val="C45911" w:themeColor="accent2" w:themeShade="BF"/>
        </w:rPr>
      </w:pPr>
      <w:r w:rsidRPr="00ED33F3">
        <w:rPr>
          <w:rFonts w:ascii="Arial" w:hAnsi="Arial" w:cs="Arial"/>
          <w:color w:val="C45911" w:themeColor="accent2" w:themeShade="BF"/>
          <w:sz w:val="21"/>
          <w:szCs w:val="21"/>
          <w:shd w:val="clear" w:color="auto" w:fill="FFFFFF"/>
        </w:rPr>
        <w:t>La </w:t>
      </w:r>
      <w:r w:rsidRPr="00ED33F3">
        <w:rPr>
          <w:rFonts w:ascii="Arial" w:hAnsi="Arial" w:cs="Arial"/>
          <w:b/>
          <w:bCs/>
          <w:color w:val="C45911" w:themeColor="accent2" w:themeShade="BF"/>
          <w:sz w:val="21"/>
          <w:szCs w:val="21"/>
          <w:shd w:val="clear" w:color="auto" w:fill="FFFFFF"/>
        </w:rPr>
        <w:t>miscibilité</w:t>
      </w:r>
      <w:r w:rsidRPr="00ED33F3">
        <w:rPr>
          <w:rFonts w:ascii="Arial" w:hAnsi="Arial" w:cs="Arial"/>
          <w:color w:val="C45911" w:themeColor="accent2" w:themeShade="BF"/>
          <w:sz w:val="21"/>
          <w:szCs w:val="21"/>
          <w:shd w:val="clear" w:color="auto" w:fill="FFFFFF"/>
        </w:rPr>
        <w:t> désigne usuellement la capacité de divers </w:t>
      </w:r>
      <w:hyperlink r:id="rId9" w:tooltip="Liquide" w:history="1">
        <w:r w:rsidRPr="00ED33F3">
          <w:rPr>
            <w:rStyle w:val="Hyperlink"/>
            <w:rFonts w:ascii="Arial" w:hAnsi="Arial" w:cs="Arial"/>
            <w:color w:val="C45911" w:themeColor="accent2" w:themeShade="BF"/>
            <w:sz w:val="21"/>
            <w:szCs w:val="21"/>
            <w:shd w:val="clear" w:color="auto" w:fill="FFFFFF"/>
          </w:rPr>
          <w:t>liquides</w:t>
        </w:r>
      </w:hyperlink>
      <w:r w:rsidRPr="00ED33F3">
        <w:rPr>
          <w:rFonts w:ascii="Arial" w:hAnsi="Arial" w:cs="Arial"/>
          <w:color w:val="C45911" w:themeColor="accent2" w:themeShade="BF"/>
          <w:sz w:val="21"/>
          <w:szCs w:val="21"/>
          <w:shd w:val="clear" w:color="auto" w:fill="FFFFFF"/>
        </w:rPr>
        <w:t> à former un mélange homogène (une </w:t>
      </w:r>
      <w:hyperlink r:id="rId10" w:tooltip="Solution (chimie)" w:history="1">
        <w:r w:rsidRPr="00ED33F3">
          <w:rPr>
            <w:rStyle w:val="Hyperlink"/>
            <w:rFonts w:ascii="Arial" w:hAnsi="Arial" w:cs="Arial"/>
            <w:color w:val="C45911" w:themeColor="accent2" w:themeShade="BF"/>
            <w:sz w:val="21"/>
            <w:szCs w:val="21"/>
            <w:shd w:val="clear" w:color="auto" w:fill="FFFFFF"/>
          </w:rPr>
          <w:t>solution liquide</w:t>
        </w:r>
      </w:hyperlink>
      <w:r w:rsidRPr="00ED33F3">
        <w:rPr>
          <w:rFonts w:ascii="Arial" w:hAnsi="Arial" w:cs="Arial"/>
          <w:color w:val="C45911" w:themeColor="accent2" w:themeShade="BF"/>
          <w:sz w:val="21"/>
          <w:szCs w:val="21"/>
          <w:shd w:val="clear" w:color="auto" w:fill="FFFFFF"/>
        </w:rPr>
        <w:t>)</w:t>
      </w:r>
    </w:p>
    <w:p w14:paraId="09C52357" w14:textId="314D35A6" w:rsidR="00EF1C84" w:rsidRDefault="00E10987" w:rsidP="00EF1C84">
      <w:r>
        <w:rPr>
          <w:b/>
          <w:bCs/>
        </w:rPr>
        <w:t xml:space="preserve">Objectif de cette leçon : </w:t>
      </w:r>
      <w:r>
        <w:t xml:space="preserve">Comprendre </w:t>
      </w:r>
      <w:r w:rsidR="006868FF">
        <w:t xml:space="preserve">à la lumière </w:t>
      </w:r>
      <w:r w:rsidR="0070311D">
        <w:t xml:space="preserve">de nos connaissances sur l’aspect microscopiques des molécules (polarité, </w:t>
      </w:r>
      <w:r w:rsidR="0072740D">
        <w:t>interaction de van der Waals, liaison hydrogène), les interactions macroscopiques entre solvant, et entre soluté et solvant. Et comment en tirer profit </w:t>
      </w:r>
      <w:r w:rsidR="00EF1C84">
        <w:t>pour faire de la chimie (</w:t>
      </w:r>
      <w:proofErr w:type="spellStart"/>
      <w:r w:rsidR="00EF1C84">
        <w:t>ie</w:t>
      </w:r>
      <w:proofErr w:type="spellEnd"/>
      <w:r w:rsidR="00EF1C84">
        <w:t xml:space="preserve"> application)</w:t>
      </w:r>
      <w:r w:rsidR="008D3446">
        <w:t xml:space="preserve"> </w:t>
      </w:r>
      <w:r w:rsidR="00EF1C84">
        <w:t xml:space="preserve">? </w:t>
      </w:r>
    </w:p>
    <w:p w14:paraId="516FCCA9" w14:textId="23148753" w:rsidR="00E704B4" w:rsidRPr="00E704B4" w:rsidRDefault="00E704B4" w:rsidP="00E704B4">
      <w:pPr>
        <w:numPr>
          <w:ilvl w:val="0"/>
          <w:numId w:val="0"/>
        </w:numPr>
      </w:pPr>
    </w:p>
    <w:p w14:paraId="63506B7B" w14:textId="36F6D3E8" w:rsidR="00F516C0" w:rsidRDefault="00284649" w:rsidP="00F516C0">
      <w:pPr>
        <w:pStyle w:val="Heading1"/>
      </w:pPr>
      <w:r>
        <w:t>La</w:t>
      </w:r>
      <w:r w:rsidR="00F516C0">
        <w:t xml:space="preserve"> dissolution</w:t>
      </w:r>
      <w:r>
        <w:t> : mécanisme et interactions</w:t>
      </w:r>
      <w:r w:rsidR="00F516C0">
        <w:t xml:space="preserve"> </w:t>
      </w:r>
    </w:p>
    <w:p w14:paraId="4CDD3EA9" w14:textId="49512806" w:rsidR="00284649" w:rsidRPr="00C85016" w:rsidRDefault="00284649" w:rsidP="00284649">
      <w:r>
        <w:rPr>
          <w:b/>
          <w:bCs/>
        </w:rPr>
        <w:t xml:space="preserve">Objectif : Révision qu’est-ce que la dissolution ? Que </w:t>
      </w:r>
      <w:r w:rsidR="009B63FC">
        <w:rPr>
          <w:b/>
          <w:bCs/>
        </w:rPr>
        <w:t>s</w:t>
      </w:r>
      <w:r>
        <w:rPr>
          <w:b/>
          <w:bCs/>
        </w:rPr>
        <w:t>’est-il passé lorsque j’ai dissous le diiode</w:t>
      </w:r>
      <w:r w:rsidR="008C5785">
        <w:rPr>
          <w:b/>
          <w:bCs/>
        </w:rPr>
        <w:t xml:space="preserve"> dans le cyclohexane</w:t>
      </w:r>
    </w:p>
    <w:p w14:paraId="43A6C430" w14:textId="362193FC" w:rsidR="00284649" w:rsidRPr="00284649" w:rsidRDefault="00284649" w:rsidP="00284649">
      <w:pPr>
        <w:pStyle w:val="Heading2"/>
      </w:pPr>
      <w:r>
        <w:t>Mécanisme de la dissolution</w:t>
      </w:r>
    </w:p>
    <w:p w14:paraId="30045568" w14:textId="77777777" w:rsidR="00C85016" w:rsidRPr="00F516C0" w:rsidRDefault="00C85016" w:rsidP="00C85016">
      <w:pPr>
        <w:numPr>
          <w:ilvl w:val="0"/>
          <w:numId w:val="0"/>
        </w:numPr>
        <w:ind w:left="1068" w:hanging="360"/>
      </w:pPr>
    </w:p>
    <w:p w14:paraId="7A5ED291" w14:textId="02B24385" w:rsidR="008D3446" w:rsidRDefault="00E704B4" w:rsidP="008D3446">
      <w:pPr>
        <w:numPr>
          <w:ilvl w:val="0"/>
          <w:numId w:val="0"/>
        </w:numPr>
        <w:ind w:left="1068"/>
      </w:pPr>
      <w:r>
        <w:t xml:space="preserve">Décrire les étapes de la dissolution : </w:t>
      </w:r>
      <w:r w:rsidR="00AF6383">
        <w:t>Le solvant est noté (</w:t>
      </w:r>
      <w:proofErr w:type="spellStart"/>
      <w:r w:rsidR="00AF6383">
        <w:t>solv</w:t>
      </w:r>
      <w:proofErr w:type="spellEnd"/>
      <w:r w:rsidR="00AF6383">
        <w:t>)</w:t>
      </w:r>
    </w:p>
    <w:p w14:paraId="418EC77C" w14:textId="7B477A09" w:rsidR="00E704B4" w:rsidRDefault="00E704B4" w:rsidP="00E704B4">
      <w:pPr>
        <w:pStyle w:val="ListParagraph"/>
        <w:numPr>
          <w:ilvl w:val="0"/>
          <w:numId w:val="14"/>
        </w:numPr>
      </w:pPr>
      <w:r w:rsidRPr="00E704B4">
        <w:rPr>
          <w:b/>
          <w:bCs/>
          <w:lang w:val="en-US"/>
        </w:rPr>
        <w:t>Solvatation</w:t>
      </w:r>
      <w:r w:rsidRPr="00E704B4">
        <w:rPr>
          <w:lang w:val="en-US"/>
        </w:rPr>
        <w:t> : H-Cl (g) = H</w:t>
      </w:r>
      <w:r>
        <w:rPr>
          <w:lang w:val="en-US"/>
        </w:rPr>
        <w:t>-Cl (</w:t>
      </w:r>
      <w:proofErr w:type="spellStart"/>
      <w:r>
        <w:rPr>
          <w:lang w:val="en-US"/>
        </w:rPr>
        <w:t>solv</w:t>
      </w:r>
      <w:proofErr w:type="spellEnd"/>
      <w:r>
        <w:rPr>
          <w:lang w:val="en-US"/>
        </w:rPr>
        <w:t xml:space="preserve">) . </w:t>
      </w:r>
      <w:r w:rsidRPr="00E704B4">
        <w:t>Nécessite que les mol</w:t>
      </w:r>
      <w:r w:rsidR="00041608">
        <w:t>é</w:t>
      </w:r>
      <w:r w:rsidRPr="00E704B4">
        <w:t>cules p</w:t>
      </w:r>
      <w:r>
        <w:t>réfèrent être entouré de solvant que d’être sous forme de gaz. L’énergie d’interaction est favorable à la solvatation</w:t>
      </w:r>
      <w:r w:rsidR="009B63FC">
        <w:t>.</w:t>
      </w:r>
    </w:p>
    <w:p w14:paraId="601196E5" w14:textId="219E717B" w:rsidR="00E704B4" w:rsidRDefault="00E704B4" w:rsidP="00E704B4">
      <w:pPr>
        <w:pStyle w:val="ListParagraph"/>
        <w:numPr>
          <w:ilvl w:val="0"/>
          <w:numId w:val="14"/>
        </w:numPr>
      </w:pPr>
      <w:r w:rsidRPr="00E704B4">
        <w:rPr>
          <w:b/>
          <w:bCs/>
        </w:rPr>
        <w:t>Ionisation</w:t>
      </w:r>
      <w:r w:rsidRPr="00E704B4">
        <w:t> : H-Cl (</w:t>
      </w:r>
      <w:proofErr w:type="spellStart"/>
      <w:r w:rsidRPr="00E704B4">
        <w:t>solv</w:t>
      </w:r>
      <w:proofErr w:type="spellEnd"/>
      <w:r w:rsidRPr="00E704B4">
        <w:t>) = (</w:t>
      </w:r>
      <w:proofErr w:type="spellStart"/>
      <w:r w:rsidRPr="00E704B4">
        <w:t>H+Cl</w:t>
      </w:r>
      <w:proofErr w:type="spellEnd"/>
      <w:r w:rsidRPr="00E704B4">
        <w:t>-) (</w:t>
      </w:r>
      <w:proofErr w:type="spellStart"/>
      <w:r w:rsidRPr="00E704B4">
        <w:t>solv</w:t>
      </w:r>
      <w:proofErr w:type="spellEnd"/>
      <w:r w:rsidRPr="00E704B4">
        <w:t>) Formation d’une pa</w:t>
      </w:r>
      <w:r>
        <w:t>ire d’ion</w:t>
      </w:r>
      <w:r w:rsidR="00281584">
        <w:t>s</w:t>
      </w:r>
      <w:r>
        <w:t xml:space="preserve"> entouré</w:t>
      </w:r>
      <w:r w:rsidR="00281584">
        <w:t>e</w:t>
      </w:r>
      <w:r>
        <w:t xml:space="preserve"> de solvant. </w:t>
      </w:r>
      <w:r w:rsidR="00281584">
        <w:t xml:space="preserve">Capacité du solvant à ioniser l’espèce solvaté </w:t>
      </w:r>
      <w:r w:rsidR="00281584">
        <w:sym w:font="Wingdings" w:char="F0E8"/>
      </w:r>
      <w:r w:rsidR="00281584">
        <w:t>(</w:t>
      </w:r>
      <w:proofErr w:type="spellStart"/>
      <w:r w:rsidR="00281584">
        <w:t>spoil</w:t>
      </w:r>
      <w:proofErr w:type="spellEnd"/>
      <w:r w:rsidR="00281584">
        <w:t> : lien avec moment dipolaire)</w:t>
      </w:r>
      <w:r w:rsidR="002B353D">
        <w:t xml:space="preserve"> solvant </w:t>
      </w:r>
      <w:r w:rsidR="002B353D" w:rsidRPr="002B353D">
        <w:rPr>
          <w:b/>
          <w:bCs/>
        </w:rPr>
        <w:t>ionisant</w:t>
      </w:r>
    </w:p>
    <w:p w14:paraId="4EDCD2DF" w14:textId="707CFA13" w:rsidR="00281584" w:rsidRDefault="00281584" w:rsidP="00E704B4">
      <w:pPr>
        <w:pStyle w:val="ListParagraph"/>
        <w:numPr>
          <w:ilvl w:val="0"/>
          <w:numId w:val="14"/>
        </w:numPr>
        <w:rPr>
          <w:b/>
          <w:bCs/>
        </w:rPr>
      </w:pPr>
      <w:r w:rsidRPr="00281584">
        <w:rPr>
          <w:b/>
          <w:bCs/>
          <w:lang w:val="en-US"/>
        </w:rPr>
        <w:t xml:space="preserve">Dispersion : </w:t>
      </w:r>
      <w:r w:rsidRPr="00281584">
        <w:rPr>
          <w:lang w:val="en-US"/>
        </w:rPr>
        <w:t>(</w:t>
      </w:r>
      <w:proofErr w:type="spellStart"/>
      <w:r w:rsidRPr="00281584">
        <w:rPr>
          <w:lang w:val="en-US"/>
        </w:rPr>
        <w:t>H+Cl</w:t>
      </w:r>
      <w:proofErr w:type="spellEnd"/>
      <w:r w:rsidRPr="00281584">
        <w:rPr>
          <w:lang w:val="en-US"/>
        </w:rPr>
        <w:t>-) (</w:t>
      </w:r>
      <w:proofErr w:type="spellStart"/>
      <w:r w:rsidRPr="00281584">
        <w:rPr>
          <w:lang w:val="en-US"/>
        </w:rPr>
        <w:t>solv</w:t>
      </w:r>
      <w:proofErr w:type="spellEnd"/>
      <w:r w:rsidRPr="00281584">
        <w:rPr>
          <w:lang w:val="en-US"/>
        </w:rPr>
        <w:t>) = (H</w:t>
      </w:r>
      <w:r>
        <w:rPr>
          <w:lang w:val="en-US"/>
        </w:rPr>
        <w:t>+)(</w:t>
      </w:r>
      <w:proofErr w:type="spellStart"/>
      <w:r>
        <w:rPr>
          <w:lang w:val="en-US"/>
        </w:rPr>
        <w:t>solv</w:t>
      </w:r>
      <w:proofErr w:type="spellEnd"/>
      <w:r>
        <w:rPr>
          <w:lang w:val="en-US"/>
        </w:rPr>
        <w:t>) + (Cl-)(</w:t>
      </w:r>
      <w:proofErr w:type="spellStart"/>
      <w:r>
        <w:rPr>
          <w:lang w:val="en-US"/>
        </w:rPr>
        <w:t>solv</w:t>
      </w:r>
      <w:proofErr w:type="spellEnd"/>
      <w:r>
        <w:rPr>
          <w:lang w:val="en-US"/>
        </w:rPr>
        <w:t>)</w:t>
      </w:r>
      <w:r w:rsidR="00AF6383">
        <w:rPr>
          <w:lang w:val="en-US"/>
        </w:rPr>
        <w:t xml:space="preserve">. </w:t>
      </w:r>
      <w:r w:rsidR="00AF6383" w:rsidRPr="00AF6383">
        <w:t>Capacité du solv</w:t>
      </w:r>
      <w:r w:rsidR="00041608">
        <w:t>a</w:t>
      </w:r>
      <w:r w:rsidR="00AF6383" w:rsidRPr="00AF6383">
        <w:t>nt à d</w:t>
      </w:r>
      <w:r w:rsidR="00AF6383">
        <w:t>isperser la pair</w:t>
      </w:r>
      <w:r w:rsidR="00284649">
        <w:t>e</w:t>
      </w:r>
      <w:r w:rsidR="00AF6383">
        <w:t xml:space="preserve"> d’ion</w:t>
      </w:r>
      <w:r w:rsidR="00284649">
        <w:t>s</w:t>
      </w:r>
      <w:r w:rsidR="00AF6383">
        <w:t xml:space="preserve">. On parlera de solvant </w:t>
      </w:r>
      <w:r w:rsidR="00AF6383">
        <w:rPr>
          <w:b/>
          <w:bCs/>
        </w:rPr>
        <w:t>dissociant.</w:t>
      </w:r>
    </w:p>
    <w:p w14:paraId="0592A411" w14:textId="59CE4AC0" w:rsidR="00473C35" w:rsidRDefault="00473C35" w:rsidP="00473C35">
      <w:pPr>
        <w:pStyle w:val="Heading2"/>
      </w:pPr>
      <w:r>
        <w:t>Caractéristique des solvants</w:t>
      </w:r>
    </w:p>
    <w:p w14:paraId="5A16A0E8" w14:textId="5B0C0048" w:rsidR="00473C35" w:rsidRDefault="00580803" w:rsidP="00473C35">
      <w:pPr>
        <w:numPr>
          <w:ilvl w:val="0"/>
          <w:numId w:val="0"/>
        </w:numPr>
        <w:ind w:left="1068"/>
      </w:pPr>
      <w:r>
        <w:t xml:space="preserve">Présenter les caractéristiques des solvants permettant d’expliquer les différentes étapes du mécanisme précédent. </w:t>
      </w:r>
    </w:p>
    <w:p w14:paraId="4068FF83" w14:textId="1CD8A98E" w:rsidR="002B2BF4" w:rsidRPr="002B2BF4" w:rsidRDefault="00580803" w:rsidP="00580803">
      <w:pPr>
        <w:rPr>
          <w:b/>
          <w:bCs/>
        </w:rPr>
      </w:pPr>
      <w:r w:rsidRPr="00580803">
        <w:rPr>
          <w:b/>
          <w:bCs/>
        </w:rPr>
        <w:t>Polarité :</w:t>
      </w:r>
      <w:r>
        <w:rPr>
          <w:b/>
          <w:bCs/>
        </w:rPr>
        <w:t xml:space="preserve"> </w:t>
      </w:r>
      <w:r>
        <w:t>Rappel moment dipolaire, électronégativité</w:t>
      </w:r>
      <w:r w:rsidRPr="00AF5C92">
        <w:rPr>
          <w:b/>
          <w:bCs/>
          <w:color w:val="00B050"/>
        </w:rPr>
        <w:t xml:space="preserve">. </w:t>
      </w:r>
      <w:r w:rsidR="007B3761" w:rsidRPr="00AF5C92">
        <w:rPr>
          <w:b/>
          <w:bCs/>
          <w:color w:val="00B050"/>
        </w:rPr>
        <w:t>Exemple : de l’eau, de l’acides gras, du cyc</w:t>
      </w:r>
      <w:r w:rsidR="002B2BF4" w:rsidRPr="00AF5C92">
        <w:rPr>
          <w:b/>
          <w:bCs/>
          <w:color w:val="00B050"/>
        </w:rPr>
        <w:t>l</w:t>
      </w:r>
      <w:r w:rsidR="007B3761" w:rsidRPr="00AF5C92">
        <w:rPr>
          <w:b/>
          <w:bCs/>
          <w:color w:val="00B050"/>
        </w:rPr>
        <w:t>ohexane</w:t>
      </w:r>
      <w:r w:rsidR="005C4C65" w:rsidRPr="00AF5C92">
        <w:rPr>
          <w:b/>
          <w:bCs/>
          <w:color w:val="00B050"/>
        </w:rPr>
        <w:t>.</w:t>
      </w:r>
      <w:r w:rsidR="00FA5CAE">
        <w:t xml:space="preserve"> Interaction favorable entre le pôle + H+ et le </w:t>
      </w:r>
      <w:r w:rsidR="00FA5CAE" w:rsidRPr="00C5771C">
        <w:rPr>
          <w:b/>
          <w:bCs/>
        </w:rPr>
        <w:t>solvant polaire</w:t>
      </w:r>
      <w:r w:rsidR="00C5771C">
        <w:rPr>
          <w:b/>
          <w:bCs/>
        </w:rPr>
        <w:t xml:space="preserve"> (terme important)</w:t>
      </w:r>
      <w:r w:rsidR="00FA5CAE">
        <w:t xml:space="preserve"> et le </w:t>
      </w:r>
      <w:proofErr w:type="spellStart"/>
      <w:r w:rsidR="00FA5CAE">
        <w:t>pole</w:t>
      </w:r>
      <w:proofErr w:type="spellEnd"/>
      <w:r w:rsidR="00FA5CAE">
        <w:t xml:space="preserve"> – et le solvant polaire. </w:t>
      </w:r>
      <w:r w:rsidR="00FA5CAE">
        <w:sym w:font="Wingdings" w:char="F0E8"/>
      </w:r>
      <w:r w:rsidR="00FA5CAE">
        <w:t xml:space="preserve"> </w:t>
      </w:r>
      <w:r w:rsidR="00C353D4">
        <w:t>Affaiblissement</w:t>
      </w:r>
      <w:r w:rsidR="00FA5CAE">
        <w:t xml:space="preserve"> de la liaison</w:t>
      </w:r>
      <w:r w:rsidR="00C353D4">
        <w:t xml:space="preserve"> covalente et formation de la paire d’ions. </w:t>
      </w:r>
      <w:r w:rsidR="00FA5CAE">
        <w:t xml:space="preserve"> </w:t>
      </w:r>
    </w:p>
    <w:p w14:paraId="7673B3A7" w14:textId="226A3EB3" w:rsidR="00580803" w:rsidRDefault="00A2057A" w:rsidP="00580803">
      <w:pPr>
        <w:rPr>
          <w:b/>
          <w:bCs/>
        </w:rPr>
      </w:pPr>
      <w:r>
        <w:rPr>
          <w:b/>
          <w:bCs/>
        </w:rPr>
        <w:t>Permittivité relative</w:t>
      </w:r>
      <w:r w:rsidR="002B353D">
        <w:rPr>
          <w:b/>
          <w:bCs/>
        </w:rPr>
        <w:t> :</w:t>
      </w:r>
      <w:r w:rsidR="00C353D4">
        <w:rPr>
          <w:b/>
          <w:bCs/>
        </w:rPr>
        <w:t xml:space="preserve"> </w:t>
      </w:r>
      <m:oMath>
        <m:r>
          <m:rPr>
            <m:sty m:val="bi"/>
          </m:rPr>
          <w:rPr>
            <w:rFonts w:ascii="Cambria Math" w:hAnsi="Cambria Math"/>
          </w:rPr>
          <m:t>U</m:t>
        </m:r>
        <m:d>
          <m:dPr>
            <m:ctrlPr>
              <w:rPr>
                <w:rFonts w:ascii="Cambria Math" w:hAnsi="Cambria Math"/>
                <w:b/>
                <w:bCs/>
                <w:i/>
              </w:rPr>
            </m:ctrlPr>
          </m:dPr>
          <m:e>
            <m:r>
              <m:rPr>
                <m:sty m:val="bi"/>
              </m:rPr>
              <w:rPr>
                <w:rFonts w:ascii="Cambria Math" w:hAnsi="Cambria Math"/>
              </w:rPr>
              <m:t>r</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2</m:t>
                </m:r>
              </m:sup>
            </m:sSup>
          </m:num>
          <m:den>
            <m:r>
              <m:rPr>
                <m:sty m:val="bi"/>
              </m:rPr>
              <w:rPr>
                <w:rFonts w:ascii="Cambria Math" w:hAnsi="Cambria Math"/>
              </w:rPr>
              <m:t>4</m:t>
            </m:r>
            <m:r>
              <m:rPr>
                <m:sty m:val="bi"/>
              </m:rPr>
              <w:rPr>
                <w:rFonts w:ascii="Cambria Math" w:hAnsi="Cambria Math"/>
              </w:rPr>
              <m:t>π</m:t>
            </m:r>
            <m:sSub>
              <m:sSubPr>
                <m:ctrlPr>
                  <w:rPr>
                    <w:rFonts w:ascii="Cambria Math" w:hAnsi="Cambria Math"/>
                    <w:b/>
                    <w:bCs/>
                    <w:i/>
                  </w:rPr>
                </m:ctrlPr>
              </m:sSubPr>
              <m:e>
                <m:r>
                  <m:rPr>
                    <m:sty m:val="bi"/>
                  </m:rPr>
                  <w:rPr>
                    <w:rFonts w:ascii="Cambria Math" w:hAnsi="Cambria Math"/>
                  </w:rPr>
                  <m:t>ϵ</m:t>
                </m:r>
              </m:e>
              <m:sub>
                <m:r>
                  <m:rPr>
                    <m:sty m:val="bi"/>
                  </m:rPr>
                  <w:rPr>
                    <w:rFonts w:ascii="Cambria Math" w:hAnsi="Cambria Math"/>
                  </w:rPr>
                  <m:t>0</m:t>
                </m:r>
              </m:sub>
            </m:sSub>
            <m:sSub>
              <m:sSubPr>
                <m:ctrlPr>
                  <w:rPr>
                    <w:rFonts w:ascii="Cambria Math" w:hAnsi="Cambria Math"/>
                    <w:b/>
                    <w:bCs/>
                    <w:i/>
                  </w:rPr>
                </m:ctrlPr>
              </m:sSubPr>
              <m:e>
                <m:r>
                  <m:rPr>
                    <m:sty m:val="bi"/>
                  </m:rPr>
                  <w:rPr>
                    <w:rFonts w:ascii="Cambria Math" w:hAnsi="Cambria Math"/>
                  </w:rPr>
                  <m:t>ϵ</m:t>
                </m:r>
              </m:e>
              <m:sub>
                <m:r>
                  <m:rPr>
                    <m:sty m:val="bi"/>
                  </m:rPr>
                  <w:rPr>
                    <w:rFonts w:ascii="Cambria Math" w:hAnsi="Cambria Math"/>
                  </w:rPr>
                  <m:t>r</m:t>
                </m:r>
              </m:sub>
            </m:sSub>
            <m:r>
              <m:rPr>
                <m:sty m:val="bi"/>
              </m:rPr>
              <w:rPr>
                <w:rFonts w:ascii="Cambria Math" w:hAnsi="Cambria Math"/>
              </w:rPr>
              <m:t>r</m:t>
            </m:r>
          </m:den>
        </m:f>
      </m:oMath>
      <w:r w:rsidR="00364CD9">
        <w:rPr>
          <w:rFonts w:eastAsiaTheme="minorEastAsia"/>
          <w:b/>
          <w:bCs/>
        </w:rPr>
        <w:t xml:space="preserve"> (cas H-Cl)</w:t>
      </w:r>
      <w:r w:rsidR="00997D94">
        <w:rPr>
          <w:rFonts w:eastAsiaTheme="minorEastAsia"/>
          <w:b/>
          <w:bCs/>
        </w:rPr>
        <w:t xml:space="preserve">. </w:t>
      </w:r>
      <w:r w:rsidR="00364CD9">
        <w:rPr>
          <w:rFonts w:eastAsiaTheme="minorEastAsia"/>
        </w:rPr>
        <w:t>La stabilité de la pair</w:t>
      </w:r>
      <w:r w:rsidR="00911F6D">
        <w:rPr>
          <w:rFonts w:eastAsiaTheme="minorEastAsia"/>
        </w:rPr>
        <w:t>e</w:t>
      </w:r>
      <w:r w:rsidR="00364CD9">
        <w:rPr>
          <w:rFonts w:eastAsiaTheme="minorEastAsia"/>
        </w:rPr>
        <w:t xml:space="preserve"> d’ion</w:t>
      </w:r>
      <w:r w:rsidR="00911F6D">
        <w:rPr>
          <w:rFonts w:eastAsiaTheme="minorEastAsia"/>
        </w:rPr>
        <w:t>s</w:t>
      </w:r>
      <w:r w:rsidR="00364CD9">
        <w:rPr>
          <w:rFonts w:eastAsiaTheme="minorEastAsia"/>
        </w:rPr>
        <w:t xml:space="preserve"> repose sur les interactions </w:t>
      </w:r>
      <w:r w:rsidR="00911F6D">
        <w:rPr>
          <w:rFonts w:eastAsiaTheme="minorEastAsia"/>
        </w:rPr>
        <w:t>é</w:t>
      </w:r>
      <w:r w:rsidR="00364CD9">
        <w:rPr>
          <w:rFonts w:eastAsiaTheme="minorEastAsia"/>
        </w:rPr>
        <w:t>lectrostatiques attractive</w:t>
      </w:r>
      <w:r w:rsidR="00911F6D">
        <w:rPr>
          <w:rFonts w:eastAsiaTheme="minorEastAsia"/>
        </w:rPr>
        <w:t>s</w:t>
      </w:r>
      <w:r w:rsidR="00364CD9">
        <w:rPr>
          <w:rFonts w:eastAsiaTheme="minorEastAsia"/>
        </w:rPr>
        <w:t xml:space="preserve"> entre les deux ions.</w:t>
      </w:r>
      <w:r w:rsidR="000B1443">
        <w:rPr>
          <w:rFonts w:eastAsiaTheme="minorEastAsia"/>
        </w:rPr>
        <w:t xml:space="preserve"> Plus la permittivité est grande, plus l’int</w:t>
      </w:r>
      <w:r w:rsidR="005D64B3">
        <w:rPr>
          <w:rFonts w:eastAsiaTheme="minorEastAsia"/>
        </w:rPr>
        <w:t>e</w:t>
      </w:r>
      <w:r w:rsidR="000B1443">
        <w:rPr>
          <w:rFonts w:eastAsiaTheme="minorEastAsia"/>
        </w:rPr>
        <w:t xml:space="preserve">raction est faible. </w:t>
      </w:r>
      <w:r w:rsidR="00C279FE">
        <w:rPr>
          <w:rFonts w:eastAsiaTheme="minorEastAsia"/>
        </w:rPr>
        <w:t>Cette constante</w:t>
      </w:r>
      <w:r w:rsidR="00364CD9">
        <w:rPr>
          <w:rFonts w:eastAsiaTheme="minorEastAsia"/>
        </w:rPr>
        <w:t xml:space="preserve"> </w:t>
      </w:r>
      <w:r w:rsidR="00C279FE">
        <w:rPr>
          <w:b/>
          <w:bCs/>
        </w:rPr>
        <w:t xml:space="preserve">(sans unité) </w:t>
      </w:r>
      <w:r w:rsidR="00C279FE">
        <w:t xml:space="preserve">atténue l’énergie d’interaction entre deux ions et donc un solvant ayant une haute permittivité (ex eau) facilite la dissociation des pairs d’ions. </w:t>
      </w:r>
      <w:r w:rsidR="00544647">
        <w:t xml:space="preserve">Le solvant est </w:t>
      </w:r>
      <w:r w:rsidR="00544647">
        <w:rPr>
          <w:b/>
          <w:bCs/>
        </w:rPr>
        <w:t xml:space="preserve">dissociant. </w:t>
      </w:r>
      <w:r w:rsidR="0059418F">
        <w:t>Voici ci-dessous un tableau récapitulant les propriétés ionisante</w:t>
      </w:r>
      <w:r w:rsidR="00ED33F3">
        <w:t>s</w:t>
      </w:r>
      <w:r w:rsidR="0059418F">
        <w:t xml:space="preserve"> et </w:t>
      </w:r>
      <w:proofErr w:type="spellStart"/>
      <w:r w:rsidR="0059418F">
        <w:t>dissociante</w:t>
      </w:r>
      <w:r w:rsidR="00ED33F3">
        <w:t>s</w:t>
      </w:r>
      <w:proofErr w:type="spellEnd"/>
      <w:r w:rsidR="0059418F">
        <w:t xml:space="preserve"> des solvants.</w:t>
      </w:r>
    </w:p>
    <w:p w14:paraId="1301AE00" w14:textId="7A6B3451" w:rsidR="00455173" w:rsidRDefault="00342BBC" w:rsidP="00342BBC">
      <w:pPr>
        <w:rPr>
          <w:b/>
          <w:bCs/>
        </w:rPr>
      </w:pPr>
      <w:r>
        <w:rPr>
          <w:noProof/>
        </w:rPr>
        <w:lastRenderedPageBreak/>
        <w:drawing>
          <wp:anchor distT="0" distB="0" distL="114300" distR="114300" simplePos="0" relativeHeight="251659264" behindDoc="0" locked="0" layoutInCell="1" allowOverlap="1" wp14:anchorId="3FEA682D" wp14:editId="00977244">
            <wp:simplePos x="0" y="0"/>
            <wp:positionH relativeFrom="margin">
              <wp:posOffset>1393825</wp:posOffset>
            </wp:positionH>
            <wp:positionV relativeFrom="paragraph">
              <wp:posOffset>-6797040</wp:posOffset>
            </wp:positionV>
            <wp:extent cx="3418840" cy="18732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18840" cy="18732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55173">
        <w:rPr>
          <w:b/>
          <w:bCs/>
        </w:rPr>
        <w:t>Proticité</w:t>
      </w:r>
      <w:proofErr w:type="spellEnd"/>
      <w:r w:rsidR="00455173">
        <w:rPr>
          <w:b/>
          <w:bCs/>
        </w:rPr>
        <w:t xml:space="preserve"> : </w:t>
      </w:r>
      <w:r w:rsidR="000D515F">
        <w:t>Solvant apte à former des liaisons hydrogènes. (</w:t>
      </w:r>
      <w:r w:rsidR="00066776">
        <w:t>Éthanol</w:t>
      </w:r>
      <w:r w:rsidR="000D515F">
        <w:t>, eau)</w:t>
      </w:r>
      <w:r w:rsidR="00C5771C">
        <w:t xml:space="preserve">. On parle de solvant </w:t>
      </w:r>
      <w:r w:rsidR="00C5771C" w:rsidRPr="00C5771C">
        <w:rPr>
          <w:b/>
          <w:bCs/>
        </w:rPr>
        <w:t>protique et aprotique</w:t>
      </w:r>
      <w:r w:rsidR="00C5771C">
        <w:rPr>
          <w:b/>
          <w:bCs/>
        </w:rPr>
        <w:t xml:space="preserve"> (terme important)</w:t>
      </w:r>
      <w:r w:rsidR="00AF5C92">
        <w:rPr>
          <w:b/>
          <w:bCs/>
        </w:rPr>
        <w:t xml:space="preserve">. </w:t>
      </w:r>
      <w:r w:rsidR="00AF5C92">
        <w:rPr>
          <w:b/>
          <w:bCs/>
          <w:color w:val="00B050"/>
        </w:rPr>
        <w:t xml:space="preserve">Ex : </w:t>
      </w:r>
      <w:r w:rsidR="00D44A3F">
        <w:rPr>
          <w:b/>
          <w:bCs/>
          <w:color w:val="00B050"/>
        </w:rPr>
        <w:t xml:space="preserve">protique : </w:t>
      </w:r>
      <w:r w:rsidR="00AF5C92">
        <w:rPr>
          <w:b/>
          <w:bCs/>
          <w:color w:val="00B050"/>
        </w:rPr>
        <w:t xml:space="preserve">eau, alcool, acide carboxylique. </w:t>
      </w:r>
      <w:r w:rsidR="00D44A3F">
        <w:rPr>
          <w:b/>
          <w:bCs/>
          <w:color w:val="00B050"/>
        </w:rPr>
        <w:t xml:space="preserve"> Ex : aprotique : </w:t>
      </w:r>
    </w:p>
    <w:p w14:paraId="0C225DEA" w14:textId="39F829DF" w:rsidR="00962EAC" w:rsidRPr="00580803" w:rsidRDefault="00962EAC" w:rsidP="00962EAC">
      <w:r>
        <w:rPr>
          <w:b/>
          <w:bCs/>
        </w:rPr>
        <w:t>Chimie verte </w:t>
      </w:r>
      <w:r w:rsidR="007C5458">
        <w:rPr>
          <w:b/>
          <w:bCs/>
        </w:rPr>
        <w:t>(p272 Fosset MPSI Chapitre Forces intermoléculaires §2.5)</w:t>
      </w:r>
      <w:r>
        <w:rPr>
          <w:b/>
          <w:bCs/>
        </w:rPr>
        <w:t xml:space="preserve">: </w:t>
      </w:r>
    </w:p>
    <w:p w14:paraId="60CEADBA" w14:textId="7C47E7FA" w:rsidR="00473C35" w:rsidRPr="00473C35" w:rsidRDefault="00473C35" w:rsidP="00580803">
      <w:pPr>
        <w:numPr>
          <w:ilvl w:val="0"/>
          <w:numId w:val="0"/>
        </w:numPr>
        <w:ind w:left="1068"/>
      </w:pPr>
    </w:p>
    <w:p w14:paraId="4BBB153A" w14:textId="50EE6EDA" w:rsidR="00041608" w:rsidRDefault="00066776" w:rsidP="00877B6A">
      <w:pPr>
        <w:pStyle w:val="Heading1"/>
      </w:pPr>
      <w:r>
        <w:t>Solubilité et Miscibilité ? Règle de similitude</w:t>
      </w:r>
    </w:p>
    <w:p w14:paraId="661F8A51" w14:textId="77777777" w:rsidR="00C5771C" w:rsidRPr="00C5771C" w:rsidRDefault="00C5771C" w:rsidP="00C5771C">
      <w:pPr>
        <w:numPr>
          <w:ilvl w:val="0"/>
          <w:numId w:val="0"/>
        </w:numPr>
        <w:ind w:left="1068"/>
      </w:pPr>
    </w:p>
    <w:p w14:paraId="457A62EA" w14:textId="30B766F7" w:rsidR="00066776" w:rsidRDefault="000C650C" w:rsidP="00BC5AEC">
      <w:pPr>
        <w:pStyle w:val="Heading2"/>
        <w:numPr>
          <w:ilvl w:val="0"/>
          <w:numId w:val="15"/>
        </w:numPr>
      </w:pPr>
      <w:r>
        <w:t xml:space="preserve">Exemple : </w:t>
      </w:r>
      <w:r w:rsidR="00BC5AEC">
        <w:t xml:space="preserve">Solvatation des ions : </w:t>
      </w:r>
    </w:p>
    <w:p w14:paraId="0B8DFACB" w14:textId="276FE0CD" w:rsidR="00340658" w:rsidRDefault="00340658" w:rsidP="00340658">
      <w:r>
        <w:t>Exemple de l’eau : dissociant et dispersant.  Faire dessin pour expliquer que l’eau dissout bien les anions et cations. Interaction ion dip</w:t>
      </w:r>
      <w:r w:rsidR="00A509BF">
        <w:t>ô</w:t>
      </w:r>
      <w:r>
        <w:t>le</w:t>
      </w:r>
      <w:r w:rsidR="000C650C">
        <w:t>. En plus liaisons hydrogène entre anion et H de H2O</w:t>
      </w:r>
    </w:p>
    <w:p w14:paraId="58D0678D" w14:textId="4B1691E5" w:rsidR="00340658" w:rsidRDefault="00340658" w:rsidP="00340658">
      <w:r>
        <w:t xml:space="preserve">Exemple d’un autre solvant polaire. DMSO solvate bien les cations mais gène stérique sur les anions. </w:t>
      </w:r>
    </w:p>
    <w:p w14:paraId="3BE7DB07" w14:textId="223750E9" w:rsidR="00C77FBD" w:rsidRDefault="00C77FBD" w:rsidP="00340658">
      <w:r>
        <w:t xml:space="preserve">Solvant apolaire : solvate peu les ions. </w:t>
      </w:r>
      <w:r w:rsidR="003A4521">
        <w:t>Exemple sel dans cyclohexane</w:t>
      </w:r>
    </w:p>
    <w:p w14:paraId="3F27C7F9" w14:textId="554D35DB" w:rsidR="00A509BF" w:rsidRDefault="000C650C" w:rsidP="00A509BF">
      <w:pPr>
        <w:pStyle w:val="Heading2"/>
      </w:pPr>
      <w:r>
        <w:t>Règle de similitude</w:t>
      </w:r>
    </w:p>
    <w:p w14:paraId="0E17F22C" w14:textId="1A77CA1A" w:rsidR="00840704" w:rsidRPr="00840704" w:rsidRDefault="00840704" w:rsidP="00840704">
      <w:pPr>
        <w:numPr>
          <w:ilvl w:val="0"/>
          <w:numId w:val="0"/>
        </w:numPr>
        <w:ind w:left="1068"/>
      </w:pPr>
    </w:p>
    <w:p w14:paraId="21DCC2EA" w14:textId="00910EDB" w:rsidR="000C650C" w:rsidRPr="0015463B" w:rsidRDefault="000C650C" w:rsidP="000C650C">
      <w:pPr>
        <w:numPr>
          <w:ilvl w:val="0"/>
          <w:numId w:val="0"/>
        </w:numPr>
        <w:ind w:left="1068"/>
        <w:rPr>
          <w:color w:val="FF0000"/>
        </w:rPr>
      </w:pPr>
      <w:r w:rsidRPr="0015463B">
        <w:rPr>
          <w:color w:val="FF0000"/>
        </w:rPr>
        <w:t>§2.3 Solubilité d’un constituant</w:t>
      </w:r>
    </w:p>
    <w:p w14:paraId="57F39F01" w14:textId="6E9F4E99" w:rsidR="00840704" w:rsidRPr="00840704" w:rsidRDefault="00840704" w:rsidP="00840704">
      <w:pPr>
        <w:rPr>
          <w:b/>
          <w:bCs/>
        </w:rPr>
      </w:pPr>
      <w:r w:rsidRPr="00840704">
        <w:rPr>
          <w:b/>
          <w:bCs/>
        </w:rPr>
        <w:t>Cas soluté solvant :</w:t>
      </w:r>
    </w:p>
    <w:p w14:paraId="34E1894E" w14:textId="0B0457F5" w:rsidR="000C650C" w:rsidRDefault="000C650C" w:rsidP="000C650C">
      <w:pPr>
        <w:numPr>
          <w:ilvl w:val="0"/>
          <w:numId w:val="0"/>
        </w:numPr>
        <w:ind w:left="1068"/>
      </w:pPr>
      <w:r>
        <w:t>Exemple : I</w:t>
      </w:r>
      <w:r>
        <w:rPr>
          <w:vertAlign w:val="subscript"/>
        </w:rPr>
        <w:t>2</w:t>
      </w:r>
      <w:r>
        <w:t xml:space="preserve"> dans cyclohexane. Et pas dans l’eau. </w:t>
      </w:r>
    </w:p>
    <w:p w14:paraId="139206F5" w14:textId="77777777" w:rsidR="00840704" w:rsidRPr="00840704" w:rsidRDefault="00840704" w:rsidP="00840704">
      <w:pPr>
        <w:rPr>
          <w:b/>
          <w:bCs/>
        </w:rPr>
      </w:pPr>
      <w:r w:rsidRPr="00840704">
        <w:rPr>
          <w:b/>
          <w:bCs/>
        </w:rPr>
        <w:t>Miscibilité :</w:t>
      </w:r>
      <w:r>
        <w:rPr>
          <w:b/>
          <w:bCs/>
        </w:rPr>
        <w:t xml:space="preserve"> </w:t>
      </w:r>
      <w:r w:rsidRPr="00840704">
        <w:rPr>
          <w:b/>
          <w:bCs/>
        </w:rPr>
        <w:t xml:space="preserve"> </w:t>
      </w:r>
    </w:p>
    <w:p w14:paraId="40AEF8F8" w14:textId="339B1FFD" w:rsidR="00840704" w:rsidRDefault="00840704" w:rsidP="000C650C">
      <w:pPr>
        <w:numPr>
          <w:ilvl w:val="0"/>
          <w:numId w:val="0"/>
        </w:numPr>
        <w:ind w:left="1068"/>
      </w:pPr>
      <w:r>
        <w:t xml:space="preserve">Eau et éthanol sont deux solvants totalement miscibles en toutes proportions (tous les deux polaires protiques) En revanche eau et cyclohexane sont non miscibles. </w:t>
      </w:r>
    </w:p>
    <w:p w14:paraId="6CBEC8DA" w14:textId="28EB0D8E" w:rsidR="000C650C" w:rsidRDefault="000C650C" w:rsidP="000C650C">
      <w:r>
        <w:rPr>
          <w:b/>
          <w:bCs/>
        </w:rPr>
        <w:t>Interprétation qualitative </w:t>
      </w:r>
      <w:r w:rsidR="0015463B">
        <w:rPr>
          <w:b/>
          <w:bCs/>
        </w:rPr>
        <w:t xml:space="preserve"> </w:t>
      </w:r>
      <w:r>
        <w:rPr>
          <w:b/>
          <w:bCs/>
        </w:rPr>
        <w:t xml:space="preserve">: </w:t>
      </w:r>
      <w:r>
        <w:t xml:space="preserve">Interaction eau </w:t>
      </w:r>
      <w:proofErr w:type="spellStart"/>
      <w:r>
        <w:t>eau</w:t>
      </w:r>
      <w:proofErr w:type="spellEnd"/>
      <w:r>
        <w:t xml:space="preserve"> plus favorable que I2 eau ; </w:t>
      </w:r>
      <w:r w:rsidR="00840704">
        <w:t>Une interprétation possible du phénomène fait intervenir le développement d’interactions intermoléculaires entre espèces mises en jeu : ces interactions sont d’autant plus fortes que les molécules engagé</w:t>
      </w:r>
      <w:r w:rsidR="00762097">
        <w:t>e</w:t>
      </w:r>
      <w:r w:rsidR="00840704">
        <w:t>s ont les même propriétés (</w:t>
      </w:r>
      <w:r w:rsidR="00762097">
        <w:t>en termes de</w:t>
      </w:r>
      <w:r w:rsidR="00840704">
        <w:t xml:space="preserve"> polarité notamment). Dan le cas de deux solvants S1 et S2 miscibles (ou d’un constituant A soluble dans un solvant S), l’énergie d’interaction entre les molécules S1 et S2 (ou entre A et S) relativement forte compense l’énergie </w:t>
      </w:r>
      <w:r w:rsidR="0015463B">
        <w:t>nécessaire</w:t>
      </w:r>
      <w:r w:rsidR="00840704">
        <w:t xml:space="preserve"> à la séparation des molécules S1, S2 ou S pour faire place au mélange. Dans le cas de 2 solvants non miscibles on distingue alors clairement la situation inverse si bien que le mélange ne se fait pas. </w:t>
      </w:r>
      <w:r w:rsidR="00840704">
        <w:sym w:font="Wingdings" w:char="F0E8"/>
      </w:r>
      <w:r w:rsidR="00840704">
        <w:t xml:space="preserve"> </w:t>
      </w:r>
      <w:r w:rsidR="00840704">
        <w:rPr>
          <w:b/>
          <w:bCs/>
        </w:rPr>
        <w:t>Deux phases</w:t>
      </w:r>
      <w:r w:rsidR="00840704">
        <w:t xml:space="preserve"> . </w:t>
      </w:r>
    </w:p>
    <w:p w14:paraId="15CDCBB6" w14:textId="51A86F87" w:rsidR="00CA3CE3" w:rsidRPr="00CA3CE3" w:rsidRDefault="00CA3CE3" w:rsidP="00CA3CE3">
      <w:pPr>
        <w:pStyle w:val="Heading1"/>
      </w:pPr>
      <w:r>
        <w:t>Utilisation des solvants</w:t>
      </w:r>
    </w:p>
    <w:p w14:paraId="66F41802" w14:textId="77777777" w:rsidR="00041608" w:rsidRPr="00284649" w:rsidRDefault="00041608" w:rsidP="00284649">
      <w:pPr>
        <w:numPr>
          <w:ilvl w:val="0"/>
          <w:numId w:val="0"/>
        </w:numPr>
        <w:ind w:left="720" w:hanging="360"/>
        <w:rPr>
          <w:b/>
          <w:bCs/>
        </w:rPr>
      </w:pPr>
    </w:p>
    <w:p w14:paraId="1F9FEC72" w14:textId="5B22150F" w:rsidR="00041608" w:rsidRDefault="00D3131B" w:rsidP="00D3131B">
      <w:pPr>
        <w:pStyle w:val="Heading2"/>
        <w:numPr>
          <w:ilvl w:val="0"/>
          <w:numId w:val="16"/>
        </w:numPr>
      </w:pPr>
      <w:r>
        <w:lastRenderedPageBreak/>
        <w:t>Extraction liquide</w:t>
      </w:r>
      <w:r w:rsidR="00CD7ED0">
        <w:t>-</w:t>
      </w:r>
      <w:r>
        <w:t>liquide</w:t>
      </w:r>
    </w:p>
    <w:p w14:paraId="37035F9F" w14:textId="7B66848F" w:rsidR="00D3131B" w:rsidRDefault="00D3131B" w:rsidP="00D3131B">
      <w:r>
        <w:rPr>
          <w:b/>
          <w:bCs/>
        </w:rPr>
        <w:t xml:space="preserve">Définition : </w:t>
      </w:r>
      <w:r>
        <w:t xml:space="preserve">L’extraction liquide </w:t>
      </w:r>
      <w:proofErr w:type="spellStart"/>
      <w:r>
        <w:t>liquide</w:t>
      </w:r>
      <w:proofErr w:type="spellEnd"/>
      <w:r>
        <w:t xml:space="preserve"> consiste à transférer de façon aussi sélective que possible une substance A présente dans un solvant S qui contient de nombreux solutés vers un solvant </w:t>
      </w:r>
      <w:r w:rsidR="00C959D6">
        <w:t>S’non</w:t>
      </w:r>
      <w:r>
        <w:t xml:space="preserve"> miscible à S et dans lequel A est le seul (ou quasiment le seul) soluté. </w:t>
      </w:r>
    </w:p>
    <w:p w14:paraId="14A9383E" w14:textId="51946269" w:rsidR="00D3131B" w:rsidRPr="007C0EA7" w:rsidRDefault="00D3131B" w:rsidP="00D3131B">
      <w:r>
        <w:rPr>
          <w:b/>
          <w:bCs/>
        </w:rPr>
        <w:t>Exemple : cyclohexane eau et diiode. (manip d’intro)</w:t>
      </w:r>
    </w:p>
    <w:p w14:paraId="44903C46" w14:textId="183647F4" w:rsidR="007C0EA7" w:rsidRDefault="00C959D6" w:rsidP="00D3131B">
      <w:r>
        <w:rPr>
          <w:b/>
          <w:bCs/>
        </w:rPr>
        <w:t>Présentation du matériel (</w:t>
      </w:r>
      <w:proofErr w:type="spellStart"/>
      <w:r>
        <w:rPr>
          <w:b/>
          <w:bCs/>
        </w:rPr>
        <w:t>cf.slide</w:t>
      </w:r>
      <w:proofErr w:type="spellEnd"/>
      <w:r>
        <w:rPr>
          <w:b/>
          <w:bCs/>
        </w:rPr>
        <w:t xml:space="preserve">) : </w:t>
      </w:r>
      <w:r>
        <w:t xml:space="preserve">Ampoule à décanter, vocabulaire Solvant d’extraction, agitation, décantation. </w:t>
      </w:r>
    </w:p>
    <w:p w14:paraId="7573139C" w14:textId="57F19433" w:rsidR="00C959D6" w:rsidRDefault="00C959D6" w:rsidP="00D3131B">
      <w:r>
        <w:rPr>
          <w:b/>
          <w:bCs/>
        </w:rPr>
        <w:t>Coefficient de partage </w:t>
      </w:r>
      <w:r>
        <w:t>: la distribution du composé A à extraire dans chaque phase est déterminée par un</w:t>
      </w:r>
      <w:r w:rsidRPr="00C959D6">
        <w:rPr>
          <w:b/>
          <w:bCs/>
        </w:rPr>
        <w:t xml:space="preserve"> coefficient de partage</w:t>
      </w:r>
      <w:r>
        <w:rPr>
          <w:b/>
          <w:bCs/>
        </w:rPr>
        <w:t xml:space="preserve"> </w:t>
      </w:r>
      <w:r>
        <w:t xml:space="preserve">traduisant la situation d’équilibre : </w:t>
      </w:r>
    </w:p>
    <w:p w14:paraId="69CF43DD" w14:textId="2DCDD449" w:rsidR="00C959D6" w:rsidRDefault="00C959D6" w:rsidP="00C959D6">
      <w:pPr>
        <w:numPr>
          <w:ilvl w:val="0"/>
          <w:numId w:val="0"/>
        </w:numPr>
        <w:ind w:left="1068"/>
        <w:jc w:val="center"/>
        <w:rPr>
          <w:b/>
          <w:bCs/>
        </w:rPr>
      </w:pPr>
      <w:r>
        <w:rPr>
          <w:b/>
          <w:bCs/>
        </w:rPr>
        <w:t>A(S) = A(S’)</w:t>
      </w:r>
    </w:p>
    <w:p w14:paraId="4C55B495" w14:textId="64E3C851" w:rsidR="00D15795" w:rsidRDefault="002450B6" w:rsidP="002450B6">
      <w:pPr>
        <w:numPr>
          <w:ilvl w:val="0"/>
          <w:numId w:val="0"/>
        </w:numPr>
        <w:ind w:left="1068"/>
        <w:rPr>
          <w:b/>
          <w:bCs/>
        </w:rPr>
      </w:pPr>
      <w:r w:rsidRPr="00B65059">
        <w:rPr>
          <w:b/>
          <w:bCs/>
        </w:rPr>
        <w:t>Manipulation quantitative :</w:t>
      </w:r>
      <w:r w:rsidR="00B65059" w:rsidRPr="00B65059">
        <w:t xml:space="preserve"> </w:t>
      </w:r>
      <w:r w:rsidR="00B65059" w:rsidRPr="00B65059">
        <w:rPr>
          <w:b/>
          <w:bCs/>
        </w:rPr>
        <w:t xml:space="preserve">Extraction de l’acide </w:t>
      </w:r>
      <w:proofErr w:type="spellStart"/>
      <w:r w:rsidR="00B65059" w:rsidRPr="00B65059">
        <w:rPr>
          <w:b/>
          <w:bCs/>
        </w:rPr>
        <w:t>propanoïque</w:t>
      </w:r>
      <w:proofErr w:type="spellEnd"/>
      <w:r w:rsidR="00B65059" w:rsidRPr="00B65059">
        <w:rPr>
          <w:b/>
          <w:bCs/>
        </w:rPr>
        <w:t xml:space="preserve"> par l’éther </w:t>
      </w:r>
      <w:proofErr w:type="spellStart"/>
      <w:r w:rsidR="00B65059" w:rsidRPr="00B65059">
        <w:rPr>
          <w:b/>
          <w:bCs/>
        </w:rPr>
        <w:t>diéthylique</w:t>
      </w:r>
      <w:proofErr w:type="spellEnd"/>
      <w:r w:rsidR="00B65059" w:rsidRPr="00B65059">
        <w:rPr>
          <w:b/>
          <w:bCs/>
        </w:rPr>
        <w:t>. Chavanne, p152</w:t>
      </w:r>
      <w:r w:rsidRPr="00B65059">
        <w:rPr>
          <w:b/>
          <w:bCs/>
        </w:rPr>
        <w:t xml:space="preserve"> </w:t>
      </w:r>
    </w:p>
    <w:p w14:paraId="1188B60D" w14:textId="1C107E96" w:rsidR="00A70881" w:rsidRDefault="00A70881" w:rsidP="002450B6">
      <w:pPr>
        <w:numPr>
          <w:ilvl w:val="0"/>
          <w:numId w:val="0"/>
        </w:numPr>
        <w:ind w:left="1068"/>
      </w:pPr>
      <w:r>
        <w:t>On fait l’extraction simple et on prévoit théoriquement l’extraction triple (on la fait si temps).</w:t>
      </w:r>
      <w:r w:rsidR="007A26A3">
        <w:t xml:space="preserve"> Voir les calculs sur la page ExtractionTriple.pdf</w:t>
      </w:r>
    </w:p>
    <w:p w14:paraId="5B6EE3B8" w14:textId="4822F511" w:rsidR="00CD7ED0" w:rsidRDefault="00CD7ED0" w:rsidP="002450B6">
      <w:pPr>
        <w:numPr>
          <w:ilvl w:val="0"/>
          <w:numId w:val="0"/>
        </w:numPr>
        <w:ind w:left="1068"/>
      </w:pPr>
    </w:p>
    <w:p w14:paraId="0020643F" w14:textId="6E4CE3E6" w:rsidR="00CD7ED0" w:rsidRDefault="00AF1092" w:rsidP="00CD7ED0">
      <w:pPr>
        <w:pStyle w:val="Heading2"/>
      </w:pPr>
      <w:r>
        <w:t>Chromatographie sur couche mince</w:t>
      </w:r>
    </w:p>
    <w:p w14:paraId="16CFE013" w14:textId="69005627" w:rsidR="00DF09C8" w:rsidRPr="00DF09C8" w:rsidRDefault="00DF09C8" w:rsidP="00DF09C8">
      <w:r>
        <w:rPr>
          <w:b/>
          <w:bCs/>
        </w:rPr>
        <w:t xml:space="preserve">Support vidéo : </w:t>
      </w:r>
      <w:hyperlink r:id="rId12" w:history="1">
        <w:r>
          <w:rPr>
            <w:rStyle w:val="Hyperlink"/>
          </w:rPr>
          <w:t>https://www.youtube.com/watch?v=XuO9EPJcY7I</w:t>
        </w:r>
      </w:hyperlink>
      <w:r>
        <w:t xml:space="preserve"> </w:t>
      </w:r>
    </w:p>
    <w:p w14:paraId="5FBF5A63" w14:textId="5BFACF82" w:rsidR="00AF1092" w:rsidRDefault="00D53F13" w:rsidP="00D53F13">
      <w:r>
        <w:rPr>
          <w:b/>
          <w:bCs/>
        </w:rPr>
        <w:t xml:space="preserve">Principe : </w:t>
      </w:r>
      <w:r>
        <w:t xml:space="preserve">Technique de séparation des composés d’un mélange. Elle se base sur la différence d’affinité entre les composés de ce mélange et 2 phases : -une phase stationnaire et une phase mobile (éluant). CCM est analytique. </w:t>
      </w:r>
      <w:proofErr w:type="spellStart"/>
      <w:r>
        <w:t>Controler</w:t>
      </w:r>
      <w:proofErr w:type="spellEnd"/>
      <w:r>
        <w:t xml:space="preserve"> la pureté d’un produit ou l’avancement d’une réaction. </w:t>
      </w:r>
    </w:p>
    <w:p w14:paraId="3FF78465" w14:textId="73B0F747" w:rsidR="00D53F13" w:rsidRDefault="00D53F13" w:rsidP="00D53F13">
      <w:r>
        <w:t xml:space="preserve">On dépose les différents composés que l’on veut séparer sur une plaque (phase stationnaire, plaque de silice) au niveau de la ligne de dépôt. On dépose la plaque dans un liquide éluant. Ce liquide va migrer par </w:t>
      </w:r>
      <w:r w:rsidRPr="00D53F13">
        <w:rPr>
          <w:b/>
          <w:bCs/>
        </w:rPr>
        <w:t>capillarité</w:t>
      </w:r>
      <w:r>
        <w:t xml:space="preserve"> le long de la phase stationnaire</w:t>
      </w:r>
      <w:r w:rsidR="004345B2">
        <w:t xml:space="preserve"> et va entrainer avec lui plus ou moins loin les composants déposés sur la plaque. </w:t>
      </w:r>
    </w:p>
    <w:p w14:paraId="6214679D" w14:textId="2D83C32E" w:rsidR="00C71784" w:rsidRDefault="00C71784" w:rsidP="00D53F13">
      <w:r>
        <w:rPr>
          <w:b/>
          <w:bCs/>
        </w:rPr>
        <w:t xml:space="preserve">Révélation : </w:t>
      </w:r>
      <w:r>
        <w:t>Si les composés ont un groupe phényl, ils absorbent (méthode non destructive)</w:t>
      </w:r>
      <w:r w:rsidR="00E21114">
        <w:t xml:space="preserve">. Sur la plaque de </w:t>
      </w:r>
      <w:proofErr w:type="spellStart"/>
      <w:r w:rsidR="00E21114">
        <w:t>chromatographie,il</w:t>
      </w:r>
      <w:proofErr w:type="spellEnd"/>
      <w:r w:rsidR="00E21114">
        <w:t xml:space="preserve"> y a un indicateur fluorescent : le silicate de zinc activé au manganèse qui va être fluorescent lorsque éclairé dans le domaine de </w:t>
      </w:r>
      <w:proofErr w:type="spellStart"/>
      <w:r w:rsidR="00E21114">
        <w:t>l’uv</w:t>
      </w:r>
      <w:proofErr w:type="spellEnd"/>
      <w:r w:rsidR="00E21114">
        <w:t xml:space="preserve"> (250nm)</w:t>
      </w:r>
      <w:r w:rsidR="001C3A18">
        <w:t xml:space="preserve">. Les groupes </w:t>
      </w:r>
      <w:proofErr w:type="spellStart"/>
      <w:r w:rsidR="001C3A18">
        <w:t>phenyl</w:t>
      </w:r>
      <w:proofErr w:type="spellEnd"/>
      <w:r w:rsidR="001C3A18">
        <w:t xml:space="preserve">, ne permettent pas à la plaque d’absorber le rayonnement. Donc tache sombre. </w:t>
      </w:r>
      <w:r w:rsidR="00920908">
        <w:rPr>
          <w:b/>
          <w:bCs/>
        </w:rPr>
        <w:t>Dans le cas où composé n’absorbent pas dans l’UV : révélation chimique. Réaction des composé</w:t>
      </w:r>
      <w:r w:rsidR="00C1243B">
        <w:rPr>
          <w:b/>
          <w:bCs/>
        </w:rPr>
        <w:t>s</w:t>
      </w:r>
      <w:r w:rsidR="00920908">
        <w:rPr>
          <w:b/>
          <w:bCs/>
        </w:rPr>
        <w:t xml:space="preserve"> sur la plaque avec du diiode, permanganate de potassium</w:t>
      </w:r>
      <w:r w:rsidR="00D47D9D">
        <w:rPr>
          <w:b/>
          <w:bCs/>
        </w:rPr>
        <w:t xml:space="preserve">. </w:t>
      </w:r>
    </w:p>
    <w:p w14:paraId="761A048A" w14:textId="3D510771" w:rsidR="00C83B59" w:rsidRDefault="00C1243B" w:rsidP="00D53F13">
      <w:r>
        <w:rPr>
          <w:b/>
          <w:bCs/>
        </w:rPr>
        <w:t xml:space="preserve">Expérience vidéo : </w:t>
      </w:r>
      <w:r>
        <w:t>On dépose sur la plaque (Acide benzoïque</w:t>
      </w:r>
      <w:r w:rsidR="00184F22">
        <w:t xml:space="preserve"> [polaire protique=Donc adhère à la plaque, migre peu]</w:t>
      </w:r>
      <w:r>
        <w:t>, alcool Benzylique</w:t>
      </w:r>
      <w:r w:rsidR="00C448D0">
        <w:t xml:space="preserve"> </w:t>
      </w:r>
      <w:r w:rsidR="00184F22">
        <w:t>[protique et un peu polaire, migre plus]</w:t>
      </w:r>
      <w:r>
        <w:t xml:space="preserve"> et benzaldéhyde</w:t>
      </w:r>
      <w:r w:rsidR="00184F22">
        <w:t xml:space="preserve"> [polaire</w:t>
      </w:r>
      <w:r w:rsidR="00DF09C8">
        <w:t xml:space="preserve"> aprotique gagne la course</w:t>
      </w:r>
      <w:r w:rsidR="004362FD">
        <w:t> !</w:t>
      </w:r>
      <w:r w:rsidR="00184F22">
        <w:t>]</w:t>
      </w:r>
      <w:r>
        <w:t>)</w:t>
      </w:r>
    </w:p>
    <w:p w14:paraId="1997E821" w14:textId="17906434" w:rsidR="00C71784" w:rsidRDefault="00C83B59" w:rsidP="00D53F13">
      <w:r>
        <w:rPr>
          <w:b/>
          <w:bCs/>
        </w:rPr>
        <w:t>La CCM ne révèle pas</w:t>
      </w:r>
      <w:r w:rsidR="00C1243B">
        <w:t xml:space="preserve"> </w:t>
      </w:r>
      <w:r>
        <w:t xml:space="preserve">d’impuretés séparable UV active dans l’acide benzoïque. </w:t>
      </w:r>
    </w:p>
    <w:p w14:paraId="1960D418" w14:textId="561011E4" w:rsidR="00C448D0" w:rsidRPr="00C448D0" w:rsidRDefault="00C448D0" w:rsidP="00D53F13">
      <w:r>
        <w:rPr>
          <w:b/>
          <w:bCs/>
        </w:rPr>
        <w:t>Le benzaldéhyde contient de l’acide benzylique</w:t>
      </w:r>
    </w:p>
    <w:p w14:paraId="56E68B31" w14:textId="166261C4" w:rsidR="00C84826" w:rsidRDefault="00C448D0" w:rsidP="00C84826">
      <w:r>
        <w:rPr>
          <w:b/>
          <w:bCs/>
        </w:rPr>
        <w:t>Interaction entre composés à analyser et phase stationnaire</w:t>
      </w:r>
      <w:r w:rsidR="00E4494B">
        <w:rPr>
          <w:b/>
          <w:bCs/>
        </w:rPr>
        <w:t xml:space="preserve"> : </w:t>
      </w:r>
      <w:r w:rsidR="00E4494B">
        <w:t xml:space="preserve">Compétition entre adsorption de l’éluant et des composés. </w:t>
      </w:r>
      <w:r w:rsidR="00C84826">
        <w:t>Cf. schéma slide</w:t>
      </w:r>
    </w:p>
    <w:p w14:paraId="574D4916" w14:textId="6243F605" w:rsidR="00C84826" w:rsidRPr="002C7724" w:rsidRDefault="00C84826" w:rsidP="00C84826">
      <w:r>
        <w:rPr>
          <w:b/>
          <w:bCs/>
        </w:rPr>
        <w:t>Tout ce qui est PROTIQUE migre moins vite car liaison hydrogène :  E = 10kJ/mol</w:t>
      </w:r>
    </w:p>
    <w:p w14:paraId="64420F08" w14:textId="564709DA" w:rsidR="002C7724" w:rsidRPr="002C7724" w:rsidRDefault="002C7724" w:rsidP="00C84826">
      <w:pPr>
        <w:rPr>
          <w:b/>
          <w:bCs/>
        </w:rPr>
      </w:pPr>
      <w:r w:rsidRPr="002C7724">
        <w:rPr>
          <w:b/>
          <w:bCs/>
        </w:rPr>
        <w:t>Choix de l’éluant</w:t>
      </w:r>
      <w:r>
        <w:rPr>
          <w:b/>
          <w:bCs/>
        </w:rPr>
        <w:t xml:space="preserve"> : </w:t>
      </w:r>
      <w:r>
        <w:rPr>
          <w:b/>
          <w:bCs/>
          <w:color w:val="FF0000"/>
        </w:rPr>
        <w:t xml:space="preserve">Important car dans cette leçon, on parle de solvant ! </w:t>
      </w:r>
      <w:r>
        <w:rPr>
          <w:color w:val="000000" w:themeColor="text1"/>
        </w:rPr>
        <w:t>Plus le solvant est polaire, plus il interagit avec la phase stationnaire et donc plus il occupe des sites d’adsorption ! Par conséquent, les composés vont migrés bcp plus loin !</w:t>
      </w:r>
    </w:p>
    <w:p w14:paraId="2A9BB9B9" w14:textId="77777777" w:rsidR="00AF1092" w:rsidRPr="00AF1092" w:rsidRDefault="00AF1092" w:rsidP="00AF1092">
      <w:pPr>
        <w:numPr>
          <w:ilvl w:val="0"/>
          <w:numId w:val="0"/>
        </w:numPr>
        <w:ind w:left="1068" w:hanging="360"/>
      </w:pPr>
    </w:p>
    <w:p w14:paraId="48286B44" w14:textId="61282460" w:rsidR="00943FFA" w:rsidRDefault="005B6235" w:rsidP="005B6235">
      <w:pPr>
        <w:pStyle w:val="Heading2"/>
      </w:pPr>
      <w:proofErr w:type="spellStart"/>
      <w:r>
        <w:lastRenderedPageBreak/>
        <w:t>Recristalisation</w:t>
      </w:r>
      <w:proofErr w:type="spellEnd"/>
      <w:r>
        <w:t xml:space="preserve"> (</w:t>
      </w:r>
      <w:proofErr w:type="spellStart"/>
      <w:r>
        <w:t>cf</w:t>
      </w:r>
      <w:proofErr w:type="spellEnd"/>
      <w:r>
        <w:t xml:space="preserve"> Fosset)</w:t>
      </w:r>
    </w:p>
    <w:p w14:paraId="5C085D00" w14:textId="7D9C40A4" w:rsidR="005B6235" w:rsidRDefault="005B6235" w:rsidP="005B6235">
      <w:pPr>
        <w:pStyle w:val="Heading1"/>
        <w:numPr>
          <w:ilvl w:val="0"/>
          <w:numId w:val="0"/>
        </w:numPr>
        <w:ind w:left="1080" w:hanging="720"/>
      </w:pPr>
      <w:r>
        <w:t>Conclusion</w:t>
      </w:r>
    </w:p>
    <w:p w14:paraId="6E68D653" w14:textId="7510910C" w:rsidR="005B6235" w:rsidRDefault="005B6235" w:rsidP="005B6235">
      <w:r>
        <w:t xml:space="preserve">Les solvants sont caractériser par leur capacité à </w:t>
      </w:r>
      <w:proofErr w:type="spellStart"/>
      <w:r>
        <w:t>intéragir</w:t>
      </w:r>
      <w:proofErr w:type="spellEnd"/>
      <w:r>
        <w:t xml:space="preserve"> avec soluté ou autre solvant. </w:t>
      </w:r>
      <w:proofErr w:type="spellStart"/>
      <w:r>
        <w:t>Intéraction</w:t>
      </w:r>
      <w:proofErr w:type="spellEnd"/>
      <w:r>
        <w:t xml:space="preserve"> de van der Waals. </w:t>
      </w:r>
      <w:proofErr w:type="spellStart"/>
      <w:r>
        <w:t>Proticité</w:t>
      </w:r>
      <w:proofErr w:type="spellEnd"/>
      <w:r>
        <w:t xml:space="preserve"> et permittivité relative</w:t>
      </w:r>
    </w:p>
    <w:p w14:paraId="17996C74" w14:textId="66425489" w:rsidR="005B6235" w:rsidRPr="005B6235" w:rsidRDefault="005B6235" w:rsidP="005B6235">
      <w:r>
        <w:t xml:space="preserve">Utilisation : Séparation CCM Recristallisation </w:t>
      </w:r>
      <w:bookmarkStart w:id="0" w:name="_GoBack"/>
      <w:bookmarkEnd w:id="0"/>
    </w:p>
    <w:p w14:paraId="22644BB4" w14:textId="1795BEBF" w:rsidR="006430C7" w:rsidRPr="00AF6383" w:rsidRDefault="006430C7" w:rsidP="00DC3167">
      <w:pPr>
        <w:pStyle w:val="Title"/>
        <w:numPr>
          <w:ilvl w:val="0"/>
          <w:numId w:val="0"/>
        </w:numPr>
        <w:ind w:left="1068" w:hanging="360"/>
      </w:pPr>
      <w:r w:rsidRPr="00AF6383">
        <w:t xml:space="preserve"> </w:t>
      </w:r>
    </w:p>
    <w:sectPr w:rsidR="006430C7" w:rsidRPr="00AF638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2C2C5" w14:textId="77777777" w:rsidR="009D1E54" w:rsidRDefault="009D1E54" w:rsidP="00A27ED0">
      <w:r>
        <w:separator/>
      </w:r>
    </w:p>
  </w:endnote>
  <w:endnote w:type="continuationSeparator" w:id="0">
    <w:p w14:paraId="373599AE" w14:textId="77777777" w:rsidR="009D1E54" w:rsidRDefault="009D1E54" w:rsidP="00A2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F2572" w14:textId="77777777" w:rsidR="009D1E54" w:rsidRDefault="009D1E54" w:rsidP="00A27ED0">
      <w:r>
        <w:separator/>
      </w:r>
    </w:p>
  </w:footnote>
  <w:footnote w:type="continuationSeparator" w:id="0">
    <w:p w14:paraId="12EC5973" w14:textId="77777777" w:rsidR="009D1E54" w:rsidRDefault="009D1E54" w:rsidP="00A27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1994DB5"/>
    <w:multiLevelType w:val="hybridMultilevel"/>
    <w:tmpl w:val="1EAAAAAA"/>
    <w:lvl w:ilvl="0" w:tplc="D44639D2">
      <w:start w:val="3"/>
      <w:numFmt w:val="bullet"/>
      <w:pStyle w:val="Normal"/>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C722C80"/>
    <w:multiLevelType w:val="hybridMultilevel"/>
    <w:tmpl w:val="1ECE30E4"/>
    <w:lvl w:ilvl="0" w:tplc="38FEB9E6">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10"/>
  </w:num>
  <w:num w:numId="4">
    <w:abstractNumId w:val="1"/>
  </w:num>
  <w:num w:numId="5">
    <w:abstractNumId w:val="9"/>
  </w:num>
  <w:num w:numId="6">
    <w:abstractNumId w:val="5"/>
  </w:num>
  <w:num w:numId="7">
    <w:abstractNumId w:val="9"/>
    <w:lvlOverride w:ilvl="0">
      <w:startOverride w:val="1"/>
    </w:lvlOverride>
  </w:num>
  <w:num w:numId="8">
    <w:abstractNumId w:val="0"/>
    <w:lvlOverride w:ilvl="0">
      <w:startOverride w:val="1"/>
    </w:lvlOverride>
  </w:num>
  <w:num w:numId="9">
    <w:abstractNumId w:val="11"/>
  </w:num>
  <w:num w:numId="10">
    <w:abstractNumId w:val="0"/>
  </w:num>
  <w:num w:numId="11">
    <w:abstractNumId w:val="2"/>
  </w:num>
  <w:num w:numId="12">
    <w:abstractNumId w:val="3"/>
  </w:num>
  <w:num w:numId="13">
    <w:abstractNumId w:val="8"/>
  </w:num>
  <w:num w:numId="14">
    <w:abstractNumId w:val="7"/>
  </w:num>
  <w:num w:numId="15">
    <w:abstractNumId w:val="0"/>
    <w:lvlOverride w:ilvl="0">
      <w:startOverride w:val="1"/>
    </w:lvlOverride>
  </w:num>
  <w:num w:numId="16">
    <w:abstractNumId w:val="0"/>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74EF"/>
    <w:rsid w:val="00012DED"/>
    <w:rsid w:val="00023E3B"/>
    <w:rsid w:val="00040005"/>
    <w:rsid w:val="00041608"/>
    <w:rsid w:val="000426C6"/>
    <w:rsid w:val="0005201C"/>
    <w:rsid w:val="00054031"/>
    <w:rsid w:val="000543CF"/>
    <w:rsid w:val="00062CEC"/>
    <w:rsid w:val="00066776"/>
    <w:rsid w:val="000669A3"/>
    <w:rsid w:val="00070FED"/>
    <w:rsid w:val="0008063F"/>
    <w:rsid w:val="000808E6"/>
    <w:rsid w:val="00086628"/>
    <w:rsid w:val="00090E3F"/>
    <w:rsid w:val="000A00B1"/>
    <w:rsid w:val="000A7BF2"/>
    <w:rsid w:val="000B1443"/>
    <w:rsid w:val="000C64F0"/>
    <w:rsid w:val="000C650C"/>
    <w:rsid w:val="000D515F"/>
    <w:rsid w:val="000E269E"/>
    <w:rsid w:val="000E3286"/>
    <w:rsid w:val="000E3547"/>
    <w:rsid w:val="000E3568"/>
    <w:rsid w:val="000F0B1C"/>
    <w:rsid w:val="000F3E94"/>
    <w:rsid w:val="00103845"/>
    <w:rsid w:val="00106BF1"/>
    <w:rsid w:val="00112123"/>
    <w:rsid w:val="00114C03"/>
    <w:rsid w:val="00115C26"/>
    <w:rsid w:val="0012231E"/>
    <w:rsid w:val="001245F7"/>
    <w:rsid w:val="001357DA"/>
    <w:rsid w:val="001372A6"/>
    <w:rsid w:val="001423FA"/>
    <w:rsid w:val="00147CC6"/>
    <w:rsid w:val="00150D8C"/>
    <w:rsid w:val="001518B5"/>
    <w:rsid w:val="001536B7"/>
    <w:rsid w:val="0015463B"/>
    <w:rsid w:val="00155448"/>
    <w:rsid w:val="00155919"/>
    <w:rsid w:val="001616F2"/>
    <w:rsid w:val="001659ED"/>
    <w:rsid w:val="001706BE"/>
    <w:rsid w:val="001735C3"/>
    <w:rsid w:val="00184F22"/>
    <w:rsid w:val="00191476"/>
    <w:rsid w:val="00195422"/>
    <w:rsid w:val="001A21B9"/>
    <w:rsid w:val="001B3F89"/>
    <w:rsid w:val="001B456F"/>
    <w:rsid w:val="001B7569"/>
    <w:rsid w:val="001B7D9A"/>
    <w:rsid w:val="001C286F"/>
    <w:rsid w:val="001C3A18"/>
    <w:rsid w:val="001D19AD"/>
    <w:rsid w:val="001D1D93"/>
    <w:rsid w:val="001D378E"/>
    <w:rsid w:val="001D40F8"/>
    <w:rsid w:val="001D6522"/>
    <w:rsid w:val="001E119E"/>
    <w:rsid w:val="001E56B6"/>
    <w:rsid w:val="001F11E5"/>
    <w:rsid w:val="001F4BB3"/>
    <w:rsid w:val="001F5376"/>
    <w:rsid w:val="001F53DB"/>
    <w:rsid w:val="0020739D"/>
    <w:rsid w:val="0021584E"/>
    <w:rsid w:val="00215C57"/>
    <w:rsid w:val="00216670"/>
    <w:rsid w:val="00217980"/>
    <w:rsid w:val="00225D6F"/>
    <w:rsid w:val="00227333"/>
    <w:rsid w:val="002303ED"/>
    <w:rsid w:val="00231625"/>
    <w:rsid w:val="00232EBF"/>
    <w:rsid w:val="002450B6"/>
    <w:rsid w:val="00245991"/>
    <w:rsid w:val="00255939"/>
    <w:rsid w:val="00256A93"/>
    <w:rsid w:val="00264A8F"/>
    <w:rsid w:val="00266C9F"/>
    <w:rsid w:val="002709FF"/>
    <w:rsid w:val="00281584"/>
    <w:rsid w:val="00284649"/>
    <w:rsid w:val="00285793"/>
    <w:rsid w:val="00293EC0"/>
    <w:rsid w:val="00295EF7"/>
    <w:rsid w:val="00296C97"/>
    <w:rsid w:val="00297919"/>
    <w:rsid w:val="002A643A"/>
    <w:rsid w:val="002A7461"/>
    <w:rsid w:val="002A7EAA"/>
    <w:rsid w:val="002B2A94"/>
    <w:rsid w:val="002B2BF4"/>
    <w:rsid w:val="002B353D"/>
    <w:rsid w:val="002B60E5"/>
    <w:rsid w:val="002B6916"/>
    <w:rsid w:val="002B70CC"/>
    <w:rsid w:val="002C7724"/>
    <w:rsid w:val="002D0B5E"/>
    <w:rsid w:val="002D1CCB"/>
    <w:rsid w:val="002D2B05"/>
    <w:rsid w:val="002D3FBF"/>
    <w:rsid w:val="002E7B24"/>
    <w:rsid w:val="002F1756"/>
    <w:rsid w:val="002F254C"/>
    <w:rsid w:val="002F4D06"/>
    <w:rsid w:val="002F6A5A"/>
    <w:rsid w:val="002F6ED4"/>
    <w:rsid w:val="00302156"/>
    <w:rsid w:val="00303790"/>
    <w:rsid w:val="00306CA3"/>
    <w:rsid w:val="0030725F"/>
    <w:rsid w:val="00327969"/>
    <w:rsid w:val="00330ACD"/>
    <w:rsid w:val="003325D4"/>
    <w:rsid w:val="00332F15"/>
    <w:rsid w:val="00333D0D"/>
    <w:rsid w:val="00340323"/>
    <w:rsid w:val="00340658"/>
    <w:rsid w:val="00342BBC"/>
    <w:rsid w:val="00343AD0"/>
    <w:rsid w:val="0034567B"/>
    <w:rsid w:val="003518D3"/>
    <w:rsid w:val="00351AB2"/>
    <w:rsid w:val="00352993"/>
    <w:rsid w:val="00356756"/>
    <w:rsid w:val="00356E1D"/>
    <w:rsid w:val="00364CD9"/>
    <w:rsid w:val="00366B86"/>
    <w:rsid w:val="00366C1C"/>
    <w:rsid w:val="00372931"/>
    <w:rsid w:val="00377560"/>
    <w:rsid w:val="00377F28"/>
    <w:rsid w:val="0038103C"/>
    <w:rsid w:val="003818C5"/>
    <w:rsid w:val="00384F95"/>
    <w:rsid w:val="003878DC"/>
    <w:rsid w:val="00396E4E"/>
    <w:rsid w:val="003A444B"/>
    <w:rsid w:val="003A4521"/>
    <w:rsid w:val="003A752E"/>
    <w:rsid w:val="003B1D75"/>
    <w:rsid w:val="003B57F3"/>
    <w:rsid w:val="003B6488"/>
    <w:rsid w:val="003C373A"/>
    <w:rsid w:val="003C42E3"/>
    <w:rsid w:val="003C64F8"/>
    <w:rsid w:val="003D0198"/>
    <w:rsid w:val="003E1E5C"/>
    <w:rsid w:val="003E4FD3"/>
    <w:rsid w:val="003E7DDE"/>
    <w:rsid w:val="003E7F8D"/>
    <w:rsid w:val="003F5D4D"/>
    <w:rsid w:val="003F6B40"/>
    <w:rsid w:val="004032B4"/>
    <w:rsid w:val="00406F7D"/>
    <w:rsid w:val="00413C8D"/>
    <w:rsid w:val="00415878"/>
    <w:rsid w:val="00420A04"/>
    <w:rsid w:val="00422AF3"/>
    <w:rsid w:val="00430E11"/>
    <w:rsid w:val="004345B2"/>
    <w:rsid w:val="004362FD"/>
    <w:rsid w:val="00440E83"/>
    <w:rsid w:val="0044176B"/>
    <w:rsid w:val="00447027"/>
    <w:rsid w:val="00455173"/>
    <w:rsid w:val="004645CB"/>
    <w:rsid w:val="00465A32"/>
    <w:rsid w:val="004718DE"/>
    <w:rsid w:val="00473C35"/>
    <w:rsid w:val="00483592"/>
    <w:rsid w:val="00492870"/>
    <w:rsid w:val="00492BCB"/>
    <w:rsid w:val="004933EE"/>
    <w:rsid w:val="004A2411"/>
    <w:rsid w:val="004A2ECA"/>
    <w:rsid w:val="004A78F7"/>
    <w:rsid w:val="004B0953"/>
    <w:rsid w:val="004B24BF"/>
    <w:rsid w:val="004B2B4E"/>
    <w:rsid w:val="004B4067"/>
    <w:rsid w:val="004B5F69"/>
    <w:rsid w:val="004D621C"/>
    <w:rsid w:val="004F021F"/>
    <w:rsid w:val="004F3328"/>
    <w:rsid w:val="004F47DC"/>
    <w:rsid w:val="004F5F5D"/>
    <w:rsid w:val="004F62D6"/>
    <w:rsid w:val="004F677E"/>
    <w:rsid w:val="00501C46"/>
    <w:rsid w:val="00504F61"/>
    <w:rsid w:val="005117CA"/>
    <w:rsid w:val="005141E7"/>
    <w:rsid w:val="00520FF1"/>
    <w:rsid w:val="00530C17"/>
    <w:rsid w:val="005332C5"/>
    <w:rsid w:val="00540641"/>
    <w:rsid w:val="0054171D"/>
    <w:rsid w:val="00544647"/>
    <w:rsid w:val="00544BF5"/>
    <w:rsid w:val="00547568"/>
    <w:rsid w:val="00552504"/>
    <w:rsid w:val="005528CB"/>
    <w:rsid w:val="00553957"/>
    <w:rsid w:val="00580803"/>
    <w:rsid w:val="00582FB9"/>
    <w:rsid w:val="00583B69"/>
    <w:rsid w:val="0059418F"/>
    <w:rsid w:val="00596260"/>
    <w:rsid w:val="005968A7"/>
    <w:rsid w:val="005A1D65"/>
    <w:rsid w:val="005A2F18"/>
    <w:rsid w:val="005A524E"/>
    <w:rsid w:val="005A5B44"/>
    <w:rsid w:val="005B0842"/>
    <w:rsid w:val="005B4DC6"/>
    <w:rsid w:val="005B6235"/>
    <w:rsid w:val="005C197A"/>
    <w:rsid w:val="005C1E4B"/>
    <w:rsid w:val="005C2909"/>
    <w:rsid w:val="005C4C65"/>
    <w:rsid w:val="005C4D61"/>
    <w:rsid w:val="005C5837"/>
    <w:rsid w:val="005C5F95"/>
    <w:rsid w:val="005C7FC7"/>
    <w:rsid w:val="005D50E2"/>
    <w:rsid w:val="005D64B3"/>
    <w:rsid w:val="005D76FE"/>
    <w:rsid w:val="005E2692"/>
    <w:rsid w:val="005E3844"/>
    <w:rsid w:val="005E5124"/>
    <w:rsid w:val="00612E45"/>
    <w:rsid w:val="00613212"/>
    <w:rsid w:val="00627DBA"/>
    <w:rsid w:val="00631082"/>
    <w:rsid w:val="00631372"/>
    <w:rsid w:val="00632184"/>
    <w:rsid w:val="006430C7"/>
    <w:rsid w:val="00643DDC"/>
    <w:rsid w:val="00645613"/>
    <w:rsid w:val="00645F88"/>
    <w:rsid w:val="0065585D"/>
    <w:rsid w:val="006578BF"/>
    <w:rsid w:val="00660DD9"/>
    <w:rsid w:val="0066183C"/>
    <w:rsid w:val="006625BA"/>
    <w:rsid w:val="00664297"/>
    <w:rsid w:val="0066565B"/>
    <w:rsid w:val="00676A73"/>
    <w:rsid w:val="006850BC"/>
    <w:rsid w:val="00685942"/>
    <w:rsid w:val="006868FF"/>
    <w:rsid w:val="0069281F"/>
    <w:rsid w:val="006A3ADC"/>
    <w:rsid w:val="006B5513"/>
    <w:rsid w:val="006B5C5F"/>
    <w:rsid w:val="006C37E3"/>
    <w:rsid w:val="006C56FD"/>
    <w:rsid w:val="006D1486"/>
    <w:rsid w:val="006D4F64"/>
    <w:rsid w:val="006D613D"/>
    <w:rsid w:val="006D7C08"/>
    <w:rsid w:val="006E3E4D"/>
    <w:rsid w:val="006E74B5"/>
    <w:rsid w:val="006F3130"/>
    <w:rsid w:val="006F5D14"/>
    <w:rsid w:val="00701FB6"/>
    <w:rsid w:val="0070311D"/>
    <w:rsid w:val="007101F2"/>
    <w:rsid w:val="00713E1C"/>
    <w:rsid w:val="0072209B"/>
    <w:rsid w:val="00725A42"/>
    <w:rsid w:val="0072740D"/>
    <w:rsid w:val="007308A5"/>
    <w:rsid w:val="007326DF"/>
    <w:rsid w:val="00735DA6"/>
    <w:rsid w:val="0074113F"/>
    <w:rsid w:val="00745105"/>
    <w:rsid w:val="007519A3"/>
    <w:rsid w:val="00751B49"/>
    <w:rsid w:val="00754036"/>
    <w:rsid w:val="00762097"/>
    <w:rsid w:val="00763A7F"/>
    <w:rsid w:val="00763CA4"/>
    <w:rsid w:val="00771BCA"/>
    <w:rsid w:val="007769A6"/>
    <w:rsid w:val="00781C80"/>
    <w:rsid w:val="00790C3A"/>
    <w:rsid w:val="00797849"/>
    <w:rsid w:val="007A26A3"/>
    <w:rsid w:val="007A2A1D"/>
    <w:rsid w:val="007B2C3C"/>
    <w:rsid w:val="007B3761"/>
    <w:rsid w:val="007B4129"/>
    <w:rsid w:val="007C0EA7"/>
    <w:rsid w:val="007C3A23"/>
    <w:rsid w:val="007C5458"/>
    <w:rsid w:val="007C7C23"/>
    <w:rsid w:val="007D0352"/>
    <w:rsid w:val="007D0E2C"/>
    <w:rsid w:val="007D1989"/>
    <w:rsid w:val="007D41AC"/>
    <w:rsid w:val="007E59CD"/>
    <w:rsid w:val="007E653D"/>
    <w:rsid w:val="007F41DD"/>
    <w:rsid w:val="007F4C6F"/>
    <w:rsid w:val="007F50B0"/>
    <w:rsid w:val="00801F2C"/>
    <w:rsid w:val="00810C2E"/>
    <w:rsid w:val="00814C51"/>
    <w:rsid w:val="00820A6F"/>
    <w:rsid w:val="0082133B"/>
    <w:rsid w:val="00823959"/>
    <w:rsid w:val="0082399D"/>
    <w:rsid w:val="00840704"/>
    <w:rsid w:val="00841858"/>
    <w:rsid w:val="00843136"/>
    <w:rsid w:val="008438B7"/>
    <w:rsid w:val="008460E1"/>
    <w:rsid w:val="0085219B"/>
    <w:rsid w:val="00852727"/>
    <w:rsid w:val="008557A0"/>
    <w:rsid w:val="00861322"/>
    <w:rsid w:val="008633C4"/>
    <w:rsid w:val="00865D3D"/>
    <w:rsid w:val="00866A9A"/>
    <w:rsid w:val="00866EE9"/>
    <w:rsid w:val="008754D1"/>
    <w:rsid w:val="008774F8"/>
    <w:rsid w:val="00877B6A"/>
    <w:rsid w:val="00880986"/>
    <w:rsid w:val="00892B14"/>
    <w:rsid w:val="00893F12"/>
    <w:rsid w:val="008A319A"/>
    <w:rsid w:val="008A446E"/>
    <w:rsid w:val="008A6170"/>
    <w:rsid w:val="008B4A57"/>
    <w:rsid w:val="008C0A08"/>
    <w:rsid w:val="008C2184"/>
    <w:rsid w:val="008C5785"/>
    <w:rsid w:val="008C5E9D"/>
    <w:rsid w:val="008D11BA"/>
    <w:rsid w:val="008D171E"/>
    <w:rsid w:val="008D3446"/>
    <w:rsid w:val="008D69AE"/>
    <w:rsid w:val="0090066B"/>
    <w:rsid w:val="00901F51"/>
    <w:rsid w:val="009023DF"/>
    <w:rsid w:val="0090523B"/>
    <w:rsid w:val="00911F6D"/>
    <w:rsid w:val="00915976"/>
    <w:rsid w:val="009174AD"/>
    <w:rsid w:val="0091788A"/>
    <w:rsid w:val="00920908"/>
    <w:rsid w:val="00922709"/>
    <w:rsid w:val="009275E5"/>
    <w:rsid w:val="009411A4"/>
    <w:rsid w:val="0094228D"/>
    <w:rsid w:val="00943FFA"/>
    <w:rsid w:val="00944160"/>
    <w:rsid w:val="00946ABB"/>
    <w:rsid w:val="00950852"/>
    <w:rsid w:val="00952C4A"/>
    <w:rsid w:val="009575C3"/>
    <w:rsid w:val="0096124A"/>
    <w:rsid w:val="0096142A"/>
    <w:rsid w:val="00962583"/>
    <w:rsid w:val="00962EAC"/>
    <w:rsid w:val="0098172D"/>
    <w:rsid w:val="00985C66"/>
    <w:rsid w:val="00997D94"/>
    <w:rsid w:val="009A0385"/>
    <w:rsid w:val="009A0F00"/>
    <w:rsid w:val="009A1172"/>
    <w:rsid w:val="009A3FF7"/>
    <w:rsid w:val="009A49DF"/>
    <w:rsid w:val="009B03C5"/>
    <w:rsid w:val="009B5D9B"/>
    <w:rsid w:val="009B63FC"/>
    <w:rsid w:val="009C4257"/>
    <w:rsid w:val="009C7BF0"/>
    <w:rsid w:val="009D1E54"/>
    <w:rsid w:val="009D71E6"/>
    <w:rsid w:val="009D7AB0"/>
    <w:rsid w:val="009E641C"/>
    <w:rsid w:val="009F12CD"/>
    <w:rsid w:val="009F3223"/>
    <w:rsid w:val="009F4D92"/>
    <w:rsid w:val="009F64F7"/>
    <w:rsid w:val="009F67A1"/>
    <w:rsid w:val="00A0248A"/>
    <w:rsid w:val="00A04687"/>
    <w:rsid w:val="00A05655"/>
    <w:rsid w:val="00A068F2"/>
    <w:rsid w:val="00A170CB"/>
    <w:rsid w:val="00A2057A"/>
    <w:rsid w:val="00A21AC6"/>
    <w:rsid w:val="00A2415A"/>
    <w:rsid w:val="00A27ED0"/>
    <w:rsid w:val="00A30101"/>
    <w:rsid w:val="00A3134A"/>
    <w:rsid w:val="00A3198C"/>
    <w:rsid w:val="00A369F0"/>
    <w:rsid w:val="00A44144"/>
    <w:rsid w:val="00A442FE"/>
    <w:rsid w:val="00A46D7B"/>
    <w:rsid w:val="00A509BF"/>
    <w:rsid w:val="00A51C83"/>
    <w:rsid w:val="00A5317C"/>
    <w:rsid w:val="00A53BB8"/>
    <w:rsid w:val="00A6074A"/>
    <w:rsid w:val="00A609D1"/>
    <w:rsid w:val="00A6270C"/>
    <w:rsid w:val="00A62E2F"/>
    <w:rsid w:val="00A67E6B"/>
    <w:rsid w:val="00A70881"/>
    <w:rsid w:val="00A7474A"/>
    <w:rsid w:val="00A75D31"/>
    <w:rsid w:val="00A8427C"/>
    <w:rsid w:val="00A855E2"/>
    <w:rsid w:val="00A87C7C"/>
    <w:rsid w:val="00A97E61"/>
    <w:rsid w:val="00AA371F"/>
    <w:rsid w:val="00AC1D00"/>
    <w:rsid w:val="00AC5848"/>
    <w:rsid w:val="00AD1988"/>
    <w:rsid w:val="00AD3F58"/>
    <w:rsid w:val="00AD67B0"/>
    <w:rsid w:val="00AE0606"/>
    <w:rsid w:val="00AF1092"/>
    <w:rsid w:val="00AF46FF"/>
    <w:rsid w:val="00AF5C92"/>
    <w:rsid w:val="00AF6383"/>
    <w:rsid w:val="00AF6885"/>
    <w:rsid w:val="00B0146C"/>
    <w:rsid w:val="00B0642B"/>
    <w:rsid w:val="00B11CAF"/>
    <w:rsid w:val="00B13C8A"/>
    <w:rsid w:val="00B40639"/>
    <w:rsid w:val="00B408A5"/>
    <w:rsid w:val="00B41401"/>
    <w:rsid w:val="00B42D9E"/>
    <w:rsid w:val="00B44D4C"/>
    <w:rsid w:val="00B4545A"/>
    <w:rsid w:val="00B523ED"/>
    <w:rsid w:val="00B631E5"/>
    <w:rsid w:val="00B65059"/>
    <w:rsid w:val="00B710BB"/>
    <w:rsid w:val="00B82AE3"/>
    <w:rsid w:val="00BA0A97"/>
    <w:rsid w:val="00BA4298"/>
    <w:rsid w:val="00BA53B6"/>
    <w:rsid w:val="00BA7380"/>
    <w:rsid w:val="00BB58F9"/>
    <w:rsid w:val="00BC5AEC"/>
    <w:rsid w:val="00BD561C"/>
    <w:rsid w:val="00BE4CA1"/>
    <w:rsid w:val="00BF1F37"/>
    <w:rsid w:val="00C0293C"/>
    <w:rsid w:val="00C050CF"/>
    <w:rsid w:val="00C1042F"/>
    <w:rsid w:val="00C1243B"/>
    <w:rsid w:val="00C279FE"/>
    <w:rsid w:val="00C31AA8"/>
    <w:rsid w:val="00C3512A"/>
    <w:rsid w:val="00C353D4"/>
    <w:rsid w:val="00C448D0"/>
    <w:rsid w:val="00C45A73"/>
    <w:rsid w:val="00C52FC3"/>
    <w:rsid w:val="00C574FB"/>
    <w:rsid w:val="00C5771C"/>
    <w:rsid w:val="00C5783B"/>
    <w:rsid w:val="00C63D82"/>
    <w:rsid w:val="00C71784"/>
    <w:rsid w:val="00C73FD0"/>
    <w:rsid w:val="00C77FBD"/>
    <w:rsid w:val="00C8083F"/>
    <w:rsid w:val="00C82B9A"/>
    <w:rsid w:val="00C83B59"/>
    <w:rsid w:val="00C84826"/>
    <w:rsid w:val="00C85016"/>
    <w:rsid w:val="00C92763"/>
    <w:rsid w:val="00C934C0"/>
    <w:rsid w:val="00C959D6"/>
    <w:rsid w:val="00CA35D9"/>
    <w:rsid w:val="00CA3CE3"/>
    <w:rsid w:val="00CA675B"/>
    <w:rsid w:val="00CA7C6D"/>
    <w:rsid w:val="00CB5191"/>
    <w:rsid w:val="00CB7E86"/>
    <w:rsid w:val="00CC3B5D"/>
    <w:rsid w:val="00CC5ACA"/>
    <w:rsid w:val="00CC7A9C"/>
    <w:rsid w:val="00CD03DB"/>
    <w:rsid w:val="00CD4C56"/>
    <w:rsid w:val="00CD5DA8"/>
    <w:rsid w:val="00CD70ED"/>
    <w:rsid w:val="00CD76BE"/>
    <w:rsid w:val="00CD7ED0"/>
    <w:rsid w:val="00CE159E"/>
    <w:rsid w:val="00CE440F"/>
    <w:rsid w:val="00CE651E"/>
    <w:rsid w:val="00CF5FBB"/>
    <w:rsid w:val="00CF7E05"/>
    <w:rsid w:val="00CF7FF6"/>
    <w:rsid w:val="00D103B9"/>
    <w:rsid w:val="00D10B8B"/>
    <w:rsid w:val="00D13453"/>
    <w:rsid w:val="00D15795"/>
    <w:rsid w:val="00D1596A"/>
    <w:rsid w:val="00D16361"/>
    <w:rsid w:val="00D21409"/>
    <w:rsid w:val="00D21D29"/>
    <w:rsid w:val="00D273E5"/>
    <w:rsid w:val="00D3131B"/>
    <w:rsid w:val="00D32B49"/>
    <w:rsid w:val="00D32CA1"/>
    <w:rsid w:val="00D44A3F"/>
    <w:rsid w:val="00D461BC"/>
    <w:rsid w:val="00D47D9D"/>
    <w:rsid w:val="00D5240D"/>
    <w:rsid w:val="00D52DBC"/>
    <w:rsid w:val="00D53850"/>
    <w:rsid w:val="00D53F13"/>
    <w:rsid w:val="00D60918"/>
    <w:rsid w:val="00D61CAD"/>
    <w:rsid w:val="00D62C0C"/>
    <w:rsid w:val="00D63643"/>
    <w:rsid w:val="00D65B55"/>
    <w:rsid w:val="00D67784"/>
    <w:rsid w:val="00D76E78"/>
    <w:rsid w:val="00D7755E"/>
    <w:rsid w:val="00D77D35"/>
    <w:rsid w:val="00D804ED"/>
    <w:rsid w:val="00D8148E"/>
    <w:rsid w:val="00D82FAF"/>
    <w:rsid w:val="00D833B8"/>
    <w:rsid w:val="00D8388A"/>
    <w:rsid w:val="00D85208"/>
    <w:rsid w:val="00D9145B"/>
    <w:rsid w:val="00D923D2"/>
    <w:rsid w:val="00D9401F"/>
    <w:rsid w:val="00D95631"/>
    <w:rsid w:val="00DA093B"/>
    <w:rsid w:val="00DA0B78"/>
    <w:rsid w:val="00DA6B59"/>
    <w:rsid w:val="00DB1D87"/>
    <w:rsid w:val="00DB55D9"/>
    <w:rsid w:val="00DB64A3"/>
    <w:rsid w:val="00DC3167"/>
    <w:rsid w:val="00DC4534"/>
    <w:rsid w:val="00DD0394"/>
    <w:rsid w:val="00DD1AEC"/>
    <w:rsid w:val="00DD7DA0"/>
    <w:rsid w:val="00DE1493"/>
    <w:rsid w:val="00DE5B4B"/>
    <w:rsid w:val="00DE7A48"/>
    <w:rsid w:val="00DF09C8"/>
    <w:rsid w:val="00DF37C5"/>
    <w:rsid w:val="00DF3A4F"/>
    <w:rsid w:val="00E007FE"/>
    <w:rsid w:val="00E037B6"/>
    <w:rsid w:val="00E10987"/>
    <w:rsid w:val="00E12412"/>
    <w:rsid w:val="00E12E30"/>
    <w:rsid w:val="00E21114"/>
    <w:rsid w:val="00E23439"/>
    <w:rsid w:val="00E23DB0"/>
    <w:rsid w:val="00E24820"/>
    <w:rsid w:val="00E340C6"/>
    <w:rsid w:val="00E410ED"/>
    <w:rsid w:val="00E425CB"/>
    <w:rsid w:val="00E4494B"/>
    <w:rsid w:val="00E473D0"/>
    <w:rsid w:val="00E55676"/>
    <w:rsid w:val="00E6072A"/>
    <w:rsid w:val="00E65B61"/>
    <w:rsid w:val="00E67F9C"/>
    <w:rsid w:val="00E70242"/>
    <w:rsid w:val="00E704B4"/>
    <w:rsid w:val="00E74AF9"/>
    <w:rsid w:val="00E835A4"/>
    <w:rsid w:val="00E8747D"/>
    <w:rsid w:val="00E93747"/>
    <w:rsid w:val="00EB197D"/>
    <w:rsid w:val="00EB4136"/>
    <w:rsid w:val="00EC134D"/>
    <w:rsid w:val="00EC155C"/>
    <w:rsid w:val="00EC682D"/>
    <w:rsid w:val="00ED33F3"/>
    <w:rsid w:val="00ED7267"/>
    <w:rsid w:val="00EF1190"/>
    <w:rsid w:val="00EF1740"/>
    <w:rsid w:val="00EF1BD6"/>
    <w:rsid w:val="00EF1C84"/>
    <w:rsid w:val="00EF6D6B"/>
    <w:rsid w:val="00F01C26"/>
    <w:rsid w:val="00F02FA9"/>
    <w:rsid w:val="00F0501C"/>
    <w:rsid w:val="00F114C1"/>
    <w:rsid w:val="00F14F51"/>
    <w:rsid w:val="00F340B0"/>
    <w:rsid w:val="00F355FD"/>
    <w:rsid w:val="00F36B63"/>
    <w:rsid w:val="00F40A44"/>
    <w:rsid w:val="00F461E8"/>
    <w:rsid w:val="00F47E42"/>
    <w:rsid w:val="00F516C0"/>
    <w:rsid w:val="00F65C84"/>
    <w:rsid w:val="00F719EB"/>
    <w:rsid w:val="00F762DE"/>
    <w:rsid w:val="00F83D5A"/>
    <w:rsid w:val="00F846D1"/>
    <w:rsid w:val="00F9084E"/>
    <w:rsid w:val="00F96BBA"/>
    <w:rsid w:val="00FA3F96"/>
    <w:rsid w:val="00FA451D"/>
    <w:rsid w:val="00FA5CAE"/>
    <w:rsid w:val="00FC3989"/>
    <w:rsid w:val="00FC3D7A"/>
    <w:rsid w:val="00FC4359"/>
    <w:rsid w:val="00FC6F32"/>
    <w:rsid w:val="00FC6FD0"/>
    <w:rsid w:val="00FD0848"/>
    <w:rsid w:val="00FD1BED"/>
    <w:rsid w:val="00FD75E3"/>
    <w:rsid w:val="00FE5DE0"/>
    <w:rsid w:val="00FE6855"/>
    <w:rsid w:val="00FF1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ED0"/>
    <w:pPr>
      <w:numPr>
        <w:numId w:val="6"/>
      </w:numPr>
      <w:contextualSpacing/>
      <w:jc w:val="both"/>
    </w:pPr>
  </w:style>
  <w:style w:type="paragraph" w:styleId="Heading1">
    <w:name w:val="heading 1"/>
    <w:basedOn w:val="Normal"/>
    <w:next w:val="Normal"/>
    <w:link w:val="Heading1Char"/>
    <w:uiPriority w:val="9"/>
    <w:qFormat/>
    <w:rsid w:val="000074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after="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semiHidden/>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E410ED"/>
    <w:pPr>
      <w:spacing w:after="0" w:line="240" w:lineRule="auto"/>
    </w:pPr>
  </w:style>
  <w:style w:type="paragraph" w:styleId="Title">
    <w:name w:val="Title"/>
    <w:basedOn w:val="Normal"/>
    <w:next w:val="Normal"/>
    <w:link w:val="TitleChar"/>
    <w:uiPriority w:val="10"/>
    <w:qFormat/>
    <w:rsid w:val="00E23439"/>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3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 w:type="character" w:styleId="BookTitle">
    <w:name w:val="Book Title"/>
    <w:basedOn w:val="DefaultParagraphFont"/>
    <w:uiPriority w:val="33"/>
    <w:qFormat/>
    <w:rsid w:val="00DC316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XuO9EPJcY7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fr.wikipedia.org/wiki/Solution_(chimie)" TargetMode="External"/><Relationship Id="rId4" Type="http://schemas.openxmlformats.org/officeDocument/2006/relationships/settings" Target="settings.xml"/><Relationship Id="rId9" Type="http://schemas.openxmlformats.org/officeDocument/2006/relationships/hyperlink" Target="https://fr.wikipedia.org/wiki/Liqui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07360-DD7D-4EDF-B400-048C39A6E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3301</TotalTime>
  <Pages>5</Pages>
  <Words>1408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419</cp:revision>
  <cp:lastPrinted>2020-04-15T13:21:00Z</cp:lastPrinted>
  <dcterms:created xsi:type="dcterms:W3CDTF">2020-03-28T14:25:00Z</dcterms:created>
  <dcterms:modified xsi:type="dcterms:W3CDTF">2020-04-19T16:07:00Z</dcterms:modified>
</cp:coreProperties>
</file>