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952BD" w14:textId="1C958851" w:rsidR="00C96633" w:rsidRDefault="00C96633">
      <w:r>
        <w:rPr>
          <w:noProof/>
        </w:rPr>
        <w:drawing>
          <wp:anchor distT="0" distB="0" distL="114300" distR="114300" simplePos="0" relativeHeight="251659264" behindDoc="0" locked="0" layoutInCell="1" allowOverlap="1" wp14:anchorId="0EA45886" wp14:editId="2F9B51C9">
            <wp:simplePos x="0" y="0"/>
            <wp:positionH relativeFrom="margin">
              <wp:align>left</wp:align>
            </wp:positionH>
            <wp:positionV relativeFrom="paragraph">
              <wp:posOffset>424</wp:posOffset>
            </wp:positionV>
            <wp:extent cx="5760720" cy="22606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7AA0C" w14:textId="253545B4" w:rsidR="00F54EF7" w:rsidRDefault="00170D39" w:rsidP="00170D39">
      <w:pPr>
        <w:pStyle w:val="Heading1"/>
      </w:pPr>
      <w:r>
        <w:t xml:space="preserve">Introduction : </w:t>
      </w:r>
    </w:p>
    <w:p w14:paraId="15425CEB" w14:textId="6DE23123" w:rsidR="00A27668" w:rsidRPr="00A27668" w:rsidRDefault="0075004A" w:rsidP="0075004A">
      <w:pPr>
        <w:rPr>
          <w:rFonts w:eastAsiaTheme="minorEastAsia"/>
        </w:rPr>
      </w:pPr>
      <w:r>
        <w:t xml:space="preserve">Pour poser la problématique de la leçon, je vous propose de partir d’un exemple </w:t>
      </w:r>
      <w:r w:rsidR="0030756B">
        <w:t>concret</w:t>
      </w:r>
      <w:r>
        <w:t xml:space="preserve">. </w:t>
      </w:r>
      <w:r w:rsidR="0030756B">
        <w:t xml:space="preserve">La synthèse de l’ammoniac à partir du diazote et du dihydrogène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sub>
        </m:sSub>
        <m:r>
          <w:rPr>
            <w:rFonts w:ascii="Cambria Math" w:eastAsiaTheme="minorEastAsia" w:hAnsi="Cambria Math"/>
          </w:rPr>
          <m:t>=2N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3(g)</m:t>
            </m:r>
          </m:sub>
        </m:sSub>
      </m:oMath>
      <w:r w:rsidR="00A27668">
        <w:rPr>
          <w:rFonts w:eastAsiaTheme="minorEastAsia"/>
        </w:rPr>
        <w:t xml:space="preserve"> est un procédé industriel majeur dans nos sociétés. En effet, l’ammoniac est à la base de la conception de nombreux engrais ce qui permet d’assurer l’autosuffisance alimentaire de nombreux pays. </w:t>
      </w:r>
      <w:r w:rsidR="003F407B">
        <w:rPr>
          <w:rFonts w:eastAsiaTheme="minorEastAsia"/>
        </w:rPr>
        <w:t xml:space="preserve">Aujourd’hui, plusieurs 100 aine de millions de tonnes d’ammoniac sont produites par </w:t>
      </w:r>
      <w:r w:rsidR="00F129F5">
        <w:rPr>
          <w:rFonts w:eastAsiaTheme="minorEastAsia"/>
        </w:rPr>
        <w:t>le procédé dit de Haber-Bosch</w:t>
      </w:r>
      <w:r w:rsidR="00BB7285">
        <w:rPr>
          <w:rFonts w:eastAsiaTheme="minorEastAsia"/>
        </w:rPr>
        <w:t xml:space="preserve"> et qui date du début du XXe siècle</w:t>
      </w:r>
      <w:r w:rsidR="00F129F5">
        <w:rPr>
          <w:rFonts w:eastAsiaTheme="minorEastAsia"/>
        </w:rPr>
        <w:t>.</w:t>
      </w:r>
      <w:r w:rsidR="000E3A38">
        <w:rPr>
          <w:rFonts w:eastAsiaTheme="minorEastAsia"/>
        </w:rPr>
        <w:t xml:space="preserve"> On comprend l’intérêt pour les industriels vu les quantités produites d’optimiser cette réaction </w:t>
      </w:r>
      <w:r w:rsidR="0078251F">
        <w:rPr>
          <w:rFonts w:eastAsiaTheme="minorEastAsia"/>
        </w:rPr>
        <w:t>c’est-à-dire d’en optimiser le rendemen</w:t>
      </w:r>
      <w:r w:rsidR="008F1C30">
        <w:rPr>
          <w:rFonts w:eastAsiaTheme="minorEastAsia"/>
        </w:rPr>
        <w:t xml:space="preserve">t ce qui revient </w:t>
      </w:r>
      <w:r w:rsidR="008F1C30">
        <w:rPr>
          <w:rFonts w:eastAsiaTheme="minorEastAsia"/>
          <w:b/>
          <w:bCs/>
        </w:rPr>
        <w:t xml:space="preserve">dans une certaine mesure (sans tenir compte de la cinétique) </w:t>
      </w:r>
      <w:r w:rsidR="008D57B5">
        <w:rPr>
          <w:rFonts w:eastAsiaTheme="minorEastAsia"/>
        </w:rPr>
        <w:t xml:space="preserve">à </w:t>
      </w:r>
      <w:r w:rsidR="00723A91">
        <w:rPr>
          <w:rFonts w:eastAsiaTheme="minorEastAsia"/>
        </w:rPr>
        <w:t xml:space="preserve">augmenter l’avancement de la réaction. </w:t>
      </w:r>
      <w:r w:rsidR="00F129F5">
        <w:rPr>
          <w:rFonts w:eastAsiaTheme="minorEastAsia"/>
        </w:rPr>
        <w:t xml:space="preserve"> </w:t>
      </w:r>
      <w:r w:rsidR="003F407B">
        <w:rPr>
          <w:rFonts w:eastAsiaTheme="minorEastAsia"/>
        </w:rPr>
        <w:t xml:space="preserve"> </w:t>
      </w:r>
    </w:p>
    <w:p w14:paraId="4C8AC15D" w14:textId="4F2DFD98" w:rsidR="00490A6B" w:rsidRDefault="00D759BD" w:rsidP="00490A6B">
      <w:r>
        <w:t xml:space="preserve">Prérequis : </w:t>
      </w:r>
    </w:p>
    <w:p w14:paraId="084C992C" w14:textId="186B71A8" w:rsidR="00532A44" w:rsidRDefault="00532A44" w:rsidP="00532A4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7E4B67" wp14:editId="67468BBB">
            <wp:simplePos x="0" y="0"/>
            <wp:positionH relativeFrom="margin">
              <wp:align>center</wp:align>
            </wp:positionH>
            <wp:positionV relativeFrom="paragraph">
              <wp:posOffset>460586</wp:posOffset>
            </wp:positionV>
            <wp:extent cx="4846320" cy="13938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partir du critère d’évolution spontané, nous avons exposé plusieurs façons de déplacer l’équilibre d’une réaction : </w:t>
      </w:r>
    </w:p>
    <w:p w14:paraId="32669A2C" w14:textId="7FC9C217" w:rsidR="0075004A" w:rsidRDefault="00532A44" w:rsidP="00532A44">
      <w:pPr>
        <w:pStyle w:val="ListParagraph"/>
      </w:pPr>
      <w:r>
        <w:t xml:space="preserve"> </w:t>
      </w:r>
    </w:p>
    <w:p w14:paraId="6A42CD60" w14:textId="63369681" w:rsidR="00EB7D82" w:rsidRDefault="00532A44" w:rsidP="00532A44">
      <w:pPr>
        <w:pStyle w:val="ListParagraph"/>
      </w:pPr>
      <w:r w:rsidRPr="0026164A">
        <w:rPr>
          <w:b/>
          <w:bCs/>
        </w:rPr>
        <w:t>Méthode 1 :</w:t>
      </w:r>
      <w:r>
        <w:t xml:space="preserve"> </w:t>
      </w:r>
      <w:r w:rsidR="004D1D54">
        <w:t xml:space="preserve">Modification de la valeur de </w:t>
      </w:r>
      <m:oMath>
        <m:r>
          <w:rPr>
            <w:rFonts w:ascii="Cambria Math" w:hAnsi="Cambria Math"/>
          </w:rPr>
          <m:t>K(T)</m:t>
        </m:r>
      </m:oMath>
      <w:r w:rsidR="004D1D54">
        <w:t xml:space="preserve"> (</w:t>
      </w:r>
      <w:proofErr w:type="spellStart"/>
      <w:r w:rsidR="004D1D54">
        <w:t>ie</w:t>
      </w:r>
      <w:proofErr w:type="spellEnd"/>
      <w:r w:rsidR="004D1D54">
        <w:t xml:space="preserve"> faire varier la température pour augmenter la constante de réaction)</w:t>
      </w:r>
      <w:r w:rsidR="00FD00ED">
        <w:t xml:space="preserve"> Ceci est géré par la loi de </w:t>
      </w:r>
      <w:proofErr w:type="spellStart"/>
      <w:r w:rsidR="00FD00ED">
        <w:t>Van’t</w:t>
      </w:r>
      <w:proofErr w:type="spellEnd"/>
      <w:r w:rsidR="00FD00ED">
        <w:t xml:space="preserve"> Hoff : </w:t>
      </w:r>
    </w:p>
    <w:p w14:paraId="2307ECEC" w14:textId="4D34C89B" w:rsidR="00FD00ED" w:rsidRDefault="00CB0195" w:rsidP="00532A44">
      <w:pPr>
        <w:pStyle w:val="ListParagraph"/>
        <w:rPr>
          <w:rFonts w:eastAsiaTheme="minorEastAsia"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°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 : T augmente évolution dans le sens des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(sens endothermique)</w:t>
      </w:r>
    </w:p>
    <w:p w14:paraId="7D00C0A4" w14:textId="10E7BAE2" w:rsidR="0026164A" w:rsidRDefault="0026164A" w:rsidP="00532A44">
      <w:pPr>
        <w:pStyle w:val="ListParagraph"/>
      </w:pPr>
      <w:r w:rsidRPr="0026164A">
        <w:rPr>
          <w:b/>
          <w:bCs/>
        </w:rPr>
        <w:t>Méthode 2 :</w:t>
      </w:r>
      <w:r w:rsidR="00224095">
        <w:rPr>
          <w:b/>
          <w:bCs/>
        </w:rPr>
        <w:t xml:space="preserve"> </w:t>
      </w:r>
      <w:r w:rsidRPr="0026164A">
        <w:rPr>
          <w:b/>
          <w:bCs/>
        </w:rPr>
        <w:t xml:space="preserve"> </w:t>
      </w:r>
      <w:r w:rsidR="003A7892">
        <w:t xml:space="preserve">Faire varier la constante de réaction </w:t>
      </w:r>
      <w:r w:rsidR="009B3187">
        <w:t xml:space="preserve">en faisant varier un facteur d’équilibre : </w:t>
      </w:r>
    </w:p>
    <w:p w14:paraId="1CE5F780" w14:textId="77777777" w:rsidR="00C66CD8" w:rsidRDefault="009B3187" w:rsidP="009B3187">
      <w:pPr>
        <w:pStyle w:val="ListParagraph"/>
        <w:numPr>
          <w:ilvl w:val="0"/>
          <w:numId w:val="1"/>
        </w:numPr>
      </w:pPr>
      <w:r>
        <w:t xml:space="preserve">Concentration en réactif (ajout de solvant </w:t>
      </w:r>
      <w:r w:rsidR="00A16187">
        <w:t>loi de dilution d’Oswald</w:t>
      </w:r>
      <w:r w:rsidR="00C66CD8">
        <w:t>, ajout d’un soluté actif</w:t>
      </w:r>
      <w:r w:rsidR="00A16187">
        <w:t>)</w:t>
      </w:r>
    </w:p>
    <w:p w14:paraId="489A6666" w14:textId="77777777" w:rsidR="00960FE0" w:rsidRDefault="00C66CD8" w:rsidP="009B3187">
      <w:pPr>
        <w:pStyle w:val="ListParagraph"/>
        <w:numPr>
          <w:ilvl w:val="0"/>
          <w:numId w:val="1"/>
        </w:numPr>
      </w:pPr>
      <w:r>
        <w:t>Pression :</w:t>
      </w:r>
      <w:r w:rsidR="00015E9B">
        <w:t xml:space="preserve"> influence de la pression partielle (consommation et dilution de la phase gazeuse)</w:t>
      </w:r>
    </w:p>
    <w:p w14:paraId="68C2546A" w14:textId="77777777" w:rsidR="00BD5858" w:rsidRDefault="00BD5858" w:rsidP="00960FE0">
      <w:pPr>
        <w:pStyle w:val="ListParagraph"/>
      </w:pPr>
    </w:p>
    <w:p w14:paraId="24F93543" w14:textId="33AB98E4" w:rsidR="009B3187" w:rsidRPr="003A7892" w:rsidRDefault="00BD5858" w:rsidP="00960FE0">
      <w:pPr>
        <w:pStyle w:val="ListParagraph"/>
      </w:pPr>
      <w:r>
        <w:t>A travers l’étude de la synthèse de l’ammoniac, nous allons jouer sur ces différents curseurs</w:t>
      </w:r>
      <w:r w:rsidR="007B628C">
        <w:t xml:space="preserve">. Puis nous allons dans une seconde partie étudier </w:t>
      </w:r>
      <w:r w:rsidR="00AA42A1">
        <w:t xml:space="preserve">un cas concret en chimie organique que nous pouvons mettre en œuvre à travers une estérification. </w:t>
      </w:r>
      <w:bookmarkStart w:id="0" w:name="_GoBack"/>
      <w:bookmarkEnd w:id="0"/>
    </w:p>
    <w:sectPr w:rsidR="009B3187" w:rsidRPr="003A7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81738"/>
    <w:multiLevelType w:val="hybridMultilevel"/>
    <w:tmpl w:val="B086AE0E"/>
    <w:lvl w:ilvl="0" w:tplc="73EC99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41"/>
    <w:rsid w:val="00015E9B"/>
    <w:rsid w:val="00045F5C"/>
    <w:rsid w:val="000E3A38"/>
    <w:rsid w:val="00105A4E"/>
    <w:rsid w:val="00170D39"/>
    <w:rsid w:val="001A1A65"/>
    <w:rsid w:val="00224095"/>
    <w:rsid w:val="00226BC3"/>
    <w:rsid w:val="0026164A"/>
    <w:rsid w:val="0030756B"/>
    <w:rsid w:val="003A7892"/>
    <w:rsid w:val="003F407B"/>
    <w:rsid w:val="00490A6B"/>
    <w:rsid w:val="004D1D54"/>
    <w:rsid w:val="00532A44"/>
    <w:rsid w:val="00630B76"/>
    <w:rsid w:val="00723A91"/>
    <w:rsid w:val="0075004A"/>
    <w:rsid w:val="0078251F"/>
    <w:rsid w:val="007B628C"/>
    <w:rsid w:val="008A4AF3"/>
    <w:rsid w:val="008D57B5"/>
    <w:rsid w:val="008F1C30"/>
    <w:rsid w:val="00960FE0"/>
    <w:rsid w:val="009B3187"/>
    <w:rsid w:val="00A16187"/>
    <w:rsid w:val="00A27668"/>
    <w:rsid w:val="00AA42A1"/>
    <w:rsid w:val="00B35241"/>
    <w:rsid w:val="00BB7285"/>
    <w:rsid w:val="00BD5858"/>
    <w:rsid w:val="00C66CD8"/>
    <w:rsid w:val="00C96633"/>
    <w:rsid w:val="00CB0195"/>
    <w:rsid w:val="00D759BD"/>
    <w:rsid w:val="00EB7D82"/>
    <w:rsid w:val="00ED035E"/>
    <w:rsid w:val="00F129F5"/>
    <w:rsid w:val="00F54EF7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F548"/>
  <w15:chartTrackingRefBased/>
  <w15:docId w15:val="{26CC7F62-4BE2-4750-922D-389409DF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7D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7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270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39</cp:revision>
  <dcterms:created xsi:type="dcterms:W3CDTF">2020-06-16T16:39:00Z</dcterms:created>
  <dcterms:modified xsi:type="dcterms:W3CDTF">2020-06-16T18:09:00Z</dcterms:modified>
</cp:coreProperties>
</file>