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5DAE8" w14:textId="0B93D29D" w:rsidR="00520B27" w:rsidRDefault="006C3F56" w:rsidP="00517CE7">
      <w:pPr>
        <w:pStyle w:val="Title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8C15F7" wp14:editId="412079E6">
            <wp:simplePos x="0" y="0"/>
            <wp:positionH relativeFrom="margin">
              <wp:align>right</wp:align>
            </wp:positionH>
            <wp:positionV relativeFrom="paragraph">
              <wp:posOffset>819150</wp:posOffset>
            </wp:positionV>
            <wp:extent cx="5760720" cy="33553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C26A4FD" wp14:editId="1D7A81F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77787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7CE7">
        <w:t>LC27- Solubilité (CPGE)</w:t>
      </w:r>
    </w:p>
    <w:p w14:paraId="5B37464B" w14:textId="77777777" w:rsidR="001B7E5A" w:rsidRDefault="001B7E5A" w:rsidP="001B7E5A">
      <w:pPr>
        <w:pStyle w:val="Heading1"/>
      </w:pPr>
      <w:r>
        <w:t xml:space="preserve">Introduction : </w:t>
      </w:r>
    </w:p>
    <w:p w14:paraId="3DB25870" w14:textId="77777777" w:rsidR="009F71E5" w:rsidRDefault="001B7E5A" w:rsidP="001B7E5A">
      <w:r>
        <w:t>Mar</w:t>
      </w:r>
      <w:r w:rsidR="00161654">
        <w:t>ais</w:t>
      </w:r>
      <w:r>
        <w:t xml:space="preserve"> salant</w:t>
      </w:r>
      <w:r w:rsidR="00161654">
        <w:t>.</w:t>
      </w:r>
    </w:p>
    <w:p w14:paraId="41037E11" w14:textId="5D1F7B72" w:rsidR="00520B27" w:rsidRDefault="009F71E5" w:rsidP="001B7E5A">
      <w:pPr>
        <w:rPr>
          <w:spacing w:val="-10"/>
          <w:kern w:val="28"/>
          <w:sz w:val="56"/>
          <w:szCs w:val="56"/>
        </w:rPr>
      </w:pPr>
      <w:r>
        <w:t>Pour la méthode de mohr, c’est important que les deux composés aient une solubilité voisine car sinon l’apparition du précipité rouge (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Cr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) se fait bien après l’équivalence.</w:t>
      </w:r>
      <w:bookmarkStart w:id="0" w:name="_GoBack"/>
      <w:bookmarkEnd w:id="0"/>
      <w:r w:rsidR="00520B27">
        <w:br w:type="page"/>
      </w:r>
    </w:p>
    <w:p w14:paraId="62D7CB01" w14:textId="77777777" w:rsidR="00F54EF7" w:rsidRPr="00520B27" w:rsidRDefault="00F54EF7" w:rsidP="00520B27">
      <w:pPr>
        <w:pStyle w:val="Title"/>
      </w:pPr>
    </w:p>
    <w:sectPr w:rsidR="00F54EF7" w:rsidRPr="00520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A1"/>
    <w:rsid w:val="00161654"/>
    <w:rsid w:val="001B7E5A"/>
    <w:rsid w:val="00226BC3"/>
    <w:rsid w:val="002B2BA1"/>
    <w:rsid w:val="00517CE7"/>
    <w:rsid w:val="00520B27"/>
    <w:rsid w:val="00573879"/>
    <w:rsid w:val="006C3F56"/>
    <w:rsid w:val="009F71E5"/>
    <w:rsid w:val="00F5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EEC08"/>
  <w15:chartTrackingRefBased/>
  <w15:docId w15:val="{F90A575D-FCC8-404D-B98C-8D52E14D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7C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7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F71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8</cp:revision>
  <dcterms:created xsi:type="dcterms:W3CDTF">2020-06-27T10:48:00Z</dcterms:created>
  <dcterms:modified xsi:type="dcterms:W3CDTF">2020-06-27T17:01:00Z</dcterms:modified>
</cp:coreProperties>
</file>