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48247" w14:textId="53800F04" w:rsidR="00972B89" w:rsidRDefault="00A36C1F" w:rsidP="00A36C1F">
      <w:pPr>
        <w:pStyle w:val="Title"/>
        <w:ind w:left="1068"/>
        <w:jc w:val="center"/>
      </w:pPr>
      <w:r>
        <w:t>LP : Les symétries en physique</w:t>
      </w:r>
    </w:p>
    <w:p w14:paraId="72CCF0A1" w14:textId="66288D85" w:rsidR="00571FA2" w:rsidRPr="00571FA2" w:rsidRDefault="00571FA2" w:rsidP="00571FA2">
      <w:r>
        <w:t>Titre original :</w:t>
      </w:r>
      <w:r w:rsidRPr="00571FA2">
        <w:t xml:space="preserve"> </w:t>
      </w:r>
      <w:r>
        <w:t>Illustration de l’intérêt de la notion de symétrie dans différents domaines de la physique.</w:t>
      </w:r>
    </w:p>
    <w:p w14:paraId="4B8C7DA7" w14:textId="4B526684" w:rsidR="003B2AB0" w:rsidRDefault="003B2AB0" w:rsidP="003B2AB0">
      <w:pPr>
        <w:pStyle w:val="Heading1"/>
        <w:numPr>
          <w:ilvl w:val="0"/>
          <w:numId w:val="0"/>
        </w:numPr>
        <w:ind w:left="1080"/>
      </w:pPr>
      <w:r>
        <w:t>Rapport du jury</w:t>
      </w:r>
    </w:p>
    <w:p w14:paraId="3333AAC6" w14:textId="7AD49B99" w:rsidR="003B2AB0" w:rsidRDefault="003B2AB0" w:rsidP="003B2AB0">
      <w:r>
        <w:t xml:space="preserve">2010 : </w:t>
      </w:r>
      <w:r w:rsidRPr="003B2AB0">
        <w:t xml:space="preserve">Cette leçon doit mettre en évidence les conséquences des symétries en physique. Elle ne doit pas se borner à des calculs de champs électromagnétiques. Le jury jugera en partie la leçon sur la pertinence et la </w:t>
      </w:r>
      <w:r w:rsidRPr="0026129E">
        <w:t>variété</w:t>
      </w:r>
      <w:r w:rsidRPr="003B2AB0">
        <w:t xml:space="preserve"> des exemples proposés par le candidat.</w:t>
      </w:r>
    </w:p>
    <w:p w14:paraId="49624879" w14:textId="4517D1FA" w:rsidR="003B2AB0" w:rsidRPr="003B2AB0" w:rsidRDefault="003B2AB0" w:rsidP="003B2AB0">
      <w:r>
        <w:t>2011-2012 : Les invariances peuvent être abordées dans cette leçon.</w:t>
      </w:r>
    </w:p>
    <w:p w14:paraId="4339D97F" w14:textId="422BD2B2" w:rsidR="009A079A" w:rsidRDefault="009A079A" w:rsidP="009A079A">
      <w:pPr>
        <w:pStyle w:val="Heading1"/>
        <w:numPr>
          <w:ilvl w:val="0"/>
          <w:numId w:val="0"/>
        </w:numPr>
        <w:ind w:left="1080"/>
      </w:pPr>
      <w:r>
        <w:t xml:space="preserve">Références : </w:t>
      </w:r>
    </w:p>
    <w:p w14:paraId="263ED9A5" w14:textId="44870D35" w:rsidR="009A079A" w:rsidRDefault="009A079A" w:rsidP="009A079A">
      <w:r>
        <w:rPr>
          <w:i/>
          <w:iCs/>
        </w:rPr>
        <w:t>Mécanique Analytique</w:t>
      </w:r>
      <w:r w:rsidR="00ED784B">
        <w:rPr>
          <w:i/>
          <w:iCs/>
        </w:rPr>
        <w:t>,</w:t>
      </w:r>
      <w:r>
        <w:rPr>
          <w:i/>
          <w:iCs/>
        </w:rPr>
        <w:t xml:space="preserve"> </w:t>
      </w:r>
      <w:r>
        <w:t xml:space="preserve">Rossen Dandoloff (photocopie </w:t>
      </w:r>
      <w:r w:rsidR="00CF0F5C">
        <w:t>dans le dossier</w:t>
      </w:r>
      <w:r>
        <w:t>)</w:t>
      </w:r>
    </w:p>
    <w:p w14:paraId="33B5446B" w14:textId="26F5F364" w:rsidR="00ED784B" w:rsidRPr="00ED784B" w:rsidRDefault="00ED784B" w:rsidP="009A079A">
      <w:r>
        <w:rPr>
          <w:i/>
          <w:iCs/>
        </w:rPr>
        <w:t xml:space="preserve">Mécanique Analytique, </w:t>
      </w:r>
      <w:r w:rsidRPr="00ED784B">
        <w:t>Amiot et Marleau</w:t>
      </w:r>
    </w:p>
    <w:p w14:paraId="4111BA74" w14:textId="6EDF718B" w:rsidR="009A079A" w:rsidRPr="00CF0F5C" w:rsidRDefault="009A079A" w:rsidP="009A079A">
      <w:pPr>
        <w:jc w:val="left"/>
      </w:pPr>
      <w:r>
        <w:rPr>
          <w:i/>
          <w:iCs/>
        </w:rPr>
        <w:t xml:space="preserve">Cours de Feynman </w:t>
      </w:r>
      <w:r w:rsidRPr="009A079A">
        <w:rPr>
          <w:i/>
          <w:iCs/>
          <w:sz w:val="16"/>
          <w:szCs w:val="16"/>
        </w:rPr>
        <w:t xml:space="preserve">(disponible sur le site : </w:t>
      </w:r>
      <w:hyperlink r:id="rId8" w:history="1">
        <w:r w:rsidRPr="009A079A">
          <w:rPr>
            <w:rStyle w:val="Hyperlink"/>
            <w:i/>
            <w:iCs/>
            <w:sz w:val="16"/>
            <w:szCs w:val="16"/>
          </w:rPr>
          <w:t>https://www.feynmanlectures.caltech.edu/I_52.html</w:t>
        </w:r>
      </w:hyperlink>
      <w:r w:rsidRPr="009A079A">
        <w:rPr>
          <w:i/>
          <w:iCs/>
          <w:sz w:val="16"/>
          <w:szCs w:val="16"/>
        </w:rPr>
        <w:t xml:space="preserve"> )</w:t>
      </w:r>
    </w:p>
    <w:p w14:paraId="5C20A67C" w14:textId="379E6BE4" w:rsidR="00CF0F5C" w:rsidRDefault="00CF0F5C" w:rsidP="009A079A">
      <w:pPr>
        <w:jc w:val="left"/>
        <w:rPr>
          <w:rFonts w:cstheme="minorHAnsi"/>
        </w:rPr>
      </w:pPr>
      <w:r w:rsidRPr="00CF0F5C">
        <w:rPr>
          <w:rFonts w:cstheme="minorHAnsi"/>
        </w:rPr>
        <w:t>Cours de Jean-Bernard Zuber</w:t>
      </w:r>
      <w:r>
        <w:rPr>
          <w:rFonts w:cstheme="minorHAnsi"/>
        </w:rPr>
        <w:t xml:space="preserve"> (cf. dans le dossier)</w:t>
      </w:r>
    </w:p>
    <w:p w14:paraId="539DDE92" w14:textId="3E414A96" w:rsidR="00790646" w:rsidRPr="00CF0F5C" w:rsidRDefault="00790646" w:rsidP="009A079A">
      <w:pPr>
        <w:jc w:val="left"/>
        <w:rPr>
          <w:rFonts w:cstheme="minorHAnsi"/>
        </w:rPr>
      </w:pPr>
      <w:r>
        <w:rPr>
          <w:rFonts w:cstheme="minorHAnsi"/>
        </w:rPr>
        <w:t xml:space="preserve">BUP, </w:t>
      </w:r>
      <w:r>
        <w:rPr>
          <w:rFonts w:cstheme="minorHAnsi"/>
          <w:i/>
          <w:iCs/>
        </w:rPr>
        <w:t xml:space="preserve">Remarques sur le principe de Curie, </w:t>
      </w:r>
      <w:r w:rsidRPr="00790646">
        <w:rPr>
          <w:rFonts w:cstheme="minorHAnsi"/>
        </w:rPr>
        <w:t>Sivardière</w:t>
      </w:r>
      <w:r>
        <w:rPr>
          <w:rFonts w:cstheme="minorHAnsi"/>
        </w:rPr>
        <w:t xml:space="preserve"> </w:t>
      </w:r>
      <w:r w:rsidR="00693B62">
        <w:t>(cf.dossier)</w:t>
      </w:r>
    </w:p>
    <w:p w14:paraId="254895FF" w14:textId="4115EF6C" w:rsidR="006B10B4" w:rsidRDefault="0041178B" w:rsidP="0041178B">
      <w:pPr>
        <w:pStyle w:val="Heading1"/>
        <w:numPr>
          <w:ilvl w:val="0"/>
          <w:numId w:val="0"/>
        </w:numPr>
        <w:ind w:left="1080"/>
      </w:pPr>
      <w:r>
        <w:t xml:space="preserve">Prérequis </w:t>
      </w:r>
    </w:p>
    <w:p w14:paraId="0CCCB97A" w14:textId="4E146ED9" w:rsidR="0041178B" w:rsidRDefault="0041178B" w:rsidP="0041178B">
      <w:r>
        <w:t>Mécanique analytique : Principe de Maupertuis, théorème d’Euler-Lagrange.</w:t>
      </w:r>
      <w:r w:rsidR="00891D8B">
        <w:t xml:space="preserve"> Hamiltonien</w:t>
      </w:r>
    </w:p>
    <w:p w14:paraId="5E466D48" w14:textId="33713ACE" w:rsidR="00A8107B" w:rsidRDefault="0041178B" w:rsidP="0041178B">
      <w:r>
        <w:t>Loi de l’électrostatique</w:t>
      </w:r>
      <w:r w:rsidR="00381B02">
        <w:t xml:space="preserve"> et magnétostatique</w:t>
      </w:r>
    </w:p>
    <w:p w14:paraId="018EC7B2" w14:textId="7E5284CE" w:rsidR="0041178B" w:rsidRDefault="00891D8B" w:rsidP="0041178B">
      <w:r>
        <w:t>Transition Paramagnétisme-Ferromagnétisme</w:t>
      </w:r>
    </w:p>
    <w:p w14:paraId="3EBDC8B3" w14:textId="77777777" w:rsidR="00891D8B" w:rsidRPr="0041178B" w:rsidRDefault="00891D8B" w:rsidP="009A079A">
      <w:pPr>
        <w:pStyle w:val="Heading1"/>
        <w:numPr>
          <w:ilvl w:val="0"/>
          <w:numId w:val="0"/>
        </w:numPr>
        <w:ind w:left="1080"/>
      </w:pPr>
    </w:p>
    <w:p w14:paraId="3FA38E6A" w14:textId="4C0235B2" w:rsidR="006B10B4" w:rsidRDefault="006B10B4" w:rsidP="009D3155">
      <w:pPr>
        <w:pStyle w:val="Heading1"/>
        <w:numPr>
          <w:ilvl w:val="0"/>
          <w:numId w:val="0"/>
        </w:numPr>
        <w:ind w:left="1080" w:firstLine="336"/>
      </w:pPr>
      <w:r>
        <w:t xml:space="preserve">Introduction </w:t>
      </w:r>
    </w:p>
    <w:p w14:paraId="6564853C" w14:textId="0CBCF711" w:rsidR="005467B2" w:rsidRDefault="005467B2" w:rsidP="00946D24">
      <w:pPr>
        <w:pStyle w:val="ListParagraph"/>
        <w:numPr>
          <w:ilvl w:val="0"/>
          <w:numId w:val="0"/>
        </w:numPr>
        <w:ind w:left="1428" w:firstLine="696"/>
      </w:pPr>
      <w:r>
        <w:t xml:space="preserve">La </w:t>
      </w:r>
      <w:r w:rsidRPr="00DA0053">
        <w:rPr>
          <w:b/>
          <w:bCs/>
        </w:rPr>
        <w:t>s</w:t>
      </w:r>
      <w:r w:rsidR="006B10B4" w:rsidRPr="00DA0053">
        <w:rPr>
          <w:b/>
          <w:bCs/>
        </w:rPr>
        <w:t>ymétrie</w:t>
      </w:r>
      <w:r w:rsidR="006B10B4">
        <w:t xml:space="preserve"> évoque dans la culture populaire </w:t>
      </w:r>
      <w:r w:rsidR="006B10B4" w:rsidRPr="00DA0053">
        <w:rPr>
          <w:b/>
          <w:bCs/>
        </w:rPr>
        <w:t>l</w:t>
      </w:r>
      <w:r w:rsidR="00A0075C" w:rsidRPr="00DA0053">
        <w:rPr>
          <w:b/>
          <w:bCs/>
        </w:rPr>
        <w:t xml:space="preserve">’invariance </w:t>
      </w:r>
      <w:r w:rsidR="006B10B4" w:rsidRPr="00DA0053">
        <w:rPr>
          <w:b/>
          <w:bCs/>
        </w:rPr>
        <w:t>d</w:t>
      </w:r>
      <w:r w:rsidR="00A0075C" w:rsidRPr="00DA0053">
        <w:rPr>
          <w:b/>
          <w:bCs/>
        </w:rPr>
        <w:t>e</w:t>
      </w:r>
      <w:r w:rsidR="00B656B8" w:rsidRPr="00DA0053">
        <w:rPr>
          <w:b/>
          <w:bCs/>
        </w:rPr>
        <w:t>s</w:t>
      </w:r>
      <w:r w:rsidR="00A0075C" w:rsidRPr="00DA0053">
        <w:rPr>
          <w:b/>
          <w:bCs/>
        </w:rPr>
        <w:t xml:space="preserve"> figure</w:t>
      </w:r>
      <w:r w:rsidR="00B656B8" w:rsidRPr="00DA0053">
        <w:rPr>
          <w:b/>
          <w:bCs/>
        </w:rPr>
        <w:t>s</w:t>
      </w:r>
      <w:r w:rsidR="00A0075C" w:rsidRPr="00DA0053">
        <w:rPr>
          <w:b/>
          <w:bCs/>
        </w:rPr>
        <w:t xml:space="preserve"> géométrique</w:t>
      </w:r>
      <w:r w:rsidR="00B656B8" w:rsidRPr="00DA0053">
        <w:rPr>
          <w:b/>
          <w:bCs/>
        </w:rPr>
        <w:t>s</w:t>
      </w:r>
      <w:r w:rsidR="00A0075C" w:rsidRPr="00DA0053">
        <w:rPr>
          <w:b/>
          <w:bCs/>
        </w:rPr>
        <w:t xml:space="preserve"> par une transformation spatiale</w:t>
      </w:r>
      <w:r w:rsidR="006B10B4">
        <w:t>.</w:t>
      </w:r>
      <w:r w:rsidR="00A0075C">
        <w:t xml:space="preserve"> Exemple : Un cercle est invariant par une rotation</w:t>
      </w:r>
      <w:r w:rsidR="006B10B4">
        <w:t xml:space="preserve"> </w:t>
      </w:r>
      <w:r w:rsidR="00B656B8">
        <w:t>ou une réflexion bien choisie</w:t>
      </w:r>
      <w:r w:rsidR="00A0075C">
        <w:t xml:space="preserve">. Dans cette leçon, nous allons traiter des exemples précis dans lesquels nous allons constater l’importance du concept de symétrie en Physique. </w:t>
      </w:r>
    </w:p>
    <w:p w14:paraId="680B9A1E" w14:textId="2FDC1902" w:rsidR="00E40923" w:rsidRDefault="005467B2" w:rsidP="00946D24">
      <w:pPr>
        <w:pStyle w:val="ListParagraph"/>
        <w:numPr>
          <w:ilvl w:val="0"/>
          <w:numId w:val="0"/>
        </w:numPr>
        <w:ind w:left="1428" w:firstLine="696"/>
      </w:pPr>
      <w:r>
        <w:t xml:space="preserve">Le concept de symétrie se rapporte à des situations </w:t>
      </w:r>
      <w:r w:rsidRPr="00E40923">
        <w:rPr>
          <w:b/>
          <w:bCs/>
        </w:rPr>
        <w:t>différentes</w:t>
      </w:r>
      <w:r>
        <w:t xml:space="preserve"> en physique. Nous avons déjà traité des exercices où la </w:t>
      </w:r>
      <w:r w:rsidRPr="00E40923">
        <w:rPr>
          <w:b/>
          <w:bCs/>
        </w:rPr>
        <w:t>géométrie</w:t>
      </w:r>
      <w:r w:rsidR="00E40923" w:rsidRPr="00E40923">
        <w:rPr>
          <w:b/>
          <w:bCs/>
        </w:rPr>
        <w:t xml:space="preserve"> de l’espace</w:t>
      </w:r>
      <w:r w:rsidR="00E40923">
        <w:t xml:space="preserve"> </w:t>
      </w:r>
      <w:r>
        <w:t xml:space="preserve">avait un certain degré de symétrie </w:t>
      </w:r>
      <w:r w:rsidR="00393DEC">
        <w:t>E</w:t>
      </w:r>
      <w:r>
        <w:t xml:space="preserve">xemple : </w:t>
      </w:r>
      <w:r w:rsidRPr="00E40923">
        <w:rPr>
          <w:b/>
          <w:bCs/>
        </w:rPr>
        <w:t>en électro</w:t>
      </w:r>
      <w:r w:rsidR="00E40923" w:rsidRPr="00E40923">
        <w:rPr>
          <w:b/>
          <w:bCs/>
        </w:rPr>
        <w:t xml:space="preserve"> et magnéto</w:t>
      </w:r>
      <w:r w:rsidRPr="00E40923">
        <w:rPr>
          <w:b/>
          <w:bCs/>
        </w:rPr>
        <w:t>statique</w:t>
      </w:r>
      <w:r>
        <w:t xml:space="preserve"> nous avons abordé des systèmes idéaux un </w:t>
      </w:r>
      <w:r w:rsidRPr="00E40923">
        <w:rPr>
          <w:b/>
          <w:bCs/>
        </w:rPr>
        <w:t>fil infini</w:t>
      </w:r>
      <w:r>
        <w:t xml:space="preserve"> uniformément chargé, </w:t>
      </w:r>
      <w:r w:rsidRPr="00946D24">
        <w:rPr>
          <w:b/>
          <w:bCs/>
        </w:rPr>
        <w:t>solénoïde infini</w:t>
      </w:r>
      <w:r>
        <w:t xml:space="preserve"> pour lesquels nous avons pu déterminer </w:t>
      </w:r>
      <w:r w:rsidR="00393DEC">
        <w:t>respectivement les champs électriques magnétiques</w:t>
      </w:r>
      <w:r>
        <w:t>.</w:t>
      </w:r>
      <w:r w:rsidR="00393DEC">
        <w:t xml:space="preserve"> Nous allons retraiter ces problèmes dans cette leçon à la lumière d’un </w:t>
      </w:r>
      <w:r w:rsidR="00393DEC" w:rsidRPr="00946D24">
        <w:rPr>
          <w:b/>
          <w:bCs/>
        </w:rPr>
        <w:t>principe</w:t>
      </w:r>
      <w:r w:rsidR="00393DEC">
        <w:t xml:space="preserve"> (Principe de Curie) qui établit </w:t>
      </w:r>
      <w:r w:rsidR="00393DEC" w:rsidRPr="00946D24">
        <w:rPr>
          <w:b/>
          <w:bCs/>
        </w:rPr>
        <w:t>une relation entre la géométrie des causes et des effets</w:t>
      </w:r>
      <w:r w:rsidR="00393DEC">
        <w:t>.</w:t>
      </w:r>
      <w:r w:rsidR="00E40923">
        <w:t xml:space="preserve"> </w:t>
      </w:r>
    </w:p>
    <w:p w14:paraId="2FF6FE4F" w14:textId="249B0468" w:rsidR="00381B02" w:rsidRDefault="00E40923" w:rsidP="00381B02">
      <w:pPr>
        <w:pStyle w:val="ListParagraph"/>
        <w:numPr>
          <w:ilvl w:val="0"/>
          <w:numId w:val="0"/>
        </w:numPr>
        <w:ind w:left="1428" w:firstLine="696"/>
      </w:pPr>
      <w:r>
        <w:t>Nous allons aussi parler</w:t>
      </w:r>
      <w:r w:rsidR="00946D24">
        <w:t xml:space="preserve"> </w:t>
      </w:r>
      <w:r w:rsidR="00946D24" w:rsidRPr="00946D24">
        <w:rPr>
          <w:b/>
          <w:bCs/>
        </w:rPr>
        <w:t>des symétries</w:t>
      </w:r>
      <w:r w:rsidR="00381B02">
        <w:rPr>
          <w:b/>
          <w:bCs/>
        </w:rPr>
        <w:t xml:space="preserve"> </w:t>
      </w:r>
      <w:r w:rsidR="00381B02">
        <w:t>non plus de l’espace</w:t>
      </w:r>
      <w:r w:rsidR="00B656B8">
        <w:t xml:space="preserve"> 3D</w:t>
      </w:r>
      <w:r w:rsidR="00381B02">
        <w:t xml:space="preserve"> mais des</w:t>
      </w:r>
      <w:r w:rsidR="00946D24" w:rsidRPr="00946D24">
        <w:rPr>
          <w:b/>
          <w:bCs/>
        </w:rPr>
        <w:t xml:space="preserve"> lois de la physique</w:t>
      </w:r>
      <w:r w:rsidR="00381B02">
        <w:t> : Si je fais une expérience à un endroit X, elle se</w:t>
      </w:r>
      <w:r w:rsidR="00946D24">
        <w:t xml:space="preserve"> </w:t>
      </w:r>
      <w:r w:rsidR="00381B02">
        <w:t xml:space="preserve">reproduira de manière identique à un autre endroit Y </w:t>
      </w:r>
      <w:r w:rsidR="0052361A">
        <w:t>(</w:t>
      </w:r>
      <w:r w:rsidR="00381B02">
        <w:t>pourvu que les conditions expérimentales soient identiques</w:t>
      </w:r>
      <w:r w:rsidR="0052361A">
        <w:t>)</w:t>
      </w:r>
      <w:r w:rsidR="00381B02">
        <w:t xml:space="preserve">. Nous constatons donc que lois de la physique sont invariantes par la translation spatiale. Nous </w:t>
      </w:r>
      <w:r w:rsidR="00500779">
        <w:t xml:space="preserve">allons montrer que ces invariances </w:t>
      </w:r>
      <w:r w:rsidR="0052361A">
        <w:t>sont relié</w:t>
      </w:r>
      <w:r w:rsidR="00DA6D58">
        <w:t>e</w:t>
      </w:r>
      <w:r w:rsidR="0052361A">
        <w:t>s à des</w:t>
      </w:r>
      <w:r w:rsidR="00500779">
        <w:t xml:space="preserve"> loi</w:t>
      </w:r>
      <w:r w:rsidR="0052361A">
        <w:t>s</w:t>
      </w:r>
      <w:r w:rsidR="00500779">
        <w:t xml:space="preserve"> de conservation. </w:t>
      </w:r>
    </w:p>
    <w:p w14:paraId="6BE97C3F" w14:textId="25E70970" w:rsidR="00AD3643" w:rsidRDefault="00AD3643" w:rsidP="00381B02">
      <w:pPr>
        <w:pStyle w:val="ListParagraph"/>
        <w:numPr>
          <w:ilvl w:val="0"/>
          <w:numId w:val="0"/>
        </w:numPr>
        <w:ind w:left="1428" w:firstLine="696"/>
      </w:pPr>
      <w:r>
        <w:t xml:space="preserve">Enfin, dans une dernière partie, nous mettrons en évidence </w:t>
      </w:r>
      <w:r w:rsidR="00DA0053">
        <w:t xml:space="preserve">une </w:t>
      </w:r>
      <w:r w:rsidRPr="00DA0053">
        <w:rPr>
          <w:b/>
          <w:bCs/>
        </w:rPr>
        <w:t>rupture de la symétrie</w:t>
      </w:r>
      <w:r>
        <w:t xml:space="preserve"> dans l’exemple de la transition paramagnétique-ferromagnétique. </w:t>
      </w:r>
    </w:p>
    <w:p w14:paraId="5580B143" w14:textId="607DDF4C" w:rsidR="00151503" w:rsidRDefault="00151503" w:rsidP="00151503">
      <w:pPr>
        <w:pStyle w:val="Heading1"/>
      </w:pPr>
      <w:r>
        <w:lastRenderedPageBreak/>
        <w:t>Principe de Curie (relation entre les causes et les conséquences)</w:t>
      </w:r>
    </w:p>
    <w:p w14:paraId="033FE090" w14:textId="4BB81B48" w:rsidR="003A3132" w:rsidRPr="003A3132" w:rsidRDefault="003A3132" w:rsidP="003A3132">
      <w:pPr>
        <w:pStyle w:val="Heading2"/>
      </w:pPr>
      <w:r>
        <w:t xml:space="preserve">Enoncé du principe de Curie </w:t>
      </w:r>
    </w:p>
    <w:p w14:paraId="4AE7259A" w14:textId="77777777" w:rsidR="0052361A" w:rsidRPr="0052361A" w:rsidRDefault="00A11429" w:rsidP="0052361A">
      <w:r>
        <w:rPr>
          <w:b/>
          <w:bCs/>
        </w:rPr>
        <w:t xml:space="preserve">Enoncé du principe de Curie : </w:t>
      </w:r>
    </w:p>
    <w:p w14:paraId="74440572" w14:textId="537E5768" w:rsidR="0052361A" w:rsidRPr="0052361A" w:rsidRDefault="0052361A" w:rsidP="0052361A">
      <w:pPr>
        <w:numPr>
          <w:ilvl w:val="0"/>
          <w:numId w:val="0"/>
        </w:numPr>
        <w:ind w:left="1068"/>
      </w:pPr>
      <w:r w:rsidRPr="0052361A">
        <w:t xml:space="preserve">Lorsque certaines causes produisent certains effets, les éléments de symétrie des causes doivent se retrouver </w:t>
      </w:r>
      <w:r>
        <w:t>d</w:t>
      </w:r>
      <w:r w:rsidRPr="0052361A">
        <w:t>ans les effets produits.</w:t>
      </w:r>
    </w:p>
    <w:p w14:paraId="423F002B" w14:textId="1F342424" w:rsidR="00A11429" w:rsidRPr="0052361A" w:rsidRDefault="0052361A" w:rsidP="0052361A">
      <w:pPr>
        <w:numPr>
          <w:ilvl w:val="0"/>
          <w:numId w:val="0"/>
        </w:numPr>
        <w:ind w:left="1068"/>
      </w:pPr>
      <w:r w:rsidRPr="0052361A">
        <w:rPr>
          <w:b/>
          <w:bCs/>
        </w:rPr>
        <w:t>Contraposée</w:t>
      </w:r>
      <w:r>
        <w:t xml:space="preserve"> : </w:t>
      </w:r>
      <w:r w:rsidRPr="0052361A">
        <w:t>Lorsque certains effets révèlent une certaine dissymétrie, cette dissymétrie doit se retrouver dans les causes qui lui ont donné naissance.</w:t>
      </w:r>
      <w:r>
        <w:t> </w:t>
      </w:r>
      <w:r w:rsidR="00C601F6">
        <w:t>(cf. Brisure</w:t>
      </w:r>
      <w:r w:rsidR="00CD2E27">
        <w:t xml:space="preserve"> spontanée</w:t>
      </w:r>
      <w:r w:rsidR="00C601F6">
        <w:t xml:space="preserve"> de Symétrie</w:t>
      </w:r>
      <w:r w:rsidR="00CD2E27">
        <w:t xml:space="preserve"> en première analyse vont à l’encontre de </w:t>
      </w:r>
      <w:r w:rsidR="00965ACF">
        <w:t>c</w:t>
      </w:r>
      <w:r w:rsidR="00CD2E27">
        <w:t>e principe</w:t>
      </w:r>
      <w:r w:rsidR="00C601F6">
        <w:t>)</w:t>
      </w:r>
    </w:p>
    <w:p w14:paraId="5F066220" w14:textId="77777777" w:rsidR="005521A1" w:rsidRPr="005521A1" w:rsidRDefault="00E101A9" w:rsidP="00A90A25">
      <w:r>
        <w:rPr>
          <w:b/>
          <w:bCs/>
        </w:rPr>
        <w:t xml:space="preserve">Attention </w:t>
      </w:r>
      <w:r w:rsidR="0052361A" w:rsidRPr="00ED7AF1">
        <w:t>la réciproque n’est pas vraie</w:t>
      </w:r>
      <w:r w:rsidR="004A5EA5" w:rsidRPr="00ED7AF1">
        <w:t xml:space="preserve"> </w:t>
      </w:r>
      <w:r w:rsidR="0052361A" w:rsidRPr="00ED7AF1">
        <w:t xml:space="preserve">: </w:t>
      </w:r>
      <w:r w:rsidR="0052361A">
        <w:t xml:space="preserve">Si les effets présentent une certaine symétrie, alors cela ne permet pas de conclure sur les symétries des causes. </w:t>
      </w:r>
      <w:r w:rsidR="004A5EA5">
        <w:t xml:space="preserve">Le groupe de symétrie des causes est un sur-groupe du groupe de symétrie des effets. </w:t>
      </w:r>
      <w:r w:rsidR="00FA6360">
        <w:t>Les effets peuvent être plus symétrique que les causes du système</w:t>
      </w:r>
      <w:r w:rsidR="00CD00BA">
        <w:rPr>
          <w:rStyle w:val="FootnoteReference"/>
        </w:rPr>
        <w:footnoteReference w:id="1"/>
      </w:r>
      <w:r w:rsidR="00ED1D97">
        <w:t>[Exemple</w:t>
      </w:r>
      <w:r w:rsidR="00C07001">
        <w:t xml:space="preserve"> : Exemple du tenseur d’inertie d’un cube par rapport à son centre : </w:t>
      </w:r>
      <m:oMath>
        <m:acc>
          <m:accPr>
            <m:chr m:val="⃗"/>
            <m:ctrlPr>
              <w:rPr>
                <w:rFonts w:ascii="Cambria Math" w:hAnsi="Cambria Math"/>
                <w:i/>
              </w:rPr>
            </m:ctrlPr>
          </m:accPr>
          <m:e>
            <m:r>
              <w:rPr>
                <w:rFonts w:ascii="Cambria Math" w:hAnsi="Cambria Math"/>
              </w:rPr>
              <m:t>L</m:t>
            </m:r>
          </m:e>
        </m:acc>
        <m:r>
          <w:rPr>
            <w:rFonts w:ascii="Cambria Math" w:hAnsi="Cambria Math"/>
          </w:rPr>
          <m:t>=I</m:t>
        </m:r>
        <m:acc>
          <m:accPr>
            <m:chr m:val="⃗"/>
            <m:ctrlPr>
              <w:rPr>
                <w:rFonts w:ascii="Cambria Math" w:hAnsi="Cambria Math"/>
                <w:i/>
              </w:rPr>
            </m:ctrlPr>
          </m:accPr>
          <m:e>
            <m:r>
              <w:rPr>
                <w:rFonts w:ascii="Cambria Math" w:hAnsi="Cambria Math"/>
              </w:rPr>
              <m:t>ω</m:t>
            </m:r>
          </m:e>
        </m:acc>
      </m:oMath>
      <w:r w:rsidR="00C07001">
        <w:rPr>
          <w:rFonts w:eastAsiaTheme="minorEastAsia"/>
        </w:rPr>
        <w:t xml:space="preserve"> </w:t>
      </w:r>
      <w:r w:rsidR="005521A1">
        <w:rPr>
          <w:rFonts w:eastAsiaTheme="minorEastAsia"/>
        </w:rPr>
        <w:t xml:space="preserve">avec </w:t>
      </w:r>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r>
                    <w:rPr>
                      <w:rFonts w:ascii="Cambria Math" w:hAnsi="Cambria Math"/>
                    </w:rPr>
                    <m:t xml:space="preserve"> </m:t>
                  </m:r>
                </m:e>
              </m:mr>
              <m:mr>
                <m:e>
                  <m:r>
                    <w:rPr>
                      <w:rFonts w:ascii="Cambria Math" w:hAnsi="Cambria Math"/>
                    </w:rPr>
                    <m:t>0</m:t>
                  </m:r>
                </m:e>
                <m:e>
                  <m:r>
                    <w:rPr>
                      <w:rFonts w:ascii="Cambria Math" w:hAnsi="Cambria Math"/>
                    </w:rPr>
                    <m:t>0</m:t>
                  </m:r>
                </m:e>
                <m:e>
                  <m:r>
                    <w:rPr>
                      <w:rFonts w:ascii="Cambria Math" w:hAnsi="Cambria Math"/>
                    </w:rPr>
                    <m:t>1</m:t>
                  </m:r>
                </m:e>
              </m:mr>
            </m:m>
          </m:e>
        </m:d>
      </m:oMath>
      <w:r w:rsidR="005521A1">
        <w:rPr>
          <w:rFonts w:eastAsiaTheme="minorEastAsia"/>
        </w:rPr>
        <w:t xml:space="preserve">. </w:t>
      </w:r>
    </w:p>
    <w:p w14:paraId="0DBC3956" w14:textId="3AFED8A4" w:rsidR="00ED7AF1" w:rsidRDefault="005521A1" w:rsidP="005521A1">
      <w:pPr>
        <w:numPr>
          <w:ilvl w:val="0"/>
          <w:numId w:val="0"/>
        </w:numPr>
        <w:ind w:left="1068"/>
      </w:pPr>
      <w:r>
        <w:rPr>
          <w:b/>
          <w:bCs/>
        </w:rPr>
        <w:t xml:space="preserve">Donc </w:t>
      </w:r>
      <m:oMath>
        <m:acc>
          <m:accPr>
            <m:chr m:val="⃗"/>
            <m:ctrlPr>
              <w:rPr>
                <w:rFonts w:ascii="Cambria Math" w:hAnsi="Cambria Math"/>
                <w:b/>
                <w:bCs/>
                <w:i/>
              </w:rPr>
            </m:ctrlPr>
          </m:accPr>
          <m:e>
            <m:r>
              <m:rPr>
                <m:sty m:val="bi"/>
              </m:rPr>
              <w:rPr>
                <w:rFonts w:ascii="Cambria Math" w:hAnsi="Cambria Math"/>
              </w:rPr>
              <m:t>L</m:t>
            </m:r>
          </m:e>
        </m:acc>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6</m:t>
            </m:r>
          </m:den>
        </m:f>
        <m:r>
          <m:rPr>
            <m:sty m:val="bi"/>
          </m:rPr>
          <w:rPr>
            <w:rFonts w:ascii="Cambria Math" w:hAnsi="Cambria Math"/>
          </w:rPr>
          <m:t>M</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2</m:t>
            </m:r>
          </m:sup>
        </m:sSup>
        <m:acc>
          <m:accPr>
            <m:chr m:val="⃗"/>
            <m:ctrlPr>
              <w:rPr>
                <w:rFonts w:ascii="Cambria Math" w:eastAsiaTheme="minorEastAsia" w:hAnsi="Cambria Math"/>
                <w:b/>
                <w:bCs/>
                <w:i/>
              </w:rPr>
            </m:ctrlPr>
          </m:accPr>
          <m:e>
            <m:r>
              <m:rPr>
                <m:sty m:val="bi"/>
              </m:rPr>
              <w:rPr>
                <w:rFonts w:ascii="Cambria Math" w:hAnsi="Cambria Math"/>
              </w:rPr>
              <m:t>ω</m:t>
            </m:r>
            <m:ctrlPr>
              <w:rPr>
                <w:rFonts w:ascii="Cambria Math" w:hAnsi="Cambria Math"/>
                <w:b/>
                <w:bCs/>
                <w:i/>
              </w:rPr>
            </m:ctrlPr>
          </m:e>
        </m:acc>
        <m:r>
          <m:rPr>
            <m:sty m:val="bi"/>
          </m:rPr>
          <w:rPr>
            <w:rFonts w:ascii="Cambria Math" w:hAnsi="Cambria Math"/>
          </w:rPr>
          <m:t xml:space="preserve">. </m:t>
        </m:r>
      </m:oMath>
      <w:r>
        <w:rPr>
          <w:rFonts w:eastAsiaTheme="minorEastAsia"/>
        </w:rPr>
        <w:t>On a une anisotropie de l’espace mais une isotropie du moment cinétique. Quel que soit la rotation, le moment sera parallèle</w:t>
      </w:r>
      <w:r w:rsidR="00D83B11">
        <w:rPr>
          <w:rFonts w:eastAsiaTheme="minorEastAsia"/>
        </w:rPr>
        <w:t xml:space="preserve"> et de même norme.</w:t>
      </w:r>
      <w:r w:rsidR="00964E13">
        <w:rPr>
          <w:rFonts w:eastAsiaTheme="minorEastAsia"/>
        </w:rPr>
        <w:t xml:space="preserve"> Cf. tenseur polarisabilité du méthane</w:t>
      </w:r>
      <w:r w:rsidR="00ED1D97">
        <w:t>]</w:t>
      </w:r>
      <w:r w:rsidR="003B2AB0">
        <w:t xml:space="preserve">. </w:t>
      </w:r>
    </w:p>
    <w:p w14:paraId="05480E44" w14:textId="3718EFA3" w:rsidR="00A90A25" w:rsidRDefault="00A90A25" w:rsidP="00ED7AF1">
      <w:pPr>
        <w:pStyle w:val="Heading2"/>
      </w:pPr>
      <w:r>
        <w:t>Intérêt du principe de Curie</w:t>
      </w:r>
      <w:r w:rsidR="00B656B8">
        <w:t xml:space="preserve"> en électrostatique et en magnétostatique</w:t>
      </w:r>
    </w:p>
    <w:p w14:paraId="25182F7D" w14:textId="06C3DD01" w:rsidR="00F35823" w:rsidRPr="00F35823" w:rsidRDefault="002B084E" w:rsidP="00B46FB3">
      <w:r>
        <w:rPr>
          <w:b/>
          <w:bCs/>
        </w:rPr>
        <w:t>Exemple</w:t>
      </w:r>
      <w:r w:rsidR="00ED7AF1">
        <w:rPr>
          <w:b/>
          <w:bCs/>
        </w:rPr>
        <w:t xml:space="preserve"> en électrostatique</w:t>
      </w:r>
      <w:r>
        <w:rPr>
          <w:b/>
          <w:bCs/>
        </w:rPr>
        <w:t xml:space="preserve"> </w:t>
      </w:r>
      <w:r w:rsidR="002C7405">
        <w:rPr>
          <w:b/>
          <w:bCs/>
        </w:rPr>
        <w:t xml:space="preserve">du </w:t>
      </w:r>
      <w:r>
        <w:rPr>
          <w:b/>
          <w:bCs/>
        </w:rPr>
        <w:t>fil infin</w:t>
      </w:r>
      <w:r w:rsidR="00282DF1">
        <w:rPr>
          <w:b/>
          <w:bCs/>
        </w:rPr>
        <w:t>i uniformément</w:t>
      </w:r>
      <w:r>
        <w:rPr>
          <w:b/>
          <w:bCs/>
        </w:rPr>
        <w:t xml:space="preserve"> chargé</w:t>
      </w:r>
      <w:r w:rsidR="0093335F">
        <w:rPr>
          <w:b/>
          <w:bCs/>
        </w:rPr>
        <w:t>- simplification de l’expression du champ avec les symétries – Obtention de l’expression avec le théorème de Gauss</w:t>
      </w:r>
      <w:r>
        <w:rPr>
          <w:b/>
          <w:bCs/>
        </w:rPr>
        <w:t> :</w:t>
      </w:r>
      <w:r w:rsidR="00050946">
        <w:rPr>
          <w:b/>
          <w:bCs/>
        </w:rPr>
        <w:t xml:space="preserve"> </w:t>
      </w:r>
      <w:r w:rsidR="00050946" w:rsidRPr="00050946">
        <w:t>On se place en coordonnées cylindriques</w:t>
      </w:r>
      <w:r w:rsidR="00050946">
        <w:rPr>
          <w:b/>
          <w:bCs/>
        </w:rPr>
        <w:t xml:space="preserve">. </w:t>
      </w:r>
      <w:r w:rsidR="00050946">
        <w:t>Les invariances des sources par translations</w:t>
      </w:r>
      <w:r w:rsidR="00F15FA3">
        <w:t xml:space="preserve"> d’axe z</w:t>
      </w:r>
      <w:r w:rsidR="00050946">
        <w:t xml:space="preserve">, rotations </w:t>
      </w:r>
      <w:r w:rsidR="00F15FA3">
        <w:t xml:space="preserve">d’angle </w:t>
      </w:r>
      <m:oMath>
        <m:r>
          <w:rPr>
            <w:rFonts w:ascii="Cambria Math" w:hAnsi="Cambria Math"/>
          </w:rPr>
          <m:t>θ</m:t>
        </m:r>
      </m:oMath>
      <w:r w:rsidR="00F15FA3">
        <w:t xml:space="preserve"> s</w:t>
      </w:r>
      <w:r w:rsidR="00E439E4">
        <w:t>e retrouvent dans le champ</w:t>
      </w:r>
      <w:r w:rsidR="00B656B8">
        <w:t> :</w:t>
      </w:r>
      <w:r w:rsidR="00E439E4">
        <w:t xml:space="preserve"> </w:t>
      </w:r>
      <m:oMath>
        <m:acc>
          <m:accPr>
            <m:chr m:val="⃗"/>
            <m:ctrlPr>
              <w:rPr>
                <w:rFonts w:ascii="Cambria Math" w:hAnsi="Cambria Math"/>
                <w:i/>
              </w:rPr>
            </m:ctrlPr>
          </m:accPr>
          <m:e>
            <m:r>
              <w:rPr>
                <w:rFonts w:ascii="Cambria Math" w:hAnsi="Cambria Math"/>
              </w:rPr>
              <m:t>E</m:t>
            </m:r>
          </m:e>
        </m:acc>
        <m:r>
          <w:rPr>
            <w:rFonts w:ascii="Cambria Math" w:hAnsi="Cambria Math"/>
          </w:rPr>
          <m:t>=</m:t>
        </m:r>
        <m:acc>
          <m:accPr>
            <m:chr m:val="⃗"/>
            <m:ctrlPr>
              <w:rPr>
                <w:rFonts w:ascii="Cambria Math" w:hAnsi="Cambria Math"/>
                <w:i/>
              </w:rPr>
            </m:ctrlPr>
          </m:accPr>
          <m:e>
            <m:r>
              <w:rPr>
                <w:rFonts w:ascii="Cambria Math" w:hAnsi="Cambria Math"/>
              </w:rPr>
              <m:t>E</m:t>
            </m:r>
          </m:e>
        </m:acc>
        <m:r>
          <w:rPr>
            <w:rFonts w:ascii="Cambria Math" w:hAnsi="Cambria Math"/>
          </w:rPr>
          <m:t>(r)</m:t>
        </m:r>
      </m:oMath>
      <w:r w:rsidR="00E439E4">
        <w:t xml:space="preserve">. </w:t>
      </w:r>
      <w:r w:rsidR="00BB31F5">
        <w:t>On montre les symétries par rapport à des plans bien choisi</w:t>
      </w:r>
      <w:r w:rsidR="00B656B8">
        <w:t>s</w:t>
      </w:r>
      <w:r w:rsidR="00BB31F5">
        <w:t xml:space="preserve"> ce qui contraint le champ E à être uniquement selon ur : </w:t>
      </w:r>
      <m:oMath>
        <m:acc>
          <m:accPr>
            <m:chr m:val="⃗"/>
            <m:ctrlPr>
              <w:rPr>
                <w:rFonts w:ascii="Cambria Math" w:hAnsi="Cambria Math"/>
                <w:i/>
              </w:rPr>
            </m:ctrlPr>
          </m:accPr>
          <m:e>
            <m:r>
              <w:rPr>
                <w:rFonts w:ascii="Cambria Math" w:hAnsi="Cambria Math"/>
              </w:rPr>
              <m:t>E</m:t>
            </m:r>
          </m:e>
        </m:acc>
        <m:r>
          <w:rPr>
            <w:rFonts w:ascii="Cambria Math" w:hAnsi="Cambria Math"/>
          </w:rPr>
          <m:t>=E</m:t>
        </m:r>
        <m:d>
          <m:dPr>
            <m:ctrlPr>
              <w:rPr>
                <w:rFonts w:ascii="Cambria Math" w:hAnsi="Cambria Math"/>
                <w:i/>
              </w:rPr>
            </m:ctrlPr>
          </m:dPr>
          <m:e>
            <m:r>
              <w:rPr>
                <w:rFonts w:ascii="Cambria Math" w:hAnsi="Cambria Math"/>
              </w:rPr>
              <m:t>r</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r</m:t>
            </m:r>
          </m:sub>
        </m:sSub>
        <m:r>
          <w:rPr>
            <w:rFonts w:ascii="Cambria Math" w:hAnsi="Cambria Math"/>
          </w:rPr>
          <m:t xml:space="preserve">.  </m:t>
        </m:r>
      </m:oMath>
      <w:r w:rsidR="00BB31F5">
        <w:rPr>
          <w:rFonts w:eastAsiaTheme="minorEastAsia"/>
        </w:rPr>
        <w:t>C’est uniquement après avoir considéré les symétries du problème que nous sommes en mesure d’appliquer le théorème de Gauss</w:t>
      </w:r>
      <w:r w:rsidR="00F30194">
        <w:rPr>
          <w:rFonts w:eastAsiaTheme="minorEastAsia"/>
        </w:rPr>
        <w:t xml:space="preserve"> qui mène à </w:t>
      </w:r>
      <m:oMath>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2πr</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r</m:t>
            </m:r>
          </m:sub>
        </m:sSub>
      </m:oMath>
      <w:r w:rsidR="00F30194">
        <w:rPr>
          <w:rFonts w:eastAsiaTheme="minorEastAsia"/>
        </w:rPr>
        <w:t>.</w:t>
      </w:r>
      <w:r w:rsidR="00B82103">
        <w:rPr>
          <w:rFonts w:eastAsiaTheme="minorEastAsia"/>
        </w:rPr>
        <w:t xml:space="preserve"> </w:t>
      </w:r>
      <w:r w:rsidR="00C05B71">
        <w:rPr>
          <w:rFonts w:eastAsiaTheme="minorEastAsia"/>
        </w:rPr>
        <w:t xml:space="preserve">Le principe de Curie a permis de déduire des symétries certaines propriétés qualitatives du champ </w:t>
      </w:r>
      <m:oMath>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 xml:space="preserve"> </m:t>
        </m:r>
      </m:oMath>
      <w:r w:rsidR="00C05B71">
        <w:rPr>
          <w:rFonts w:eastAsiaTheme="minorEastAsia"/>
        </w:rPr>
        <w:t xml:space="preserve">permettant d’en simplifier son analyse qualitative. </w:t>
      </w:r>
    </w:p>
    <w:p w14:paraId="6811E28A" w14:textId="755CB9C9" w:rsidR="00ED7AF1" w:rsidRPr="00ED7AF1" w:rsidRDefault="00B656B8" w:rsidP="00B46FB3">
      <w:r>
        <w:rPr>
          <w:b/>
          <w:bCs/>
        </w:rPr>
        <w:t xml:space="preserve">Mais dans la vraie vie, les fils infinis n’existent pas. </w:t>
      </w:r>
      <w:r w:rsidR="0093335F">
        <w:rPr>
          <w:b/>
          <w:bCs/>
        </w:rPr>
        <w:t>Ici, la notion de symétrie est lié</w:t>
      </w:r>
      <w:r w:rsidR="0036471A">
        <w:rPr>
          <w:b/>
          <w:bCs/>
        </w:rPr>
        <w:t>e</w:t>
      </w:r>
      <w:r w:rsidR="0093335F">
        <w:rPr>
          <w:b/>
          <w:bCs/>
        </w:rPr>
        <w:t xml:space="preserve"> à la modélisation du problème : </w:t>
      </w:r>
      <w:r w:rsidR="0036471A">
        <w:rPr>
          <w:rFonts w:eastAsiaTheme="minorEastAsia"/>
        </w:rPr>
        <w:t>Un</w:t>
      </w:r>
      <w:r w:rsidR="00890098">
        <w:rPr>
          <w:rFonts w:eastAsiaTheme="minorEastAsia"/>
        </w:rPr>
        <w:t xml:space="preserve"> fil </w:t>
      </w:r>
      <w:r w:rsidR="00890098" w:rsidRPr="00147602">
        <w:rPr>
          <w:rFonts w:eastAsiaTheme="minorEastAsia"/>
          <w:b/>
          <w:bCs/>
        </w:rPr>
        <w:t>infini</w:t>
      </w:r>
      <w:r w:rsidR="00890098">
        <w:rPr>
          <w:rFonts w:eastAsiaTheme="minorEastAsia"/>
        </w:rPr>
        <w:t xml:space="preserve"> </w:t>
      </w:r>
      <w:r w:rsidR="0036471A">
        <w:rPr>
          <w:rFonts w:eastAsiaTheme="minorEastAsia"/>
        </w:rPr>
        <w:t>n’existe pas</w:t>
      </w:r>
      <w:r w:rsidR="00147602">
        <w:rPr>
          <w:rFonts w:eastAsiaTheme="minorEastAsia"/>
        </w:rPr>
        <w:t xml:space="preserve">. Jamais dans la vraie vie on aura </w:t>
      </w:r>
      <w:r w:rsidR="00527AE5">
        <w:rPr>
          <w:rFonts w:eastAsiaTheme="minorEastAsia"/>
        </w:rPr>
        <w:t>une véritable invariance</w:t>
      </w:r>
      <w:r w:rsidR="00147602">
        <w:rPr>
          <w:rFonts w:eastAsiaTheme="minorEastAsia"/>
        </w:rPr>
        <w:t xml:space="preserve"> </w:t>
      </w:r>
      <w:r w:rsidR="00CF6361">
        <w:rPr>
          <w:rFonts w:eastAsiaTheme="minorEastAsia"/>
        </w:rPr>
        <w:t>de</w:t>
      </w:r>
      <w:r w:rsidR="00147602">
        <w:rPr>
          <w:rFonts w:eastAsiaTheme="minorEastAsia"/>
        </w:rPr>
        <w:t xml:space="preserve"> translation à cause des effets de bord. </w:t>
      </w:r>
      <w:r w:rsidR="00F35823">
        <w:rPr>
          <w:rFonts w:eastAsiaTheme="minorEastAsia"/>
        </w:rPr>
        <w:t xml:space="preserve">Nous remarquons donc que </w:t>
      </w:r>
      <w:r w:rsidR="00E26FBE">
        <w:rPr>
          <w:b/>
          <w:bCs/>
        </w:rPr>
        <w:t>l’utilisation des symétries repose sur un</w:t>
      </w:r>
      <w:r w:rsidR="00527AE5">
        <w:rPr>
          <w:b/>
          <w:bCs/>
        </w:rPr>
        <w:t>e</w:t>
      </w:r>
      <w:r w:rsidR="00E26FBE">
        <w:rPr>
          <w:b/>
          <w:bCs/>
        </w:rPr>
        <w:t xml:space="preserve"> modélisation (idéalisation) du problème. </w:t>
      </w:r>
      <w:r w:rsidR="00E26FBE">
        <w:t xml:space="preserve">Dans notre exemple, l’idéalisation est justifiée si (i) le champ E est calculé suffisamment </w:t>
      </w:r>
      <w:r w:rsidR="00527AE5">
        <w:t xml:space="preserve">proche du fil </w:t>
      </w:r>
      <m:oMath>
        <m:r>
          <w:rPr>
            <w:rFonts w:ascii="Cambria Math" w:hAnsi="Cambria Math"/>
          </w:rPr>
          <m:t>(r≪L)</m:t>
        </m:r>
      </m:oMath>
      <w:r w:rsidR="00E26FBE">
        <w:t xml:space="preserve"> pour pouvoir </w:t>
      </w:r>
      <w:r w:rsidR="00527AE5">
        <w:t xml:space="preserve">le </w:t>
      </w:r>
      <w:r w:rsidR="00E26FBE">
        <w:t xml:space="preserve">modéliser comme étant d’extension infinie et (ii) </w:t>
      </w:r>
      <w:r w:rsidR="00E26FBE">
        <w:lastRenderedPageBreak/>
        <w:t>suffisamment loin des sources</w:t>
      </w:r>
      <w:r w:rsidR="00532B30">
        <w:t xml:space="preserve"> (</w:t>
      </w:r>
      <m:oMath>
        <m:r>
          <w:rPr>
            <w:rFonts w:ascii="Cambria Math" w:hAnsi="Cambria Math"/>
          </w:rPr>
          <m:t>r≫R)</m:t>
        </m:r>
      </m:oMath>
      <w:r w:rsidR="00E26FBE">
        <w:t xml:space="preserve"> pour pouvoir modéliser la distribution de charge comme étant linéique.  </w:t>
      </w:r>
    </w:p>
    <w:p w14:paraId="72978641" w14:textId="1FF5FD07" w:rsidR="00ED3AF3" w:rsidRDefault="00443EFD" w:rsidP="00B46FB3">
      <w:r>
        <w:rPr>
          <w:b/>
          <w:bCs/>
        </w:rPr>
        <w:t xml:space="preserve">Exemple du </w:t>
      </w:r>
      <w:r w:rsidR="00B06E68">
        <w:rPr>
          <w:b/>
          <w:bCs/>
        </w:rPr>
        <w:t>solénoïde infini</w:t>
      </w:r>
      <w:r w:rsidR="0093335F">
        <w:rPr>
          <w:b/>
          <w:bCs/>
        </w:rPr>
        <w:t xml:space="preserve"> - explication de l’antisymétrie du champ B - notion de pseudo</w:t>
      </w:r>
      <w:r w:rsidR="008A220E">
        <w:rPr>
          <w:b/>
          <w:bCs/>
        </w:rPr>
        <w:t>-</w:t>
      </w:r>
      <w:r w:rsidR="0093335F">
        <w:rPr>
          <w:b/>
          <w:bCs/>
        </w:rPr>
        <w:t>vecteur</w:t>
      </w:r>
      <w:r w:rsidR="00655CEE">
        <w:rPr>
          <w:b/>
          <w:bCs/>
        </w:rPr>
        <w:t> :</w:t>
      </w:r>
      <w:r w:rsidR="00B06E68">
        <w:rPr>
          <w:b/>
          <w:bCs/>
        </w:rPr>
        <w:t xml:space="preserve"> </w:t>
      </w:r>
      <w:r w:rsidR="00B06E68">
        <w:t xml:space="preserve">On </w:t>
      </w:r>
      <w:r w:rsidR="00B656B8">
        <w:t>considère comme prérequis</w:t>
      </w:r>
      <w:r w:rsidR="00B06E68">
        <w:t xml:space="preserve"> le résultat</w:t>
      </w:r>
      <w:r w:rsidR="00B656B8">
        <w:t xml:space="preserve"> </w:t>
      </w:r>
      <m:oMath>
        <m:acc>
          <m:accPr>
            <m:chr m:val="⃗"/>
            <m:ctrlPr>
              <w:rPr>
                <w:rFonts w:ascii="Cambria Math" w:hAnsi="Cambria Math"/>
                <w:i/>
              </w:rPr>
            </m:ctrlPr>
          </m:accPr>
          <m:e>
            <m:r>
              <w:rPr>
                <w:rFonts w:ascii="Cambria Math" w:hAnsi="Cambria Math"/>
              </w:rPr>
              <m:t>B</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nI</m:t>
        </m:r>
      </m:oMath>
      <w:r w:rsidR="00BF3DB7">
        <w:rPr>
          <w:rFonts w:eastAsiaTheme="minorEastAsia"/>
        </w:rPr>
        <w:t xml:space="preserve"> dans le solénoïde.</w:t>
      </w:r>
      <w:r w:rsidR="003B1DAA">
        <w:rPr>
          <w:rFonts w:eastAsiaTheme="minorEastAsia"/>
        </w:rPr>
        <w:t xml:space="preserve"> </w:t>
      </w:r>
      <w:r w:rsidR="00BF3DB7">
        <w:rPr>
          <w:rFonts w:eastAsiaTheme="minorEastAsia"/>
        </w:rPr>
        <w:t>O</w:t>
      </w:r>
      <w:r w:rsidR="00B06E68">
        <w:t xml:space="preserve">n a dans un premier temps l’impression d’une contradiction avec le principe de Curie. </w:t>
      </w:r>
      <w:r w:rsidR="0014282F">
        <w:t>En effet, les plans de symétries des courant</w:t>
      </w:r>
      <w:r w:rsidR="00BF3DB7">
        <w:t>s</w:t>
      </w:r>
      <w:r w:rsidR="0014282F">
        <w:t xml:space="preserve"> ne sont pas des plans de symétries du champ B mais des plans d’antisymétrie. </w:t>
      </w:r>
      <w:r w:rsidR="003946AE">
        <w:t xml:space="preserve">En fait, cela n’est pas en contradiction avec le principe de Curie car le champ </w:t>
      </w:r>
      <m:oMath>
        <m:acc>
          <m:accPr>
            <m:chr m:val="⃗"/>
            <m:ctrlPr>
              <w:rPr>
                <w:rFonts w:ascii="Cambria Math" w:hAnsi="Cambria Math"/>
                <w:i/>
              </w:rPr>
            </m:ctrlPr>
          </m:accPr>
          <m:e>
            <m:r>
              <w:rPr>
                <w:rFonts w:ascii="Cambria Math" w:hAnsi="Cambria Math"/>
              </w:rPr>
              <m:t>B</m:t>
            </m:r>
          </m:e>
        </m:acc>
      </m:oMath>
      <w:r w:rsidR="003946AE">
        <w:t xml:space="preserve"> </w:t>
      </w:r>
      <w:r w:rsidR="002A60C6">
        <w:t xml:space="preserve">contrairement au champ </w:t>
      </w:r>
      <m:oMath>
        <m:acc>
          <m:accPr>
            <m:chr m:val="⃗"/>
            <m:ctrlPr>
              <w:rPr>
                <w:rFonts w:ascii="Cambria Math" w:hAnsi="Cambria Math"/>
                <w:i/>
              </w:rPr>
            </m:ctrlPr>
          </m:accPr>
          <m:e>
            <m:r>
              <w:rPr>
                <w:rFonts w:ascii="Cambria Math" w:hAnsi="Cambria Math"/>
              </w:rPr>
              <m:t>E</m:t>
            </m:r>
          </m:e>
        </m:acc>
      </m:oMath>
      <w:r w:rsidR="002A60C6">
        <w:t xml:space="preserve"> </w:t>
      </w:r>
      <w:r w:rsidR="003946AE">
        <w:t>n’est pas un vrai vecteur.</w:t>
      </w:r>
      <w:r w:rsidR="002A60C6">
        <w:t xml:space="preserve"> Il s’agit d’un vecteur axial dont le signe dépend des conventions d’orientation. Pour mieux comprendre la subtilité, on prend l’exemple d’une roue qui tourne selon son axe de rotation</w:t>
      </w:r>
      <w:r w:rsidR="00BF3DB7">
        <w:t xml:space="preserve"> (cf figure ci-dessous)</w:t>
      </w:r>
      <w:r w:rsidR="002A60C6">
        <w:t>. On a décidé par convention d’orienter le vecteur rotation selon la r</w:t>
      </w:r>
      <w:r w:rsidR="00BF3DB7">
        <w:t>è</w:t>
      </w:r>
      <w:r w:rsidR="002A60C6">
        <w:t>gle de la main droite. Ainsi, si je considère le symétrique de la roue par une réflexion plane, on constate que le vecteur rotation est toujours selon la même direction</w:t>
      </w:r>
      <w:r w:rsidR="00BF3DB7">
        <w:t xml:space="preserve"> (car la roue tourne dans le même sens)</w:t>
      </w:r>
      <w:r w:rsidR="002A60C6">
        <w:t xml:space="preserve"> et est donc antisymétrique par la réflexion. Ainsi, </w:t>
      </w:r>
      <w:r w:rsidR="00AD1611">
        <w:t xml:space="preserve">les </w:t>
      </w:r>
      <w:r w:rsidR="00ED3AF3">
        <w:rPr>
          <w:noProof/>
        </w:rPr>
        <w:drawing>
          <wp:anchor distT="0" distB="0" distL="114300" distR="114300" simplePos="0" relativeHeight="251663360" behindDoc="0" locked="0" layoutInCell="1" allowOverlap="1" wp14:anchorId="12B5172F" wp14:editId="27866CFB">
            <wp:simplePos x="0" y="0"/>
            <wp:positionH relativeFrom="column">
              <wp:posOffset>1672981</wp:posOffset>
            </wp:positionH>
            <wp:positionV relativeFrom="paragraph">
              <wp:posOffset>629822</wp:posOffset>
            </wp:positionV>
            <wp:extent cx="3292475" cy="1030605"/>
            <wp:effectExtent l="0" t="0" r="317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2475" cy="1030605"/>
                    </a:xfrm>
                    <a:prstGeom prst="rect">
                      <a:avLst/>
                    </a:prstGeom>
                  </pic:spPr>
                </pic:pic>
              </a:graphicData>
            </a:graphic>
            <wp14:sizeRelH relativeFrom="margin">
              <wp14:pctWidth>0</wp14:pctWidth>
            </wp14:sizeRelH>
            <wp14:sizeRelV relativeFrom="margin">
              <wp14:pctHeight>0</wp14:pctHeight>
            </wp14:sizeRelV>
          </wp:anchor>
        </w:drawing>
      </w:r>
      <w:r w:rsidR="00AD1611">
        <w:t>pseudos-vecteurs réagissent de manière antisymétrique aux symétrie</w:t>
      </w:r>
      <w:r w:rsidR="00804066">
        <w:t>s</w:t>
      </w:r>
      <w:r w:rsidR="00AD1611">
        <w:t xml:space="preserve"> de réflexion</w:t>
      </w:r>
      <w:r w:rsidR="00BF3DB7">
        <w:t xml:space="preserve"> spatiale</w:t>
      </w:r>
      <w:r w:rsidR="00AD1611">
        <w:t>.</w:t>
      </w:r>
      <w:r w:rsidR="00804066">
        <w:t xml:space="preserve"> </w:t>
      </w:r>
    </w:p>
    <w:p w14:paraId="4D943C4E" w14:textId="3A0661B3" w:rsidR="002A60C6" w:rsidRDefault="00804066" w:rsidP="00ED3AF3">
      <w:pPr>
        <w:numPr>
          <w:ilvl w:val="0"/>
          <w:numId w:val="0"/>
        </w:numPr>
        <w:ind w:left="1068"/>
      </w:pPr>
      <w:r>
        <w:t xml:space="preserve">Ces considérations permettent de résoudre l’apparente contradiction avec le principe de Curie. </w:t>
      </w:r>
    </w:p>
    <w:p w14:paraId="34A773D7" w14:textId="3D7088F4" w:rsidR="002A60C6" w:rsidRDefault="00B5716E" w:rsidP="00B46FB3">
      <w:r>
        <w:rPr>
          <w:noProof/>
        </w:rPr>
        <w:drawing>
          <wp:anchor distT="0" distB="0" distL="114300" distR="114300" simplePos="0" relativeHeight="251665408" behindDoc="0" locked="0" layoutInCell="1" allowOverlap="1" wp14:anchorId="3EDABEC6" wp14:editId="554E2084">
            <wp:simplePos x="0" y="0"/>
            <wp:positionH relativeFrom="column">
              <wp:posOffset>2019056</wp:posOffset>
            </wp:positionH>
            <wp:positionV relativeFrom="paragraph">
              <wp:posOffset>396973</wp:posOffset>
            </wp:positionV>
            <wp:extent cx="2249170" cy="1751965"/>
            <wp:effectExtent l="0" t="0" r="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9170" cy="1751965"/>
                    </a:xfrm>
                    <a:prstGeom prst="rect">
                      <a:avLst/>
                    </a:prstGeom>
                  </pic:spPr>
                </pic:pic>
              </a:graphicData>
            </a:graphic>
            <wp14:sizeRelH relativeFrom="margin">
              <wp14:pctWidth>0</wp14:pctWidth>
            </wp14:sizeRelH>
            <wp14:sizeRelV relativeFrom="margin">
              <wp14:pctHeight>0</wp14:pctHeight>
            </wp14:sizeRelV>
          </wp:anchor>
        </w:drawing>
      </w:r>
      <w:r w:rsidR="00ED3AF3">
        <w:t xml:space="preserve">Pour les sceptiques, voici une explication plus physique de la nécessité de l’antisymétrie du champ </w:t>
      </w:r>
      <m:oMath>
        <m:acc>
          <m:accPr>
            <m:chr m:val="⃗"/>
            <m:ctrlPr>
              <w:rPr>
                <w:rFonts w:ascii="Cambria Math" w:hAnsi="Cambria Math"/>
                <w:i/>
              </w:rPr>
            </m:ctrlPr>
          </m:accPr>
          <m:e>
            <m:r>
              <w:rPr>
                <w:rFonts w:ascii="Cambria Math" w:hAnsi="Cambria Math"/>
              </w:rPr>
              <m:t>B</m:t>
            </m:r>
          </m:e>
        </m:acc>
      </m:oMath>
      <w:r w:rsidR="00ED3AF3">
        <w:t>.</w:t>
      </w:r>
      <w:r w:rsidR="00071F81">
        <w:t xml:space="preserve"> </w:t>
      </w:r>
      <w:r w:rsidR="00ED3AF3">
        <w:t xml:space="preserve"> </w:t>
      </w:r>
    </w:p>
    <w:p w14:paraId="7EC54DE0" w14:textId="47BAAE0D" w:rsidR="00B5716E" w:rsidRDefault="00B5716E" w:rsidP="00B5716E">
      <w:pPr>
        <w:numPr>
          <w:ilvl w:val="0"/>
          <w:numId w:val="0"/>
        </w:numPr>
        <w:ind w:left="1068"/>
      </w:pPr>
      <w:r>
        <w:t xml:space="preserve">Supposons qu’on </w:t>
      </w:r>
      <w:r w:rsidR="0003131B">
        <w:t>émet</w:t>
      </w:r>
      <w:r>
        <w:t xml:space="preserve"> un électron dans le solénoïde avec une vitesse</w:t>
      </w:r>
      <w:r w:rsidR="008F572C">
        <w:t xml:space="preserve"> initiale</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oMath>
      <w:r>
        <w:rPr>
          <w:rFonts w:eastAsiaTheme="minorEastAsia"/>
        </w:rPr>
        <w:t xml:space="preserve"> suivant le vecteur </w:t>
      </w:r>
      <m:oMath>
        <m:acc>
          <m:accPr>
            <m:chr m:val="⃗"/>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(cf.figure ci-dess</w:t>
      </w:r>
      <w:r w:rsidR="0003131B">
        <w:rPr>
          <w:rFonts w:eastAsiaTheme="minorEastAsia"/>
        </w:rPr>
        <w:t>us</w:t>
      </w:r>
      <w:r>
        <w:rPr>
          <w:rFonts w:eastAsiaTheme="minorEastAsia"/>
        </w:rPr>
        <w:t xml:space="preserve">). </w:t>
      </w:r>
      <w:r w:rsidR="008F572C">
        <w:rPr>
          <w:rFonts w:eastAsiaTheme="minorEastAsia"/>
        </w:rPr>
        <w:t xml:space="preserve"> La force de Lorentz nous indique que l’électron va être dévié et va rentrer dans le plan de la feuille. Si on considère le symétrique de la bobine par une réflexion plane</w:t>
      </w:r>
      <w:r w:rsidR="0003131B">
        <w:rPr>
          <w:rFonts w:eastAsiaTheme="minorEastAsia"/>
        </w:rPr>
        <w:t xml:space="preserve"> (bobine de droite)</w:t>
      </w:r>
      <w:r w:rsidR="008F572C">
        <w:rPr>
          <w:rFonts w:eastAsiaTheme="minorEastAsia"/>
        </w:rPr>
        <w:t xml:space="preserve">, et que l’on envoie un électron suivant une vitesse initiale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ctrlPr>
              <w:rPr>
                <w:rFonts w:ascii="Cambria Math" w:hAnsi="Cambria Math"/>
                <w:i/>
              </w:rPr>
            </m:ctrlPr>
          </m:e>
          <m:sub>
            <m:r>
              <w:rPr>
                <w:rFonts w:ascii="Cambria Math" w:hAnsi="Cambria Math"/>
              </w:rPr>
              <m:t xml:space="preserve">1 </m:t>
            </m:r>
          </m:sub>
        </m:sSub>
      </m:oMath>
      <w:r w:rsidR="008F572C">
        <w:rPr>
          <w:rFonts w:eastAsiaTheme="minorEastAsia"/>
        </w:rPr>
        <w:t xml:space="preserve">symétrique de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0</m:t>
            </m:r>
          </m:sub>
        </m:sSub>
        <m:r>
          <w:rPr>
            <w:rFonts w:ascii="Cambria Math" w:eastAsiaTheme="minorEastAsia" w:hAnsi="Cambria Math"/>
          </w:rPr>
          <m:t xml:space="preserve"> </m:t>
        </m:r>
      </m:oMath>
      <w:r w:rsidR="0003131B">
        <w:rPr>
          <w:rFonts w:eastAsiaTheme="minorEastAsia"/>
        </w:rPr>
        <w:t xml:space="preserve">(donc suivant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a</m:t>
                </m:r>
              </m:e>
            </m:acc>
          </m:e>
          <m:sup>
            <m:r>
              <w:rPr>
                <w:rFonts w:ascii="Cambria Math" w:eastAsiaTheme="minorEastAsia" w:hAnsi="Cambria Math"/>
              </w:rPr>
              <m:t>'</m:t>
            </m:r>
          </m:sup>
        </m:sSup>
        <m:r>
          <w:rPr>
            <w:rFonts w:ascii="Cambria Math" w:eastAsiaTheme="minorEastAsia" w:hAnsi="Cambria Math"/>
          </w:rPr>
          <m:t>).</m:t>
        </m:r>
      </m:oMath>
      <w:r w:rsidR="0003131B">
        <w:rPr>
          <w:rFonts w:eastAsiaTheme="minorEastAsia"/>
        </w:rPr>
        <w:t xml:space="preserve"> Dans cette situation, l</w:t>
      </w:r>
      <w:r w:rsidR="00CA3393">
        <w:rPr>
          <w:rFonts w:eastAsiaTheme="minorEastAsia"/>
        </w:rPr>
        <w:t>a force de Lorentz est</w:t>
      </w:r>
      <w:r w:rsidR="0003131B">
        <w:rPr>
          <w:rFonts w:eastAsiaTheme="minorEastAsia"/>
        </w:rPr>
        <w:t xml:space="preserve"> le</w:t>
      </w:r>
      <w:r w:rsidR="00CA3393">
        <w:rPr>
          <w:rFonts w:eastAsiaTheme="minorEastAsia"/>
        </w:rPr>
        <w:t xml:space="preserve"> symétrique</w:t>
      </w:r>
      <w:r w:rsidR="0003131B">
        <w:rPr>
          <w:rFonts w:eastAsiaTheme="minorEastAsia"/>
        </w:rPr>
        <w:t xml:space="preserve"> de la précédente</w:t>
      </w:r>
      <w:r w:rsidR="00CA3393">
        <w:rPr>
          <w:rFonts w:eastAsiaTheme="minorEastAsia"/>
        </w:rPr>
        <w:t xml:space="preserve"> (grâce au produit vectoriel !). La trajectoire</w:t>
      </w:r>
      <w:r w:rsidR="009C00F6">
        <w:rPr>
          <w:rFonts w:eastAsiaTheme="minorEastAsia"/>
        </w:rPr>
        <w:t xml:space="preserve"> </w:t>
      </w:r>
      <w:r w:rsidR="00700918">
        <w:rPr>
          <w:rFonts w:eastAsiaTheme="minorEastAsia"/>
        </w:rPr>
        <w:t>dans la bobine de droite</w:t>
      </w:r>
      <w:r w:rsidR="00120AAF">
        <w:rPr>
          <w:rFonts w:eastAsiaTheme="minorEastAsia"/>
        </w:rPr>
        <w:t xml:space="preserve"> est</w:t>
      </w:r>
      <w:r w:rsidR="00CA3393">
        <w:rPr>
          <w:rFonts w:eastAsiaTheme="minorEastAsia"/>
        </w:rPr>
        <w:t xml:space="preserve"> donc</w:t>
      </w:r>
      <w:r w:rsidR="00120AAF">
        <w:rPr>
          <w:rFonts w:eastAsiaTheme="minorEastAsia"/>
        </w:rPr>
        <w:t xml:space="preserve"> le symétrique de la trajectoire </w:t>
      </w:r>
      <w:r w:rsidR="00700918">
        <w:rPr>
          <w:rFonts w:eastAsiaTheme="minorEastAsia"/>
        </w:rPr>
        <w:t>dans la bobine de gauche</w:t>
      </w:r>
      <w:r w:rsidR="00B14984">
        <w:rPr>
          <w:rFonts w:eastAsiaTheme="minorEastAsia"/>
        </w:rPr>
        <w:t xml:space="preserve"> ce qui nous semble plus intuitif</w:t>
      </w:r>
      <w:r w:rsidR="00771118">
        <w:rPr>
          <w:rFonts w:eastAsiaTheme="minorEastAsia"/>
        </w:rPr>
        <w:t xml:space="preserve"> (Cela est normal car le </w:t>
      </w:r>
      <w:r w:rsidR="003A2679">
        <w:rPr>
          <w:rFonts w:eastAsiaTheme="minorEastAsia"/>
        </w:rPr>
        <w:t xml:space="preserve">vecteur vitesse est un vrai vecteur donc lui doit respecter </w:t>
      </w:r>
      <w:r w:rsidR="00B8375E">
        <w:rPr>
          <w:rFonts w:eastAsiaTheme="minorEastAsia"/>
        </w:rPr>
        <w:t>la symétrie spatiale !</w:t>
      </w:r>
      <w:r w:rsidR="00771118">
        <w:rPr>
          <w:rFonts w:eastAsiaTheme="minorEastAsia"/>
        </w:rPr>
        <w:t>)</w:t>
      </w:r>
      <w:r w:rsidR="00B14984">
        <w:rPr>
          <w:rFonts w:eastAsiaTheme="minorEastAsia"/>
        </w:rPr>
        <w:t xml:space="preserve">. Comment peut-on avoir des trajectoires symétriques, alors que le champ </w:t>
      </w:r>
      <m:oMath>
        <m:acc>
          <m:accPr>
            <m:chr m:val="⃗"/>
            <m:ctrlPr>
              <w:rPr>
                <w:rFonts w:ascii="Cambria Math" w:eastAsiaTheme="minorEastAsia" w:hAnsi="Cambria Math"/>
                <w:i/>
              </w:rPr>
            </m:ctrlPr>
          </m:accPr>
          <m:e>
            <m:r>
              <w:rPr>
                <w:rFonts w:ascii="Cambria Math" w:eastAsiaTheme="minorEastAsia" w:hAnsi="Cambria Math"/>
              </w:rPr>
              <m:t>B</m:t>
            </m:r>
          </m:e>
        </m:acc>
      </m:oMath>
      <w:r w:rsidR="00B14984">
        <w:rPr>
          <w:rFonts w:eastAsiaTheme="minorEastAsia"/>
        </w:rPr>
        <w:t xml:space="preserve"> à l’origine de la force de lorentz est antisymétrique. C’est parce que </w:t>
      </w:r>
      <w:r w:rsidR="00B14984">
        <w:rPr>
          <w:rFonts w:eastAsiaTheme="minorEastAsia"/>
        </w:rPr>
        <w:lastRenderedPageBreak/>
        <w:t xml:space="preserve">la force de lorentz est le produit vectoriel d’un vecteur par le pseudo vecteur </w:t>
      </w:r>
      <m:oMath>
        <m:r>
          <w:rPr>
            <w:rFonts w:ascii="Cambria Math" w:eastAsiaTheme="minorEastAsia" w:hAnsi="Cambria Math"/>
          </w:rPr>
          <m:t xml:space="preserve">B </m:t>
        </m:r>
      </m:oMath>
      <w:r w:rsidR="00B14984">
        <w:rPr>
          <w:rFonts w:eastAsiaTheme="minorEastAsia"/>
        </w:rPr>
        <w:t xml:space="preserve">et que le produit vectoriel converti les symétries en antisymétrie. </w:t>
      </w:r>
      <w:r w:rsidR="00A8206F">
        <w:rPr>
          <w:rStyle w:val="FootnoteReference"/>
          <w:rFonts w:eastAsiaTheme="minorEastAsia"/>
        </w:rPr>
        <w:footnoteReference w:id="2"/>
      </w:r>
      <w:r w:rsidR="00120AAF">
        <w:rPr>
          <w:rFonts w:eastAsiaTheme="minorEastAsia"/>
        </w:rPr>
        <w:t xml:space="preserve">  </w:t>
      </w:r>
    </w:p>
    <w:p w14:paraId="1E3575BB" w14:textId="7AB87D85" w:rsidR="00F24252" w:rsidRPr="00EB1682" w:rsidRDefault="007F207B" w:rsidP="007F207B">
      <w:r>
        <w:rPr>
          <w:b/>
          <w:bCs/>
        </w:rPr>
        <w:t>Les symétries ne servent pas juste à simplifier des calculs mais leur</w:t>
      </w:r>
      <w:r w:rsidR="00AC5D8C">
        <w:rPr>
          <w:b/>
          <w:bCs/>
        </w:rPr>
        <w:t>s</w:t>
      </w:r>
      <w:r>
        <w:rPr>
          <w:b/>
          <w:bCs/>
        </w:rPr>
        <w:t xml:space="preserve"> conséquence</w:t>
      </w:r>
      <w:r w:rsidR="00AC5D8C">
        <w:rPr>
          <w:b/>
          <w:bCs/>
        </w:rPr>
        <w:t>s</w:t>
      </w:r>
      <w:r>
        <w:rPr>
          <w:b/>
          <w:bCs/>
        </w:rPr>
        <w:t xml:space="preserve"> permettent de déduire des propriétés importantes des phénomènes physiques. </w:t>
      </w:r>
      <w:r w:rsidR="00CC5B0B">
        <w:t xml:space="preserve">Exemple : Une particule chargée se déplace dans un champ électrique </w:t>
      </w:r>
      <m:oMath>
        <m:acc>
          <m:accPr>
            <m:chr m:val="⃗"/>
            <m:ctrlPr>
              <w:rPr>
                <w:rFonts w:ascii="Cambria Math" w:hAnsi="Cambria Math"/>
                <w:i/>
              </w:rPr>
            </m:ctrlPr>
          </m:accPr>
          <m:e>
            <m:r>
              <w:rPr>
                <w:rFonts w:ascii="Cambria Math" w:hAnsi="Cambria Math"/>
              </w:rPr>
              <m:t>E</m:t>
            </m:r>
          </m:e>
        </m:acc>
      </m:oMath>
      <w:r w:rsidR="00CC5B0B">
        <w:rPr>
          <w:rFonts w:eastAsiaTheme="minorEastAsia"/>
        </w:rPr>
        <w:t xml:space="preserve"> et un champ magnétique </w:t>
      </w:r>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 xml:space="preserve"> </m:t>
        </m:r>
      </m:oMath>
      <w:r w:rsidR="00CC5B0B">
        <w:rPr>
          <w:rFonts w:eastAsiaTheme="minorEastAsia"/>
        </w:rPr>
        <w:t xml:space="preserve">perpendiculaires. Sa vitesse initiale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ctrlPr>
              <w:rPr>
                <w:rFonts w:ascii="Cambria Math" w:hAnsi="Cambria Math"/>
                <w:i/>
              </w:rPr>
            </m:ctrlPr>
          </m:e>
        </m:acc>
      </m:oMath>
      <w:r w:rsidR="00CC5B0B">
        <w:rPr>
          <w:rFonts w:eastAsiaTheme="minorEastAsia"/>
        </w:rPr>
        <w:t xml:space="preserve"> est perpendiculaire à </w:t>
      </w:r>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oMath>
      <w:r w:rsidR="00EB1682">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E</m:t>
            </m:r>
          </m:e>
        </m:acc>
      </m:oMath>
      <w:r w:rsidR="00EB1682">
        <w:rPr>
          <w:rFonts w:eastAsiaTheme="minorEastAsia"/>
        </w:rPr>
        <w:t xml:space="preserve"> et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0</m:t>
            </m:r>
          </m:sub>
        </m:sSub>
      </m:oMath>
      <w:r w:rsidR="00EB1682">
        <w:rPr>
          <w:rFonts w:eastAsiaTheme="minorEastAsia"/>
        </w:rPr>
        <w:t xml:space="preserve"> étant </w:t>
      </w:r>
      <w:r w:rsidR="00A63981">
        <w:rPr>
          <w:rFonts w:eastAsiaTheme="minorEastAsia"/>
        </w:rPr>
        <w:t>des vrais vecteurs</w:t>
      </w:r>
      <w:r w:rsidR="00EB1682">
        <w:rPr>
          <w:rFonts w:eastAsiaTheme="minorEastAsia"/>
        </w:rPr>
        <w:t xml:space="preserve"> et </w:t>
      </w:r>
      <m:oMath>
        <m:acc>
          <m:accPr>
            <m:chr m:val="⃗"/>
            <m:ctrlPr>
              <w:rPr>
                <w:rFonts w:ascii="Cambria Math" w:eastAsiaTheme="minorEastAsia" w:hAnsi="Cambria Math"/>
                <w:i/>
              </w:rPr>
            </m:ctrlPr>
          </m:accPr>
          <m:e>
            <m:r>
              <w:rPr>
                <w:rFonts w:ascii="Cambria Math" w:eastAsiaTheme="minorEastAsia" w:hAnsi="Cambria Math"/>
              </w:rPr>
              <m:t>B</m:t>
            </m:r>
          </m:e>
        </m:acc>
      </m:oMath>
      <w:r w:rsidR="00EB1682">
        <w:rPr>
          <w:rFonts w:eastAsiaTheme="minorEastAsia"/>
        </w:rPr>
        <w:t xml:space="preserve"> </w:t>
      </w:r>
      <w:r w:rsidR="00A63981">
        <w:rPr>
          <w:rFonts w:eastAsiaTheme="minorEastAsia"/>
        </w:rPr>
        <w:t>pseudovecteur</w:t>
      </w:r>
      <w:r w:rsidR="00EB1682">
        <w:rPr>
          <w:rFonts w:eastAsiaTheme="minorEastAsia"/>
        </w:rPr>
        <w:t xml:space="preserve">, le plan contenant </w:t>
      </w:r>
      <m:oMath>
        <m:acc>
          <m:accPr>
            <m:chr m:val="⃗"/>
            <m:ctrlPr>
              <w:rPr>
                <w:rFonts w:ascii="Cambria Math" w:eastAsiaTheme="minorEastAsia" w:hAnsi="Cambria Math"/>
                <w:i/>
              </w:rPr>
            </m:ctrlPr>
          </m:accPr>
          <m:e>
            <m:r>
              <w:rPr>
                <w:rFonts w:ascii="Cambria Math" w:eastAsiaTheme="minorEastAsia" w:hAnsi="Cambria Math"/>
              </w:rPr>
              <m:t>E</m:t>
            </m:r>
          </m:e>
        </m:acc>
      </m:oMath>
      <w:r w:rsidR="00EB1682">
        <w:rPr>
          <w:rFonts w:eastAsiaTheme="minorEastAsia"/>
        </w:rPr>
        <w:t xml:space="preserve"> et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0</m:t>
            </m:r>
          </m:sub>
        </m:sSub>
      </m:oMath>
      <w:r w:rsidR="00EB1682">
        <w:rPr>
          <w:rFonts w:eastAsiaTheme="minorEastAsia"/>
        </w:rPr>
        <w:t xml:space="preserve"> est un plan de symétrie à l’instant initial </w:t>
      </w:r>
      <w:r w:rsidR="00EB1682" w:rsidRPr="003C6669">
        <w:rPr>
          <w:rFonts w:eastAsiaTheme="minorEastAsia"/>
          <w:b/>
          <w:bCs/>
        </w:rPr>
        <w:t>et le reste</w:t>
      </w:r>
      <w:r w:rsidR="00EB1682">
        <w:rPr>
          <w:rFonts w:eastAsiaTheme="minorEastAsia"/>
        </w:rPr>
        <w:t>.</w:t>
      </w:r>
      <w:r w:rsidR="00096247">
        <w:rPr>
          <w:rFonts w:eastAsiaTheme="minorEastAsia"/>
        </w:rPr>
        <w:t xml:space="preserve"> Donc le vecteur vitesse reste dans le plan de symétrie</w:t>
      </w:r>
      <w:r w:rsidR="007834D4">
        <w:rPr>
          <w:rFonts w:eastAsiaTheme="minorEastAsia"/>
        </w:rPr>
        <w:t xml:space="preserve"> car il s’agit d’un vrai vecteur</w:t>
      </w:r>
      <w:bookmarkStart w:id="0" w:name="_GoBack"/>
      <w:bookmarkEnd w:id="0"/>
      <w:r w:rsidR="00096247">
        <w:rPr>
          <w:rFonts w:eastAsiaTheme="minorEastAsia"/>
        </w:rPr>
        <w:t>.</w:t>
      </w:r>
      <w:r w:rsidR="00EB1682">
        <w:rPr>
          <w:rFonts w:eastAsiaTheme="minorEastAsia"/>
        </w:rPr>
        <w:t xml:space="preserve"> Par conséquent, la trajectoire de la particule est contenue dans ce plan. </w:t>
      </w:r>
    </w:p>
    <w:p w14:paraId="7F2B1864" w14:textId="5561429B" w:rsidR="00EB1682" w:rsidRPr="00F24252" w:rsidRDefault="00EB1682" w:rsidP="007F207B">
      <w:r>
        <w:rPr>
          <w:noProof/>
        </w:rPr>
        <w:drawing>
          <wp:anchor distT="0" distB="0" distL="114300" distR="114300" simplePos="0" relativeHeight="251667456" behindDoc="0" locked="0" layoutInCell="1" allowOverlap="1" wp14:anchorId="0F452946" wp14:editId="2BBD0E12">
            <wp:simplePos x="0" y="0"/>
            <wp:positionH relativeFrom="column">
              <wp:posOffset>1217930</wp:posOffset>
            </wp:positionH>
            <wp:positionV relativeFrom="paragraph">
              <wp:posOffset>266065</wp:posOffset>
            </wp:positionV>
            <wp:extent cx="3664585" cy="176022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4585" cy="1760220"/>
                    </a:xfrm>
                    <a:prstGeom prst="rect">
                      <a:avLst/>
                    </a:prstGeom>
                  </pic:spPr>
                </pic:pic>
              </a:graphicData>
            </a:graphic>
            <wp14:sizeRelH relativeFrom="margin">
              <wp14:pctWidth>0</wp14:pctWidth>
            </wp14:sizeRelH>
            <wp14:sizeRelV relativeFrom="margin">
              <wp14:pctHeight>0</wp14:pctHeight>
            </wp14:sizeRelV>
          </wp:anchor>
        </w:drawing>
      </w:r>
    </w:p>
    <w:p w14:paraId="3E174367" w14:textId="5856FD72" w:rsidR="00FD0B7D" w:rsidRPr="00FD0B7D" w:rsidRDefault="00FD0B7D" w:rsidP="00047D1A">
      <w:pPr>
        <w:pStyle w:val="NoSpacing"/>
        <w:ind w:left="1068"/>
      </w:pPr>
      <w:r w:rsidRPr="004A1F0C">
        <w:rPr>
          <w:b/>
          <w:bCs/>
        </w:rPr>
        <w:t>Transition</w:t>
      </w:r>
      <w:r>
        <w:t xml:space="preserve"> : Jusqu’ici, nous avons exploré les relations entre symétrie des causes et des conséquences. </w:t>
      </w:r>
      <w:r w:rsidR="004A1F0C">
        <w:t xml:space="preserve">Nous avons aussi légèrement abordé la notion de symétrie des lois de la physique à travers l’expérience de la réflexion de la bobine. Dans la partie suivante, nous allons nous focaliser sur les symétries des lois de la physique (ie symétrie de l’action ou du lagrangien) et des conséquences importantes sur les lois de conservations. </w:t>
      </w:r>
    </w:p>
    <w:p w14:paraId="0E965C78" w14:textId="4DD6A225" w:rsidR="00EF52CE" w:rsidRDefault="00D401A5" w:rsidP="00FD5744">
      <w:pPr>
        <w:pStyle w:val="Heading1"/>
      </w:pPr>
      <w:r>
        <w:t xml:space="preserve">Equivalence entre Symétries et </w:t>
      </w:r>
      <w:r w:rsidR="0048116B">
        <w:t xml:space="preserve">loi de </w:t>
      </w:r>
      <w:r>
        <w:t xml:space="preserve">Conservation </w:t>
      </w:r>
    </w:p>
    <w:p w14:paraId="685A7004" w14:textId="2863493A" w:rsidR="00292B7F" w:rsidRDefault="00073DA7" w:rsidP="00AE27B9">
      <w:pPr>
        <w:pStyle w:val="Heading2"/>
        <w:numPr>
          <w:ilvl w:val="0"/>
          <w:numId w:val="18"/>
        </w:numPr>
      </w:pPr>
      <w:r>
        <w:t>Théorème de N</w:t>
      </w:r>
      <w:r w:rsidR="00331619">
        <w:t>œ</w:t>
      </w:r>
      <w:r>
        <w:t xml:space="preserve">ther </w:t>
      </w:r>
    </w:p>
    <w:p w14:paraId="7DB390D2" w14:textId="737219DF" w:rsidR="00331619" w:rsidRDefault="00331619" w:rsidP="00331619">
      <w:r>
        <w:t xml:space="preserve">Emmy Noether (1882-1935) : Mathématicienne allemande spécialiste d’algèbre et de physique théorique. Le Théorème de Nœther fut qualifié par Albert Einstein de « monument de la pensée mathématique ». </w:t>
      </w:r>
      <w:r w:rsidRPr="00603817">
        <w:rPr>
          <w:b/>
          <w:bCs/>
        </w:rPr>
        <w:t>Il établit une relation d’équivalence entre les symétries d’un système</w:t>
      </w:r>
      <w:r w:rsidR="009E5D66">
        <w:rPr>
          <w:b/>
          <w:bCs/>
        </w:rPr>
        <w:t xml:space="preserve"> physique</w:t>
      </w:r>
      <w:r w:rsidRPr="00603817">
        <w:rPr>
          <w:b/>
          <w:bCs/>
        </w:rPr>
        <w:t xml:space="preserve"> et les lois de conservation</w:t>
      </w:r>
      <w:r>
        <w:t xml:space="preserve">. </w:t>
      </w:r>
    </w:p>
    <w:p w14:paraId="6CF1C69B" w14:textId="77777777" w:rsidR="00EF6A44" w:rsidRDefault="00652E93" w:rsidP="00EF6A44">
      <w:r>
        <w:t>Enoncé :</w:t>
      </w:r>
      <w:r w:rsidR="005338E5">
        <w:t xml:space="preserve"> </w:t>
      </w:r>
    </w:p>
    <w:p w14:paraId="7B576F94" w14:textId="2D774647" w:rsidR="00652E93" w:rsidRDefault="005338E5" w:rsidP="00EF6A44">
      <w:pPr>
        <w:numPr>
          <w:ilvl w:val="0"/>
          <w:numId w:val="0"/>
        </w:numPr>
        <w:pBdr>
          <w:top w:val="single" w:sz="4" w:space="1" w:color="auto"/>
          <w:left w:val="single" w:sz="4" w:space="4" w:color="auto"/>
          <w:bottom w:val="single" w:sz="4" w:space="1" w:color="auto"/>
          <w:right w:val="single" w:sz="4" w:space="4" w:color="auto"/>
        </w:pBdr>
        <w:ind w:left="1068"/>
      </w:pPr>
      <w:r>
        <w:t xml:space="preserve">A toute </w:t>
      </w:r>
      <w:r w:rsidR="00EF6A44" w:rsidRPr="00A6569A">
        <w:rPr>
          <w:i/>
          <w:iCs/>
        </w:rPr>
        <w:t>symétrie du lagrangien</w:t>
      </w:r>
      <w:r>
        <w:t xml:space="preserve"> correspond une quantité qui est conservée. </w:t>
      </w:r>
    </w:p>
    <w:p w14:paraId="00E9C93B" w14:textId="55ABA503" w:rsidR="0099514F" w:rsidRDefault="00264513" w:rsidP="00A6569A">
      <w:r>
        <w:t>On entend par symétrie</w:t>
      </w:r>
      <w:r w:rsidR="00A6569A">
        <w:t xml:space="preserve"> du lagrangien</w:t>
      </w:r>
      <w:r>
        <w:t xml:space="preserve">, </w:t>
      </w:r>
      <w:r w:rsidR="006D4C21">
        <w:t xml:space="preserve">une </w:t>
      </w:r>
      <w:r w:rsidR="006D4C21" w:rsidRPr="006D4C21">
        <w:rPr>
          <w:i/>
          <w:iCs/>
        </w:rPr>
        <w:t>transformation</w:t>
      </w:r>
      <w:r w:rsidR="006D4C21">
        <w:rPr>
          <w:i/>
          <w:iCs/>
        </w:rPr>
        <w:t xml:space="preserve"> </w:t>
      </w:r>
      <w:r w:rsidR="006D4C21">
        <w:t xml:space="preserve">qui </w:t>
      </w:r>
      <w:r w:rsidR="00A6569A">
        <w:t xml:space="preserve">le </w:t>
      </w:r>
      <w:r w:rsidR="006D4C21">
        <w:t>laisse invariant</w:t>
      </w:r>
      <w:r>
        <w:rPr>
          <w:rStyle w:val="FootnoteReference"/>
        </w:rPr>
        <w:footnoteReference w:id="3"/>
      </w:r>
      <w:r w:rsidR="00946BF4">
        <w:t>.</w:t>
      </w:r>
      <w:r w:rsidR="00287724">
        <w:t xml:space="preserve"> </w:t>
      </w:r>
    </w:p>
    <w:p w14:paraId="592A4E63" w14:textId="20714E6D" w:rsidR="00EF12FF" w:rsidRPr="001333B4" w:rsidRDefault="00BA0394" w:rsidP="00331619">
      <w:r>
        <w:t xml:space="preserve">Précisons le sens du mot </w:t>
      </w:r>
      <w:r w:rsidRPr="00ED324E">
        <w:rPr>
          <w:i/>
          <w:iCs/>
        </w:rPr>
        <w:t>transformation</w:t>
      </w:r>
      <w:r>
        <w:t xml:space="preserve"> à partir d’exemple</w:t>
      </w:r>
      <w:r w:rsidR="006C0843">
        <w:t>s (cf slides)</w:t>
      </w:r>
      <w:r>
        <w:t xml:space="preserve"> : </w:t>
      </w:r>
    </w:p>
    <w:p w14:paraId="2A46292C" w14:textId="31C467BC" w:rsidR="003D7131" w:rsidRDefault="001333B4" w:rsidP="004E435C">
      <w:pPr>
        <w:pStyle w:val="ListParagraph"/>
        <w:numPr>
          <w:ilvl w:val="0"/>
          <w:numId w:val="16"/>
        </w:numPr>
      </w:pPr>
      <w:r>
        <w:t>Translation </w:t>
      </w:r>
      <w:r w:rsidR="009E5D66">
        <w:t xml:space="preserve">spatiale </w:t>
      </w:r>
      <w:r>
        <w:t xml:space="preserve">: </w:t>
      </w:r>
      <w:r w:rsidR="003D7131">
        <w:t> </w:t>
      </w:r>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+α</m:t>
        </m:r>
        <m:acc>
          <m:accPr>
            <m:chr m:val="⃗"/>
            <m:ctrlPr>
              <w:rPr>
                <w:rFonts w:ascii="Cambria Math" w:hAnsi="Cambria Math"/>
                <w:i/>
              </w:rPr>
            </m:ctrlPr>
          </m:accPr>
          <m:e>
            <m:r>
              <w:rPr>
                <w:rFonts w:ascii="Cambria Math" w:hAnsi="Cambria Math"/>
              </w:rPr>
              <m:t>a</m:t>
            </m:r>
          </m:e>
        </m:acc>
      </m:oMath>
      <w:r w:rsidR="009E5D66">
        <w:t> </w:t>
      </w:r>
    </w:p>
    <w:p w14:paraId="3F609333" w14:textId="2548D837" w:rsidR="00DA3E58" w:rsidRPr="00756A90" w:rsidRDefault="006C0843" w:rsidP="004E435C">
      <w:pPr>
        <w:pStyle w:val="ListParagraph"/>
        <w:numPr>
          <w:ilvl w:val="0"/>
          <w:numId w:val="16"/>
        </w:numPr>
        <w:rPr>
          <w:lang w:val="en-US"/>
        </w:rPr>
      </w:pPr>
      <w:r w:rsidRPr="00756A90">
        <w:rPr>
          <w:lang w:val="en-US"/>
        </w:rPr>
        <w:lastRenderedPageBreak/>
        <w:t xml:space="preserve">Rotation : </w:t>
      </w:r>
      <w:r w:rsidR="001A1C04" w:rsidRPr="00756A90">
        <w:rPr>
          <w:lang w:val="en-US"/>
        </w:rPr>
        <w:t xml:space="preserve"> </w:t>
      </w:r>
      <m:oMath>
        <m:d>
          <m:dPr>
            <m:ctrlPr>
              <w:rPr>
                <w:rFonts w:ascii="Cambria Math" w:eastAsiaTheme="minorEastAsia" w:hAnsi="Cambria Math"/>
                <w:i/>
                <w:lang w:val="en-US"/>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ctrlPr>
              <w:rPr>
                <w:rFonts w:ascii="Cambria Math" w:hAnsi="Cambria Math"/>
                <w:i/>
                <w:lang w:val="en-US"/>
              </w:rPr>
            </m:ctrlPr>
          </m:e>
        </m:d>
        <m:r>
          <w:rPr>
            <w:rFonts w:ascii="Cambria Math" w:hAnsi="Cambria Math"/>
            <w:lang w:val="en-US"/>
          </w:rPr>
          <m:t xml:space="preserve"> →</m:t>
        </m:r>
        <m:d>
          <m:dPr>
            <m:ctrlPr>
              <w:rPr>
                <w:rFonts w:ascii="Cambria Math" w:eastAsiaTheme="minorEastAsia" w:hAnsi="Cambria Math"/>
                <w:i/>
                <w:lang w:val="en-US"/>
              </w:rPr>
            </m:ctrlPr>
          </m:dPr>
          <m:e>
            <m:m>
              <m:mPr>
                <m:mcs>
                  <m:mc>
                    <m:mcPr>
                      <m:count m:val="1"/>
                      <m:mcJc m:val="center"/>
                    </m:mcPr>
                  </m:mc>
                </m:mcs>
                <m:ctrlPr>
                  <w:rPr>
                    <w:rFonts w:ascii="Cambria Math" w:hAnsi="Cambria Math"/>
                    <w:i/>
                  </w:rPr>
                </m:ctrlPr>
              </m:mPr>
              <m:mr>
                <m:e>
                  <m:r>
                    <w:rPr>
                      <w:rFonts w:ascii="Cambria Math" w:hAnsi="Cambria Math"/>
                    </w:rPr>
                    <m:t>x</m:t>
                  </m:r>
                  <m:r>
                    <w:rPr>
                      <w:rFonts w:ascii="Cambria Math" w:hAnsi="Cambria Math"/>
                      <w:lang w:val="en-US"/>
                    </w:rPr>
                    <m:t>'</m:t>
                  </m:r>
                </m:e>
              </m:mr>
              <m:mr>
                <m:e>
                  <m:r>
                    <w:rPr>
                      <w:rFonts w:ascii="Cambria Math" w:hAnsi="Cambria Math"/>
                    </w:rPr>
                    <m:t>y</m:t>
                  </m:r>
                </m:e>
              </m:mr>
              <m:mr>
                <m:e>
                  <m:r>
                    <w:rPr>
                      <w:rFonts w:ascii="Cambria Math" w:hAnsi="Cambria Math"/>
                    </w:rPr>
                    <m:t>z</m:t>
                  </m:r>
                  <m:r>
                    <w:rPr>
                      <w:rFonts w:ascii="Cambria Math" w:hAnsi="Cambria Math"/>
                      <w:lang w:val="en-US"/>
                    </w:rPr>
                    <m:t>'</m:t>
                  </m:r>
                </m:e>
              </m:mr>
            </m:m>
            <m:r>
              <w:rPr>
                <w:rFonts w:ascii="Cambria Math" w:hAnsi="Cambria Math"/>
                <w:lang w:val="en-US"/>
              </w:rPr>
              <m:t>'</m:t>
            </m:r>
            <m:ctrlPr>
              <w:rPr>
                <w:rFonts w:ascii="Cambria Math" w:hAnsi="Cambria Math"/>
                <w:i/>
                <w:lang w:val="en-US"/>
              </w:rPr>
            </m:ctrlPr>
          </m:e>
        </m:d>
        <m:r>
          <w:rPr>
            <w:rFonts w:ascii="Cambria Math" w:hAnsi="Cambria Math"/>
            <w:lang w:val="en-US"/>
          </w:rPr>
          <m:t>=</m:t>
        </m:r>
        <m:d>
          <m:dPr>
            <m:ctrlPr>
              <w:rPr>
                <w:rFonts w:ascii="Cambria Math" w:hAnsi="Cambria Math"/>
                <w:i/>
              </w:rPr>
            </m:ctrlPr>
          </m:dPr>
          <m:e>
            <m:m>
              <m:mPr>
                <m:mcs>
                  <m:mc>
                    <m:mcPr>
                      <m:count m:val="3"/>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lang w:val="en-US"/>
                        </w:rPr>
                        <m:t>cos</m:t>
                      </m:r>
                    </m:fName>
                    <m:e>
                      <m:d>
                        <m:dPr>
                          <m:ctrlPr>
                            <w:rPr>
                              <w:rFonts w:ascii="Cambria Math" w:hAnsi="Cambria Math"/>
                              <w:i/>
                            </w:rPr>
                          </m:ctrlPr>
                        </m:dPr>
                        <m:e>
                          <m:r>
                            <w:rPr>
                              <w:rFonts w:ascii="Cambria Math" w:hAnsi="Cambria Math"/>
                            </w:rPr>
                            <m:t>α</m:t>
                          </m:r>
                        </m:e>
                      </m:d>
                    </m:e>
                  </m:func>
                </m:e>
                <m:e>
                  <m:func>
                    <m:funcPr>
                      <m:ctrlPr>
                        <w:rPr>
                          <w:rFonts w:ascii="Cambria Math" w:hAnsi="Cambria Math"/>
                          <w:i/>
                        </w:rPr>
                      </m:ctrlPr>
                    </m:funcPr>
                    <m:fName>
                      <m:r>
                        <m:rPr>
                          <m:sty m:val="p"/>
                        </m:rPr>
                        <w:rPr>
                          <w:rFonts w:ascii="Cambria Math" w:hAnsi="Cambria Math"/>
                          <w:lang w:val="en-US"/>
                        </w:rPr>
                        <m:t>sin</m:t>
                      </m:r>
                    </m:fName>
                    <m:e>
                      <m:d>
                        <m:dPr>
                          <m:ctrlPr>
                            <w:rPr>
                              <w:rFonts w:ascii="Cambria Math" w:hAnsi="Cambria Math"/>
                              <w:i/>
                            </w:rPr>
                          </m:ctrlPr>
                        </m:dPr>
                        <m:e>
                          <m:r>
                            <w:rPr>
                              <w:rFonts w:ascii="Cambria Math" w:hAnsi="Cambria Math"/>
                            </w:rPr>
                            <m:t>α</m:t>
                          </m:r>
                        </m:e>
                      </m:d>
                    </m:e>
                  </m:func>
                  <m:ctrlPr>
                    <w:rPr>
                      <w:rFonts w:ascii="Cambria Math" w:eastAsia="Cambria Math" w:hAnsi="Cambria Math" w:cs="Cambria Math"/>
                      <w:i/>
                    </w:rPr>
                  </m:ctrlPr>
                </m:e>
                <m:e>
                  <m:r>
                    <w:rPr>
                      <w:rFonts w:ascii="Cambria Math" w:eastAsia="Cambria Math" w:hAnsi="Cambria Math" w:cs="Cambria Math"/>
                      <w:lang w:val="en-US"/>
                    </w:rPr>
                    <m:t>0</m:t>
                  </m:r>
                </m:e>
              </m:mr>
              <m:mr>
                <m:e>
                  <m:r>
                    <w:rPr>
                      <w:rFonts w:ascii="Cambria Math" w:hAnsi="Cambria Math"/>
                      <w:lang w:val="en-US"/>
                    </w:rPr>
                    <m:t>-</m:t>
                  </m:r>
                  <m:r>
                    <m:rPr>
                      <m:sty m:val="p"/>
                    </m:rPr>
                    <w:rPr>
                      <w:rFonts w:ascii="Cambria Math" w:hAnsi="Cambria Math"/>
                      <w:lang w:val="en-US"/>
                    </w:rPr>
                    <m:t>sin⁡</m:t>
                  </m:r>
                  <m:r>
                    <w:rPr>
                      <w:rFonts w:ascii="Cambria Math" w:hAnsi="Cambria Math"/>
                      <w:lang w:val="en-US"/>
                    </w:rPr>
                    <m:t>(</m:t>
                  </m:r>
                  <m:r>
                    <w:rPr>
                      <w:rFonts w:ascii="Cambria Math" w:hAnsi="Cambria Math"/>
                    </w:rPr>
                    <m:t>α</m:t>
                  </m:r>
                  <m:r>
                    <w:rPr>
                      <w:rFonts w:ascii="Cambria Math" w:hAnsi="Cambria Math"/>
                      <w:lang w:val="en-US"/>
                    </w:rPr>
                    <m:t>)</m:t>
                  </m:r>
                </m:e>
                <m:e>
                  <m:r>
                    <m:rPr>
                      <m:sty m:val="p"/>
                    </m:rPr>
                    <w:rPr>
                      <w:rFonts w:ascii="Cambria Math" w:hAnsi="Cambria Math"/>
                      <w:lang w:val="en-US"/>
                    </w:rPr>
                    <m:t>cos⁡</m:t>
                  </m:r>
                  <m:r>
                    <w:rPr>
                      <w:rFonts w:ascii="Cambria Math" w:hAnsi="Cambria Math"/>
                      <w:lang w:val="en-US"/>
                    </w:rPr>
                    <m:t>(</m:t>
                  </m:r>
                  <m:r>
                    <w:rPr>
                      <w:rFonts w:ascii="Cambria Math" w:hAnsi="Cambria Math"/>
                    </w:rPr>
                    <m:t>α</m:t>
                  </m:r>
                  <m:r>
                    <w:rPr>
                      <w:rFonts w:ascii="Cambria Math" w:hAnsi="Cambria Math"/>
                      <w:lang w:val="en-US"/>
                    </w:rPr>
                    <m:t>)</m:t>
                  </m:r>
                  <m:ctrlPr>
                    <w:rPr>
                      <w:rFonts w:ascii="Cambria Math" w:eastAsia="Cambria Math" w:hAnsi="Cambria Math" w:cs="Cambria Math"/>
                    </w:rPr>
                  </m:ctrlPr>
                </m:e>
                <m:e>
                  <m:r>
                    <w:rPr>
                      <w:rFonts w:ascii="Cambria Math" w:eastAsia="Cambria Math" w:hAnsi="Cambria Math" w:cs="Cambria Math"/>
                      <w:lang w:val="en-US"/>
                    </w:rPr>
                    <m:t>0</m:t>
                  </m:r>
                  <m:ctrlPr>
                    <w:rPr>
                      <w:rFonts w:ascii="Cambria Math" w:eastAsia="Cambria Math" w:hAnsi="Cambria Math" w:cs="Cambria Math"/>
                      <w:i/>
                    </w:rPr>
                  </m:ctrlPr>
                </m:e>
              </m:mr>
              <m:mr>
                <m:e>
                  <m:r>
                    <w:rPr>
                      <w:rFonts w:ascii="Cambria Math" w:eastAsia="Cambria Math" w:hAnsi="Cambria Math" w:cs="Cambria Math"/>
                      <w:lang w:val="en-US"/>
                    </w:rPr>
                    <m:t>0</m:t>
                  </m:r>
                  <m:ctrlPr>
                    <w:rPr>
                      <w:rFonts w:ascii="Cambria Math" w:eastAsia="Cambria Math" w:hAnsi="Cambria Math" w:cs="Cambria Math"/>
                      <w:i/>
                    </w:rPr>
                  </m:ctrlPr>
                </m:e>
                <m:e>
                  <m:r>
                    <w:rPr>
                      <w:rFonts w:ascii="Cambria Math" w:eastAsia="Cambria Math" w:hAnsi="Cambria Math" w:cs="Cambria Math"/>
                      <w:lang w:val="en-US"/>
                    </w:rPr>
                    <m:t>0</m:t>
                  </m:r>
                  <m:ctrlPr>
                    <w:rPr>
                      <w:rFonts w:ascii="Cambria Math" w:eastAsia="Cambria Math" w:hAnsi="Cambria Math" w:cs="Cambria Math"/>
                      <w:i/>
                    </w:rPr>
                  </m:ctrlPr>
                </m:e>
                <m:e>
                  <m:r>
                    <w:rPr>
                      <w:rFonts w:ascii="Cambria Math" w:eastAsia="Cambria Math" w:hAnsi="Cambria Math" w:cs="Cambria Math"/>
                      <w:lang w:val="en-US"/>
                    </w:rPr>
                    <m:t>1</m:t>
                  </m:r>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ctrlPr>
              <w:rPr>
                <w:rFonts w:ascii="Cambria Math" w:hAnsi="Cambria Math"/>
                <w:i/>
                <w:lang w:val="en-US"/>
              </w:rPr>
            </m:ctrlPr>
          </m:e>
        </m:d>
      </m:oMath>
    </w:p>
    <w:p w14:paraId="3169B5C6" w14:textId="224C59D4" w:rsidR="00ED324E" w:rsidRDefault="00756A90" w:rsidP="00756A90">
      <w:pPr>
        <w:pStyle w:val="ListParagraph"/>
        <w:numPr>
          <w:ilvl w:val="0"/>
          <w:numId w:val="0"/>
        </w:numPr>
        <w:ind w:left="1428"/>
        <w:rPr>
          <w:rFonts w:eastAsiaTheme="minorEastAsia"/>
        </w:rPr>
      </w:pPr>
      <w:r w:rsidRPr="00756A90">
        <w:rPr>
          <w:rFonts w:eastAsiaTheme="minorEastAsia"/>
        </w:rPr>
        <w:t>A chaque fois</w:t>
      </w:r>
      <w:r w:rsidR="007538C2">
        <w:rPr>
          <w:rFonts w:eastAsiaTheme="minorEastAsia"/>
        </w:rPr>
        <w:t>,</w:t>
      </w:r>
      <w:r w:rsidRPr="00756A90">
        <w:rPr>
          <w:rFonts w:eastAsiaTheme="minorEastAsia"/>
        </w:rPr>
        <w:t xml:space="preserve"> la t</w:t>
      </w:r>
      <w:r>
        <w:rPr>
          <w:rFonts w:eastAsiaTheme="minorEastAsia"/>
        </w:rPr>
        <w:t xml:space="preserve">ransformation est définie à partir d’un paramètre continu (ici </w:t>
      </w:r>
      <m:oMath>
        <m:r>
          <w:rPr>
            <w:rFonts w:ascii="Cambria Math" w:eastAsiaTheme="minorEastAsia" w:hAnsi="Cambria Math"/>
          </w:rPr>
          <m:t>α</m:t>
        </m:r>
      </m:oMath>
      <w:r>
        <w:rPr>
          <w:rFonts w:eastAsiaTheme="minorEastAsia"/>
        </w:rPr>
        <w:t xml:space="preserve">) </w:t>
      </w:r>
      <w:r w:rsidR="0031098A">
        <w:rPr>
          <w:rFonts w:eastAsiaTheme="minorEastAsia"/>
        </w:rPr>
        <w:t xml:space="preserve">qui va contrôler la transformation (comme un bouton de contrôle). Si </w:t>
      </w:r>
      <m:oMath>
        <m:r>
          <w:rPr>
            <w:rFonts w:ascii="Cambria Math" w:eastAsiaTheme="minorEastAsia" w:hAnsi="Cambria Math"/>
          </w:rPr>
          <m:t>α=0</m:t>
        </m:r>
      </m:oMath>
      <w:r w:rsidR="0031098A">
        <w:rPr>
          <w:rFonts w:eastAsiaTheme="minorEastAsia"/>
        </w:rPr>
        <w:t xml:space="preserve">, alors </w:t>
      </w:r>
      <w:r w:rsidR="00ED324E">
        <w:rPr>
          <w:rFonts w:eastAsiaTheme="minorEastAsia"/>
        </w:rPr>
        <w:t>il n’y a pas de transformation (ie c’est l’identité)</w:t>
      </w:r>
      <w:r w:rsidR="007538C2">
        <w:rPr>
          <w:rFonts w:eastAsiaTheme="minorEastAsia"/>
        </w:rPr>
        <w:t xml:space="preserve">, plus </w:t>
      </w:r>
      <m:oMath>
        <m:r>
          <w:rPr>
            <w:rFonts w:ascii="Cambria Math" w:eastAsiaTheme="minorEastAsia" w:hAnsi="Cambria Math"/>
          </w:rPr>
          <m:t>α</m:t>
        </m:r>
      </m:oMath>
      <w:r w:rsidR="007538C2">
        <w:rPr>
          <w:rFonts w:eastAsiaTheme="minorEastAsia"/>
        </w:rPr>
        <w:t xml:space="preserve"> grandi, plus la transformation est «importante» (angle de rotation grand, vecteur translation grand).</w:t>
      </w:r>
    </w:p>
    <w:p w14:paraId="25027552" w14:textId="6A5B8262" w:rsidR="009E5D66" w:rsidRDefault="009E5D66" w:rsidP="00756A90">
      <w:pPr>
        <w:pStyle w:val="ListParagraph"/>
        <w:numPr>
          <w:ilvl w:val="0"/>
          <w:numId w:val="0"/>
        </w:numPr>
        <w:ind w:left="1428"/>
        <w:rPr>
          <w:rFonts w:eastAsiaTheme="minorEastAsia"/>
        </w:rPr>
      </w:pPr>
    </w:p>
    <w:p w14:paraId="61836F10" w14:textId="0485F7E2" w:rsidR="002538D3" w:rsidRDefault="00CB2855" w:rsidP="00CB2855">
      <w:r>
        <w:t>Ce qui rend le théorème de N</w:t>
      </w:r>
      <w:r w:rsidR="008A7553">
        <w:t>œ</w:t>
      </w:r>
      <w:r>
        <w:t>ther puissant c’est la capacité à trouver la grandeur conservée à partir de la connaissance de la symétrie.</w:t>
      </w:r>
    </w:p>
    <w:p w14:paraId="6293A117" w14:textId="4E7D020C" w:rsidR="00ED324E" w:rsidRDefault="0047248D" w:rsidP="00CB2855">
      <w:r>
        <w:t>On montre que si la transformation spatiale qui transforme les coordonnées généralisée</w:t>
      </w:r>
      <w:r w:rsidR="008A7553">
        <w:t>s</w:t>
      </w:r>
      <w:r>
        <w:t xml:space="preserve"> </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e>
        </m:d>
        <m:r>
          <w:rPr>
            <w:rFonts w:ascii="Cambria Math" w:eastAsiaTheme="minorEastAsia" w:hAnsi="Cambria Math"/>
          </w:rPr>
          <m:t xml:space="preserve"> </m:t>
        </m:r>
      </m:oMath>
      <w:r>
        <w:rPr>
          <w:rFonts w:eastAsiaTheme="minorEastAsia"/>
        </w:rPr>
        <w:t>laisse le lagrangien</w:t>
      </w:r>
      <w:r>
        <w:t xml:space="preserve"> </w:t>
      </w:r>
      <w:r w:rsidR="005633B6">
        <w:t xml:space="preserve">invariant, alors </w:t>
      </w:r>
      <w:r w:rsidR="002B4816">
        <w:t>la quantité conservée est</w:t>
      </w:r>
      <w:r w:rsidR="00187001">
        <w:t> :</w:t>
      </w:r>
    </w:p>
    <w:p w14:paraId="47608A54" w14:textId="43C7F3FF" w:rsidR="00460D27" w:rsidRPr="00087500" w:rsidRDefault="007934EB" w:rsidP="00460D27">
      <w:pPr>
        <w:numPr>
          <w:ilvl w:val="0"/>
          <w:numId w:val="0"/>
        </w:numPr>
        <w:ind w:left="1068"/>
        <w:rPr>
          <w:rFonts w:eastAsiaTheme="minorEastAsia"/>
        </w:rPr>
      </w:pPr>
      <m:oMathPara>
        <m:oMath>
          <m:eqArr>
            <m:eqArrPr>
              <m:maxDist m:val="1"/>
              <m:ctrlPr>
                <w:rPr>
                  <w:rFonts w:ascii="Cambria Math" w:hAnsi="Cambria Math"/>
                  <w:i/>
                </w:rPr>
              </m:ctrlPr>
            </m:eqArrPr>
            <m:e>
              <m:r>
                <w:rPr>
                  <w:rFonts w:ascii="Cambria Math" w:hAnsi="Cambria Math"/>
                </w:rPr>
                <m:t xml:space="preserve">I=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i</m:t>
                              </m:r>
                            </m:sub>
                          </m:sSub>
                        </m:e>
                      </m:acc>
                    </m:den>
                  </m:f>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num>
                            <m:den>
                              <m:r>
                                <w:rPr>
                                  <w:rFonts w:ascii="Cambria Math" w:hAnsi="Cambria Math"/>
                                </w:rPr>
                                <m:t>∂α</m:t>
                              </m:r>
                            </m:den>
                          </m:f>
                        </m:e>
                      </m:d>
                    </m:e>
                    <m:sub>
                      <m:r>
                        <w:rPr>
                          <w:rFonts w:ascii="Cambria Math" w:hAnsi="Cambria Math"/>
                        </w:rPr>
                        <m:t>α=0</m:t>
                      </m:r>
                    </m:sub>
                  </m:sSub>
                </m:e>
              </m:nary>
              <m:r>
                <w:rPr>
                  <w:rFonts w:ascii="Cambria Math" w:hAnsi="Cambria Math"/>
                </w:rPr>
                <m:t>#</m:t>
              </m:r>
              <m:d>
                <m:dPr>
                  <m:ctrlPr>
                    <w:rPr>
                      <w:rFonts w:ascii="Cambria Math" w:hAnsi="Cambria Math"/>
                      <w:i/>
                    </w:rPr>
                  </m:ctrlPr>
                </m:dPr>
                <m:e>
                  <m:r>
                    <w:rPr>
                      <w:rFonts w:ascii="Cambria Math" w:hAnsi="Cambria Math"/>
                    </w:rPr>
                    <m:t>1</m:t>
                  </m:r>
                </m:e>
              </m:d>
            </m:e>
          </m:eqArr>
        </m:oMath>
      </m:oMathPara>
    </w:p>
    <w:p w14:paraId="68E84BB6" w14:textId="77777777" w:rsidR="00087500" w:rsidRPr="00087500" w:rsidRDefault="00087500" w:rsidP="00460D27">
      <w:pPr>
        <w:numPr>
          <w:ilvl w:val="0"/>
          <w:numId w:val="0"/>
        </w:numPr>
        <w:ind w:left="1068"/>
        <w:rPr>
          <w:rFonts w:eastAsiaTheme="minorEastAsia"/>
        </w:rPr>
      </w:pPr>
    </w:p>
    <w:p w14:paraId="769B7E6F" w14:textId="4AFEAF64" w:rsidR="00756A90" w:rsidRDefault="00460D27" w:rsidP="00460D27">
      <w:pPr>
        <w:numPr>
          <w:ilvl w:val="0"/>
          <w:numId w:val="0"/>
        </w:numPr>
        <w:ind w:left="1068"/>
        <w:rPr>
          <w:rFonts w:eastAsiaTheme="minorEastAsia"/>
        </w:rPr>
      </w:pPr>
      <w:r w:rsidRPr="00771065">
        <w:rPr>
          <w:rFonts w:eastAsiaTheme="minorEastAsia"/>
          <w:b/>
          <w:bCs/>
        </w:rPr>
        <w:t>La démonstration</w:t>
      </w:r>
      <w:r>
        <w:rPr>
          <w:rFonts w:eastAsiaTheme="minorEastAsia"/>
        </w:rPr>
        <w:t xml:space="preserve"> est simple et peut être présenté</w:t>
      </w:r>
      <w:r w:rsidR="00771065">
        <w:rPr>
          <w:rFonts w:eastAsiaTheme="minorEastAsia"/>
        </w:rPr>
        <w:t>e</w:t>
      </w:r>
      <w:r>
        <w:rPr>
          <w:rFonts w:eastAsiaTheme="minorEastAsia"/>
        </w:rPr>
        <w:t xml:space="preserve"> sur transparent</w:t>
      </w:r>
      <w:r w:rsidR="00771065">
        <w:rPr>
          <w:rFonts w:eastAsiaTheme="minorEastAsia"/>
        </w:rPr>
        <w:t xml:space="preserve"> (ou au tableau si temps)</w:t>
      </w:r>
      <w:r>
        <w:rPr>
          <w:rFonts w:eastAsiaTheme="minorEastAsia"/>
        </w:rPr>
        <w:t xml:space="preserve">. Elle consiste à différencier le lagrangien par rapport au paramètre </w:t>
      </w:r>
      <m:oMath>
        <m:r>
          <w:rPr>
            <w:rFonts w:ascii="Cambria Math" w:eastAsiaTheme="minorEastAsia" w:hAnsi="Cambria Math"/>
          </w:rPr>
          <m:t>α</m:t>
        </m:r>
      </m:oMath>
      <w:r>
        <w:rPr>
          <w:rFonts w:eastAsiaTheme="minorEastAsia"/>
        </w:rPr>
        <w:t xml:space="preserve"> puis à injecter les équations d’Euler-Lagrange</w:t>
      </w:r>
      <w:r w:rsidR="00CE5D19">
        <w:rPr>
          <w:rFonts w:eastAsiaTheme="minorEastAsia"/>
        </w:rPr>
        <w:t>,</w:t>
      </w:r>
      <w:r w:rsidR="008A7553">
        <w:rPr>
          <w:rFonts w:eastAsiaTheme="minorEastAsia"/>
        </w:rPr>
        <w:t xml:space="preserve"> à reconnaître un terme de dérivée d’un produit</w:t>
      </w:r>
      <w:r w:rsidR="0031098A" w:rsidRPr="00460D27">
        <w:rPr>
          <w:rFonts w:eastAsiaTheme="minorEastAsia"/>
        </w:rPr>
        <w:t xml:space="preserve"> </w:t>
      </w:r>
      <w:r>
        <w:rPr>
          <w:rFonts w:eastAsiaTheme="minorEastAsia"/>
        </w:rPr>
        <w:t>pour arriver assez simplement à la loi de conservation.</w:t>
      </w:r>
    </w:p>
    <w:p w14:paraId="15D00441" w14:textId="76BCE819" w:rsidR="00506525" w:rsidRDefault="00942C8E" w:rsidP="00942C8E">
      <w:pPr>
        <w:pStyle w:val="Heading2"/>
        <w:rPr>
          <w:rFonts w:eastAsiaTheme="minorEastAsia"/>
        </w:rPr>
      </w:pPr>
      <w:r>
        <w:rPr>
          <w:rFonts w:eastAsiaTheme="minorEastAsia"/>
        </w:rPr>
        <w:t xml:space="preserve">Conséquences : Quelles sont les grandeurs conservées ? </w:t>
      </w:r>
    </w:p>
    <w:p w14:paraId="4821009E" w14:textId="62E19926" w:rsidR="007A3CF6" w:rsidRDefault="00FD4F90" w:rsidP="007A3CF6">
      <w:pPr>
        <w:rPr>
          <w:b/>
          <w:bCs/>
        </w:rPr>
      </w:pPr>
      <w:r w:rsidRPr="00FD4F90">
        <w:rPr>
          <w:b/>
          <w:bCs/>
        </w:rPr>
        <w:t>La symétrie du lagrangien par translation spatiale a pour conséquence la conservation de l’impulsion</w:t>
      </w:r>
      <w:r>
        <w:rPr>
          <w:b/>
          <w:bCs/>
        </w:rPr>
        <w:t xml:space="preserve"> : </w:t>
      </w:r>
    </w:p>
    <w:p w14:paraId="4B0D04F4" w14:textId="54CC2E90" w:rsidR="00733714" w:rsidRDefault="00FD4F90" w:rsidP="00FD4F90">
      <w:pPr>
        <w:numPr>
          <w:ilvl w:val="0"/>
          <w:numId w:val="0"/>
        </w:numPr>
        <w:ind w:left="1068"/>
        <w:rPr>
          <w:rFonts w:eastAsiaTheme="minorEastAsia"/>
        </w:rPr>
      </w:pPr>
      <w:r>
        <w:t>Exemple</w:t>
      </w:r>
      <w:r w:rsidR="004E2BCF">
        <w:t>/Démo</w:t>
      </w:r>
      <w:r>
        <w:t> : Une particule libre (ie n’étant soumise à aucun champ extérieur)</w:t>
      </w:r>
      <w:r w:rsidR="00296339">
        <w:t>.</w:t>
      </w:r>
      <w:r>
        <w:t xml:space="preserve"> </w:t>
      </w:r>
      <w:r w:rsidR="00F268CF">
        <w:t xml:space="preserve">Le lagrangien se limite à l’énergie cinétique. </w:t>
      </w:r>
      <m:oMath>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w:r w:rsidR="00F268CF">
        <w:rPr>
          <w:rFonts w:eastAsiaTheme="minorEastAsia"/>
        </w:rPr>
        <w:t xml:space="preserve">. </w:t>
      </w:r>
      <w:r w:rsidR="008B4229">
        <w:rPr>
          <w:rFonts w:eastAsiaTheme="minorEastAsia"/>
        </w:rPr>
        <w:t>Il est symétrique par transformation translation (définie ci-dessus</w:t>
      </w:r>
      <w:r w:rsidR="0001060F">
        <w:rPr>
          <w:rFonts w:eastAsiaTheme="minorEastAsia"/>
        </w:rPr>
        <w:t xml:space="preserve"> pour tout vecteur </w:t>
      </w:r>
      <m:oMath>
        <m:acc>
          <m:accPr>
            <m:chr m:val="⃗"/>
            <m:ctrlPr>
              <w:rPr>
                <w:rFonts w:ascii="Cambria Math" w:eastAsiaTheme="minorEastAsia" w:hAnsi="Cambria Math"/>
                <w:i/>
              </w:rPr>
            </m:ctrlPr>
          </m:accPr>
          <m:e>
            <m:r>
              <w:rPr>
                <w:rFonts w:ascii="Cambria Math" w:eastAsiaTheme="minorEastAsia" w:hAnsi="Cambria Math"/>
              </w:rPr>
              <m:t>a</m:t>
            </m:r>
          </m:e>
        </m:acc>
      </m:oMath>
      <w:r w:rsidR="008B4229">
        <w:rPr>
          <w:rFonts w:eastAsiaTheme="minorEastAsia"/>
        </w:rPr>
        <w:t>).</w:t>
      </w:r>
      <w:r w:rsidR="008D1676">
        <w:rPr>
          <w:rFonts w:eastAsiaTheme="minorEastAsia"/>
        </w:rPr>
        <w:t xml:space="preserve"> D’après le théorème de Nœther,  </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 xml:space="preserve"> </m:t>
        </m:r>
      </m:oMath>
      <w:r w:rsidR="008D1676">
        <w:rPr>
          <w:rFonts w:eastAsiaTheme="minorEastAsia"/>
        </w:rPr>
        <w:t>est une grandeur conservée.</w:t>
      </w:r>
      <w:r w:rsidR="003B3E1B">
        <w:rPr>
          <w:rFonts w:eastAsiaTheme="minorEastAsia"/>
        </w:rPr>
        <w:t xml:space="preserve"> On retrouve </w:t>
      </w:r>
      <w:r w:rsidR="003B3E1B" w:rsidRPr="003934EB">
        <w:rPr>
          <w:rFonts w:eastAsiaTheme="minorEastAsia"/>
          <w:b/>
          <w:bCs/>
        </w:rPr>
        <w:t>le principe d’inertie</w:t>
      </w:r>
      <w:r w:rsidR="003B3E1B">
        <w:rPr>
          <w:rFonts w:eastAsiaTheme="minorEastAsia"/>
        </w:rPr>
        <w:t xml:space="preserve">. </w:t>
      </w:r>
      <w:r w:rsidR="007C5D87">
        <w:rPr>
          <w:rFonts w:eastAsiaTheme="minorEastAsia"/>
        </w:rPr>
        <w:t>C’est la première fois que des considérations sur les symétries nous permettent de déduire des lois.</w:t>
      </w:r>
      <w:r w:rsidR="00296339">
        <w:rPr>
          <w:rFonts w:eastAsiaTheme="minorEastAsia"/>
        </w:rPr>
        <w:t xml:space="preserve"> </w:t>
      </w:r>
      <w:r w:rsidR="007C5D87">
        <w:rPr>
          <w:rFonts w:eastAsiaTheme="minorEastAsia"/>
        </w:rPr>
        <w:t xml:space="preserve"> </w:t>
      </w:r>
    </w:p>
    <w:p w14:paraId="16B87732" w14:textId="29F24381" w:rsidR="00AE554A" w:rsidRPr="00AE554A" w:rsidRDefault="00733714" w:rsidP="00733714">
      <w:r>
        <w:rPr>
          <w:b/>
          <w:bCs/>
        </w:rPr>
        <w:t xml:space="preserve">La symétrie du lagrangien par la transformation de rotation a pour conséquence la conservation du moment angulaire. </w:t>
      </w:r>
      <w:r w:rsidR="00ED784B">
        <w:rPr>
          <w:b/>
          <w:bCs/>
        </w:rPr>
        <w:t>[Dandoloff]</w:t>
      </w:r>
    </w:p>
    <w:p w14:paraId="0604E407" w14:textId="0EB71876" w:rsidR="009632E1" w:rsidRDefault="009632E1" w:rsidP="00530305">
      <w:pPr>
        <w:numPr>
          <w:ilvl w:val="0"/>
          <w:numId w:val="0"/>
        </w:numPr>
        <w:ind w:left="1068"/>
        <w:rPr>
          <w:rFonts w:eastAsiaTheme="minorEastAsia"/>
        </w:rPr>
      </w:pPr>
      <w:r>
        <w:t>Démo</w:t>
      </w:r>
      <w:r w:rsidR="00AE554A">
        <w:t xml:space="preserve"> : </w:t>
      </w:r>
      <w:r w:rsidR="0019346B">
        <w:t xml:space="preserve">Démonstration dans un référentiel cylindrique (symétrie de rotation autour de l’axe z. </w:t>
      </w:r>
      <m:oMath>
        <m:r>
          <w:rPr>
            <w:rFonts w:ascii="Cambria Math" w:hAnsi="Cambria Math"/>
          </w:rPr>
          <m:t>L=</m:t>
        </m:r>
        <m:f>
          <m:fPr>
            <m:ctrlPr>
              <w:rPr>
                <w:rFonts w:ascii="Cambria Math" w:hAnsi="Cambria Math"/>
                <w:i/>
              </w:rPr>
            </m:ctrlPr>
          </m:fPr>
          <m:num>
            <m:r>
              <w:rPr>
                <w:rFonts w:ascii="Cambria Math" w:hAnsi="Cambria Math"/>
              </w:rPr>
              <m:t>m</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z</m:t>
                    </m:r>
                  </m:e>
                </m:acc>
              </m:e>
              <m:sup>
                <m:r>
                  <w:rPr>
                    <w:rFonts w:ascii="Cambria Math" w:hAnsi="Cambria Math"/>
                  </w:rPr>
                  <m:t>2</m:t>
                </m:r>
              </m:sup>
            </m:sSup>
          </m:e>
        </m:d>
        <m:r>
          <w:rPr>
            <w:rFonts w:ascii="Cambria Math" w:hAnsi="Cambria Math"/>
          </w:rPr>
          <m:t>-V(r,z)</m:t>
        </m:r>
      </m:oMath>
      <w:r w:rsidR="00087500">
        <w:rPr>
          <w:rFonts w:eastAsiaTheme="minorEastAsia"/>
        </w:rPr>
        <w:t xml:space="preserve">. Dans ce référentiel, on </w:t>
      </w:r>
      <w:r w:rsidR="006F506D">
        <w:rPr>
          <w:rFonts w:eastAsiaTheme="minorEastAsia"/>
        </w:rPr>
        <w:t>n’</w:t>
      </w:r>
      <w:r w:rsidR="00087500">
        <w:rPr>
          <w:rFonts w:eastAsiaTheme="minorEastAsia"/>
        </w:rPr>
        <w:t>a pas besoin d’utiliser la formule (1)</w:t>
      </w:r>
      <w:r w:rsidR="008C5D0B">
        <w:rPr>
          <w:rFonts w:eastAsiaTheme="minorEastAsia"/>
        </w:rPr>
        <w:t xml:space="preserve"> mais directement l’équation d’Euler-</w:t>
      </w:r>
      <w:r w:rsidR="00CE5D19">
        <w:rPr>
          <w:rFonts w:eastAsiaTheme="minorEastAsia"/>
        </w:rPr>
        <w:t>L</w:t>
      </w:r>
      <w:r w:rsidR="008C5D0B">
        <w:rPr>
          <w:rFonts w:eastAsiaTheme="minorEastAsia"/>
        </w:rPr>
        <w:t>agrange :</w:t>
      </w:r>
      <m:oMath>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θ</m:t>
                        </m:r>
                      </m:e>
                    </m:acc>
                  </m:den>
                </m:f>
              </m:e>
            </m:d>
          </m:num>
          <m:den>
            <m:r>
              <w:rPr>
                <w:rFonts w:ascii="Cambria Math" w:eastAsiaTheme="minorEastAsia" w:hAnsi="Cambria Math"/>
              </w:rPr>
              <m:t>dt</m:t>
            </m:r>
          </m:den>
        </m:f>
        <m:r>
          <w:rPr>
            <w:rFonts w:ascii="Cambria Math" w:eastAsiaTheme="minorEastAsia" w:hAnsi="Cambria Math"/>
          </w:rPr>
          <m:t>=0</m:t>
        </m:r>
      </m:oMath>
      <w:r w:rsidR="008C5D0B">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θ</m:t>
                </m:r>
              </m:e>
            </m:acc>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acc>
          <m:accPr>
            <m:chr m:val="̇"/>
            <m:ctrlPr>
              <w:rPr>
                <w:rFonts w:ascii="Cambria Math" w:eastAsiaTheme="minorEastAsia" w:hAnsi="Cambria Math"/>
                <w:i/>
              </w:rPr>
            </m:ctrlPr>
          </m:accPr>
          <m:e>
            <m:r>
              <w:rPr>
                <w:rFonts w:ascii="Cambria Math" w:eastAsiaTheme="minorEastAsia" w:hAnsi="Cambria Math"/>
              </w:rPr>
              <m:t>θ</m:t>
            </m:r>
          </m:e>
        </m:acc>
      </m:oMath>
      <w:r w:rsidR="008C5D0B">
        <w:rPr>
          <w:rFonts w:eastAsiaTheme="minorEastAsia"/>
        </w:rPr>
        <w:t xml:space="preserve"> est conservée. On reconnait l’expression du moment angulaire dans la direction z.</w:t>
      </w:r>
    </w:p>
    <w:p w14:paraId="29345B85" w14:textId="138CB502" w:rsidR="00AE45DC" w:rsidRDefault="009632E1" w:rsidP="00530305">
      <w:pPr>
        <w:numPr>
          <w:ilvl w:val="0"/>
          <w:numId w:val="0"/>
        </w:numPr>
        <w:ind w:left="1068"/>
        <w:rPr>
          <w:rFonts w:eastAsiaTheme="minorEastAsia"/>
        </w:rPr>
      </w:pPr>
      <w:r>
        <w:rPr>
          <w:rFonts w:eastAsiaTheme="minorEastAsia"/>
        </w:rPr>
        <w:t>Exemple : Pour une planète soumise au champ de gravitation du soleil. L’invariance</w:t>
      </w:r>
      <w:r w:rsidR="005251D5">
        <w:rPr>
          <w:rFonts w:eastAsiaTheme="minorEastAsia"/>
        </w:rPr>
        <w:t xml:space="preserve"> du lagrangien par la</w:t>
      </w:r>
      <w:r>
        <w:rPr>
          <w:rFonts w:eastAsiaTheme="minorEastAsia"/>
        </w:rPr>
        <w:t xml:space="preserve"> rotation autour des axes x, y, z implique la conservation des moments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y</m:t>
            </m:r>
          </m:sub>
        </m:sSub>
        <m:r>
          <w:rPr>
            <w:rFonts w:ascii="Cambria Math" w:eastAsiaTheme="minorEastAsia" w:hAnsi="Cambria Math"/>
          </w:rPr>
          <m:t xml:space="preserve"> et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z</m:t>
            </m:r>
          </m:sub>
        </m:sSub>
      </m:oMath>
      <w:r>
        <w:rPr>
          <w:rFonts w:eastAsiaTheme="minorEastAsia"/>
        </w:rPr>
        <w:t xml:space="preserve"> donc du moment cinétique global. </w:t>
      </w:r>
    </w:p>
    <w:p w14:paraId="59A36E85" w14:textId="435B5D19" w:rsidR="00B26AA5" w:rsidRDefault="00AE45DC" w:rsidP="00AE45DC">
      <w:r>
        <w:rPr>
          <w:b/>
          <w:bCs/>
        </w:rPr>
        <w:t>Qu’en est-il de l’invariance par translation dans le temps</w:t>
      </w:r>
      <w:r w:rsidR="006335A4">
        <w:rPr>
          <w:b/>
          <w:bCs/>
        </w:rPr>
        <w:t> ?</w:t>
      </w:r>
      <w:r w:rsidR="00065EEE">
        <w:rPr>
          <w:b/>
          <w:bCs/>
        </w:rPr>
        <w:t xml:space="preserve"> </w:t>
      </w:r>
      <w:r w:rsidR="00065EEE">
        <w:t xml:space="preserve">Pour une translation temporelle, la formule (1) n’est plus valable.  En revanche, on peut montrer qu’il existe une grandeur conservée en calculant la dérivée (droite) du lagrangien par rapport au temps (démo sur transparent). On trouve alors que </w:t>
      </w:r>
      <w:r w:rsidR="00FF0463">
        <w:t xml:space="preserve">la quantité conservée est </w:t>
      </w:r>
      <m:oMath>
        <m:nary>
          <m:naryPr>
            <m:chr m:val="∑"/>
            <m:limLoc m:val="undOvr"/>
            <m:ctrlPr>
              <w:rPr>
                <w:rFonts w:ascii="Cambria Math" w:hAnsi="Cambria Math"/>
                <w:i/>
              </w:rPr>
            </m:ctrlPr>
          </m:naryPr>
          <m:sub>
            <m:r>
              <w:rPr>
                <w:rFonts w:ascii="Cambria Math" w:hAnsi="Cambria Math"/>
              </w:rPr>
              <m:t xml:space="preserve">i=1 </m:t>
            </m:r>
          </m:sub>
          <m:sup>
            <m:r>
              <w:rPr>
                <w:rFonts w:ascii="Cambria Math" w:hAnsi="Cambria Math"/>
              </w:rPr>
              <m:t>n</m:t>
            </m:r>
          </m:sup>
          <m:e>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m:t>
                        </m:r>
                      </m:sub>
                    </m:sSub>
                  </m:den>
                </m:f>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i</m:t>
                        </m:r>
                      </m:sub>
                    </m:sSub>
                  </m:e>
                </m:acc>
              </m:e>
            </m:d>
            <m:r>
              <w:rPr>
                <w:rFonts w:ascii="Cambria Math" w:hAnsi="Cambria Math"/>
              </w:rPr>
              <m:t>-L</m:t>
            </m:r>
          </m:e>
        </m:nary>
        <m:r>
          <w:rPr>
            <w:rFonts w:ascii="Cambria Math" w:hAnsi="Cambria Math"/>
          </w:rPr>
          <m:t xml:space="preserve">. </m:t>
        </m:r>
      </m:oMath>
      <w:r w:rsidR="00FF0463">
        <w:rPr>
          <w:rFonts w:eastAsiaTheme="minorEastAsia"/>
        </w:rPr>
        <w:t xml:space="preserve">On reconnait la </w:t>
      </w:r>
      <w:r w:rsidR="00FF14E6">
        <w:rPr>
          <w:rFonts w:eastAsiaTheme="minorEastAsia"/>
        </w:rPr>
        <w:t>transformée de Legendre d</w:t>
      </w:r>
      <w:r w:rsidR="00FF0463">
        <w:rPr>
          <w:rFonts w:eastAsiaTheme="minorEastAsia"/>
        </w:rPr>
        <w:t>éfini</w:t>
      </w:r>
      <w:r w:rsidR="00FF14E6">
        <w:rPr>
          <w:rFonts w:eastAsiaTheme="minorEastAsia"/>
        </w:rPr>
        <w:t>ssant</w:t>
      </w:r>
      <w:r w:rsidR="00FF0463">
        <w:rPr>
          <w:rFonts w:eastAsiaTheme="minorEastAsia"/>
        </w:rPr>
        <w:t xml:space="preserve"> </w:t>
      </w:r>
      <w:r w:rsidR="00FF14E6">
        <w:rPr>
          <w:rFonts w:eastAsiaTheme="minorEastAsia"/>
        </w:rPr>
        <w:t>l’H</w:t>
      </w:r>
      <w:r w:rsidR="00FF0463">
        <w:rPr>
          <w:rFonts w:eastAsiaTheme="minorEastAsia"/>
        </w:rPr>
        <w:t>amiltonien</w:t>
      </w:r>
      <w:r w:rsidR="00FF14E6">
        <w:rPr>
          <w:rFonts w:eastAsiaTheme="minorEastAsia"/>
        </w:rPr>
        <w:t>.</w:t>
      </w:r>
      <w:r w:rsidR="00FF0463">
        <w:rPr>
          <w:rFonts w:eastAsiaTheme="minorEastAsia"/>
        </w:rPr>
        <w:t xml:space="preserve"> </w:t>
      </w:r>
      <w:r w:rsidR="008E6B42">
        <w:rPr>
          <w:rFonts w:eastAsiaTheme="minorEastAsia"/>
        </w:rPr>
        <w:t xml:space="preserve">L’Hamiltonien </w:t>
      </w:r>
      <w:r w:rsidR="00FF0463">
        <w:rPr>
          <w:rFonts w:eastAsiaTheme="minorEastAsia"/>
        </w:rPr>
        <w:t>s’assimile à l’énergie du système dans le cas de forces conservatives</w:t>
      </w:r>
      <w:r w:rsidR="00863A7D">
        <w:rPr>
          <w:rStyle w:val="FootnoteReference"/>
          <w:rFonts w:eastAsiaTheme="minorEastAsia"/>
        </w:rPr>
        <w:footnoteReference w:id="4"/>
      </w:r>
      <w:r w:rsidR="00FF0463">
        <w:rPr>
          <w:rFonts w:eastAsiaTheme="minorEastAsia"/>
        </w:rPr>
        <w:t xml:space="preserve">. </w:t>
      </w:r>
      <w:r w:rsidR="008C5D0B">
        <w:t xml:space="preserve"> </w:t>
      </w:r>
    </w:p>
    <w:p w14:paraId="466E89B1" w14:textId="19A52C56" w:rsidR="003B0AE7" w:rsidRDefault="003B0AE7" w:rsidP="003B0AE7">
      <w:pPr>
        <w:numPr>
          <w:ilvl w:val="0"/>
          <w:numId w:val="0"/>
        </w:numPr>
        <w:ind w:left="1068"/>
        <w:rPr>
          <w:b/>
          <w:bCs/>
        </w:rPr>
      </w:pPr>
    </w:p>
    <w:p w14:paraId="073F93A9" w14:textId="15B02125" w:rsidR="00EB39ED" w:rsidRDefault="003B0AE7" w:rsidP="003B0AE7">
      <w:pPr>
        <w:numPr>
          <w:ilvl w:val="0"/>
          <w:numId w:val="0"/>
        </w:numPr>
        <w:ind w:left="1068"/>
      </w:pPr>
      <w:r>
        <w:rPr>
          <w:b/>
          <w:bCs/>
        </w:rPr>
        <w:t xml:space="preserve">Transition : </w:t>
      </w:r>
      <w:r>
        <w:t xml:space="preserve">L’approche que nous avons fait nous a permis de déduire des propriétés à partir de la prise en compte de symétrie. </w:t>
      </w:r>
      <w:r w:rsidR="00194131">
        <w:t xml:space="preserve">Cela nous a même permis de </w:t>
      </w:r>
      <w:r w:rsidR="00194131" w:rsidRPr="005251D5">
        <w:rPr>
          <w:b/>
          <w:bCs/>
        </w:rPr>
        <w:t>retrouver le principe d’inertie</w:t>
      </w:r>
      <w:r w:rsidR="005251D5">
        <w:rPr>
          <w:b/>
          <w:bCs/>
        </w:rPr>
        <w:t>.</w:t>
      </w:r>
      <w:r w:rsidR="00194131">
        <w:t xml:space="preserve"> </w:t>
      </w:r>
      <w:r w:rsidR="00AB2196">
        <w:t>Nous n’avons rien inventé puisque toutes les propriétés pouvaient se déduire des lois de Newton. Nous avons juste trouvé une autre approche</w:t>
      </w:r>
      <w:r w:rsidR="00075FE6">
        <w:t xml:space="preserve"> pour retrouver les mêmes résultats. </w:t>
      </w:r>
      <w:r w:rsidR="008F50F2">
        <w:t xml:space="preserve">Considérons à présent des exemples qui semblent contradictoires : des situations dans lesquelles </w:t>
      </w:r>
      <w:r w:rsidR="001E015D">
        <w:t>l</w:t>
      </w:r>
      <w:r w:rsidR="008F50F2">
        <w:t>e</w:t>
      </w:r>
      <w:r w:rsidR="001E015D">
        <w:t xml:space="preserve"> degré de symétrie des sources sont plus forts que le degré de</w:t>
      </w:r>
      <w:r w:rsidR="008F50F2">
        <w:t xml:space="preserve"> symétries</w:t>
      </w:r>
      <w:r w:rsidR="001E015D">
        <w:t xml:space="preserve"> des conséquences. </w:t>
      </w:r>
    </w:p>
    <w:p w14:paraId="6803B053" w14:textId="4522D5B7" w:rsidR="00EB39ED" w:rsidRDefault="0048116B" w:rsidP="0048116B">
      <w:pPr>
        <w:pStyle w:val="Heading1"/>
      </w:pPr>
      <w:r>
        <w:t>Brisure</w:t>
      </w:r>
      <w:r w:rsidR="0017651B">
        <w:t xml:space="preserve"> spontanée de Symétrie</w:t>
      </w:r>
      <w:r w:rsidR="003643E5">
        <w:t xml:space="preserve"> (cas de la transition </w:t>
      </w:r>
      <w:r w:rsidR="008C647E">
        <w:t>P</w:t>
      </w:r>
      <w:r w:rsidR="003643E5">
        <w:t>ara</w:t>
      </w:r>
      <w:r w:rsidR="008F50F2">
        <w:t>magnétique-</w:t>
      </w:r>
      <w:r w:rsidR="00D90B1E">
        <w:t>-</w:t>
      </w:r>
      <w:r w:rsidR="008F50F2">
        <w:t>&gt;</w:t>
      </w:r>
      <w:r w:rsidR="00D90B1E">
        <w:t>Ferro</w:t>
      </w:r>
      <w:r w:rsidR="008F50F2">
        <w:t>magnétique</w:t>
      </w:r>
      <w:r w:rsidR="003643E5">
        <w:t>)</w:t>
      </w:r>
    </w:p>
    <w:p w14:paraId="12AAC515" w14:textId="162F31D8" w:rsidR="006A1CA2" w:rsidRPr="007C16EC" w:rsidRDefault="007C16EC" w:rsidP="003643E5">
      <w:r>
        <w:rPr>
          <w:noProof/>
        </w:rPr>
        <w:drawing>
          <wp:anchor distT="0" distB="0" distL="114300" distR="114300" simplePos="0" relativeHeight="251659264" behindDoc="0" locked="0" layoutInCell="1" allowOverlap="1" wp14:anchorId="6938B281" wp14:editId="055F39E5">
            <wp:simplePos x="0" y="0"/>
            <wp:positionH relativeFrom="column">
              <wp:posOffset>2115366</wp:posOffset>
            </wp:positionH>
            <wp:positionV relativeFrom="paragraph">
              <wp:posOffset>790847</wp:posOffset>
            </wp:positionV>
            <wp:extent cx="1787525" cy="1077595"/>
            <wp:effectExtent l="0" t="0" r="3175"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87525" cy="1077595"/>
                    </a:xfrm>
                    <a:prstGeom prst="rect">
                      <a:avLst/>
                    </a:prstGeom>
                  </pic:spPr>
                </pic:pic>
              </a:graphicData>
            </a:graphic>
            <wp14:sizeRelH relativeFrom="margin">
              <wp14:pctWidth>0</wp14:pctWidth>
            </wp14:sizeRelH>
            <wp14:sizeRelV relativeFrom="margin">
              <wp14:pctHeight>0</wp14:pctHeight>
            </wp14:sizeRelV>
          </wp:anchor>
        </w:drawing>
      </w:r>
      <w:r w:rsidR="0042047A">
        <w:rPr>
          <w:b/>
          <w:bCs/>
        </w:rPr>
        <w:t xml:space="preserve">Observation : </w:t>
      </w:r>
      <w:r w:rsidR="0042047A">
        <w:t>Au dessus</w:t>
      </w:r>
      <w:r w:rsidR="00774B7F">
        <w:t>,</w:t>
      </w:r>
      <w:r w:rsidR="0042047A">
        <w:t xml:space="preserve"> de la température caractéristique dite température de </w:t>
      </w:r>
      <w:r w:rsidR="004170F2">
        <w:t>C</w:t>
      </w:r>
      <w:r w:rsidR="0042047A">
        <w:t>urie (</w:t>
      </w: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r>
          <m:rPr>
            <m:sty m:val="p"/>
          </m:rPr>
          <w:rPr>
            <w:rFonts w:ascii="Cambria Math" w:hAnsi="Cambria Math"/>
          </w:rPr>
          <m:t>1043</m:t>
        </m:r>
        <m:r>
          <m:rPr>
            <m:sty m:val="p"/>
          </m:rPr>
          <w:rPr>
            <w:rFonts w:ascii="Cambria Math"/>
          </w:rPr>
          <m:t>K</m:t>
        </m:r>
      </m:oMath>
      <w:r w:rsidR="0042047A">
        <w:rPr>
          <w:rFonts w:eastAsiaTheme="minorEastAsia"/>
        </w:rPr>
        <w:t xml:space="preserve"> pour le fer), l’aimantation</w:t>
      </w:r>
      <w:r w:rsidR="00E02B9D">
        <w:rPr>
          <w:rFonts w:eastAsiaTheme="minorEastAsia"/>
        </w:rPr>
        <w:t xml:space="preserve"> spontanée</w:t>
      </w:r>
      <w:r w:rsidR="0042047A">
        <w:rPr>
          <w:rFonts w:eastAsiaTheme="minorEastAsia"/>
        </w:rPr>
        <w:t xml:space="preserve"> </w:t>
      </w:r>
      <m:oMath>
        <m:r>
          <w:rPr>
            <w:rFonts w:ascii="Cambria Math" w:eastAsiaTheme="minorEastAsia" w:hAnsi="Cambria Math"/>
          </w:rPr>
          <m:t>M</m:t>
        </m:r>
      </m:oMath>
      <w:r w:rsidR="0042047A">
        <w:rPr>
          <w:rFonts w:eastAsiaTheme="minorEastAsia"/>
        </w:rPr>
        <w:t xml:space="preserve"> du matériau ferromagnétique est </w:t>
      </w:r>
      <w:r w:rsidR="00E02B9D">
        <w:rPr>
          <w:rFonts w:eastAsiaTheme="minorEastAsia"/>
        </w:rPr>
        <w:t xml:space="preserve">nulle (on ne considère qu’un seul domaine de Weiss). En revanche, au dessous on observe l’apparition d’une aimantation non nulle orientée suivant une direction aléatoire. </w:t>
      </w:r>
    </w:p>
    <w:p w14:paraId="0B262CF2" w14:textId="6B3CE605" w:rsidR="007C16EC" w:rsidRPr="006A1CA2" w:rsidRDefault="007C16EC" w:rsidP="007C16EC">
      <w:pPr>
        <w:numPr>
          <w:ilvl w:val="0"/>
          <w:numId w:val="0"/>
        </w:numPr>
        <w:ind w:left="1068"/>
      </w:pPr>
    </w:p>
    <w:p w14:paraId="3D096F46" w14:textId="0CBC396B" w:rsidR="003643E5" w:rsidRPr="00747012" w:rsidRDefault="00747012" w:rsidP="003643E5">
      <w:r>
        <w:rPr>
          <w:rFonts w:eastAsiaTheme="minorEastAsia"/>
        </w:rPr>
        <w:t>On peut se demander si c</w:t>
      </w:r>
      <w:r w:rsidR="00E02B9D">
        <w:rPr>
          <w:rFonts w:eastAsiaTheme="minorEastAsia"/>
        </w:rPr>
        <w:t xml:space="preserve">ela entre </w:t>
      </w:r>
      <w:r w:rsidR="00E02B9D" w:rsidRPr="00881054">
        <w:rPr>
          <w:rFonts w:eastAsiaTheme="minorEastAsia"/>
          <w:b/>
          <w:bCs/>
        </w:rPr>
        <w:t>en contradiction avec le principe de Curie</w:t>
      </w:r>
      <w:r>
        <w:rPr>
          <w:rFonts w:eastAsiaTheme="minorEastAsia"/>
        </w:rPr>
        <w:t>.</w:t>
      </w:r>
      <w:r w:rsidR="00E02B9D">
        <w:rPr>
          <w:rFonts w:eastAsiaTheme="minorEastAsia"/>
        </w:rPr>
        <w:t xml:space="preserve"> </w:t>
      </w:r>
      <w:r w:rsidR="006A1CA2">
        <w:rPr>
          <w:rFonts w:eastAsiaTheme="minorEastAsia"/>
        </w:rPr>
        <w:t>En effet, l’isotropie de l’espace engendre une anisotropie du champ magnétique.</w:t>
      </w:r>
      <w:r w:rsidR="00B82395">
        <w:rPr>
          <w:rFonts w:eastAsiaTheme="minorEastAsia"/>
        </w:rPr>
        <w:t xml:space="preserve"> </w:t>
      </w:r>
      <w:r w:rsidR="009C7697">
        <w:rPr>
          <w:rFonts w:eastAsiaTheme="minorEastAsia"/>
        </w:rPr>
        <w:t xml:space="preserve">Ce qui </w:t>
      </w:r>
      <w:r w:rsidR="009C7697" w:rsidRPr="00881054">
        <w:rPr>
          <w:rFonts w:eastAsiaTheme="minorEastAsia"/>
          <w:b/>
          <w:bCs/>
        </w:rPr>
        <w:t>semble apparaître</w:t>
      </w:r>
      <w:r w:rsidR="009C7697">
        <w:rPr>
          <w:rFonts w:eastAsiaTheme="minorEastAsia"/>
        </w:rPr>
        <w:t xml:space="preserve"> comme une</w:t>
      </w:r>
      <w:r w:rsidR="00B82395">
        <w:rPr>
          <w:rFonts w:eastAsiaTheme="minorEastAsia"/>
        </w:rPr>
        <w:t xml:space="preserve"> contradiction entre les symétrie</w:t>
      </w:r>
      <w:r w:rsidR="009C7697">
        <w:rPr>
          <w:rFonts w:eastAsiaTheme="minorEastAsia"/>
        </w:rPr>
        <w:t>s</w:t>
      </w:r>
      <w:r w:rsidR="00B82395">
        <w:rPr>
          <w:rFonts w:eastAsiaTheme="minorEastAsia"/>
        </w:rPr>
        <w:t xml:space="preserve"> des causes et des effets s’appelle </w:t>
      </w:r>
      <w:r w:rsidR="00B82395" w:rsidRPr="00747012">
        <w:rPr>
          <w:rFonts w:eastAsiaTheme="minorEastAsia"/>
          <w:b/>
          <w:bCs/>
          <w:i/>
          <w:iCs/>
        </w:rPr>
        <w:t>brisure spontanée de symétrie</w:t>
      </w:r>
      <w:r w:rsidR="00B82395">
        <w:rPr>
          <w:rFonts w:eastAsiaTheme="minorEastAsia"/>
        </w:rPr>
        <w:t>.</w:t>
      </w:r>
      <w:r w:rsidR="00B1004E">
        <w:rPr>
          <w:rFonts w:eastAsiaTheme="minorEastAsia"/>
        </w:rPr>
        <w:t xml:space="preserve"> Une variation infinitésimal</w:t>
      </w:r>
      <w:r w:rsidR="009C7697">
        <w:rPr>
          <w:rFonts w:eastAsiaTheme="minorEastAsia"/>
        </w:rPr>
        <w:t>e</w:t>
      </w:r>
      <w:r w:rsidR="00B1004E">
        <w:rPr>
          <w:rFonts w:eastAsiaTheme="minorEastAsia"/>
        </w:rPr>
        <w:t xml:space="preserve"> d’un</w:t>
      </w:r>
      <w:r w:rsidR="00562410">
        <w:rPr>
          <w:rFonts w:eastAsiaTheme="minorEastAsia"/>
        </w:rPr>
        <w:t xml:space="preserve"> paramètre physique </w:t>
      </w:r>
      <w:r w:rsidR="00B1004E">
        <w:rPr>
          <w:rFonts w:eastAsiaTheme="minorEastAsia"/>
        </w:rPr>
        <w:t>(ici la température)</w:t>
      </w:r>
      <w:r w:rsidR="009C7697">
        <w:rPr>
          <w:rFonts w:eastAsiaTheme="minorEastAsia"/>
        </w:rPr>
        <w:t>, engendre spontanément une perte de symétrie.</w:t>
      </w:r>
      <w:r w:rsidR="006E7E49">
        <w:rPr>
          <w:rFonts w:eastAsiaTheme="minorEastAsia"/>
        </w:rPr>
        <w:t xml:space="preserve"> Essayons de comprendre l’origine physique de cette perte de symétrie.</w:t>
      </w:r>
    </w:p>
    <w:p w14:paraId="6BA35BF0" w14:textId="5FED5E52" w:rsidR="002F0C48" w:rsidRPr="002F0C48" w:rsidRDefault="00EA4AAC" w:rsidP="003643E5">
      <w:r>
        <w:rPr>
          <w:b/>
          <w:bCs/>
        </w:rPr>
        <w:t xml:space="preserve">Minimiser l’énergie libre : </w:t>
      </w:r>
      <w:r w:rsidR="000B7BD7">
        <w:t xml:space="preserve">A partir du hamiltonien de </w:t>
      </w:r>
      <w:r w:rsidR="002F0C48">
        <w:t>H</w:t>
      </w:r>
      <w:r w:rsidR="000B7BD7">
        <w:t>eisenberg et dans l’approximation du champ moyen, il est possible de calculer l’énergie libre du système (cf. leçon para-Ferro)</w:t>
      </w:r>
      <w:r w:rsidR="007D5CA4">
        <w:t xml:space="preserve"> en absence de champ</w:t>
      </w:r>
      <w:r w:rsidR="002F0C48">
        <w:t xml:space="preserve"> : </w:t>
      </w:r>
    </w:p>
    <w:p w14:paraId="5ED2BB88" w14:textId="750AF3BB" w:rsidR="00747012" w:rsidRPr="003643E5" w:rsidRDefault="002F0C48" w:rsidP="002F0C48">
      <w:pPr>
        <w:numPr>
          <w:ilvl w:val="0"/>
          <w:numId w:val="0"/>
        </w:numPr>
        <w:ind w:left="1068"/>
        <w:jc w:val="center"/>
      </w:pPr>
      <m:oMathPara>
        <m:oMath>
          <m:r>
            <w:rPr>
              <w:rFonts w:ascii="Cambria Math" w:hAnsi="Cambria Math"/>
            </w:rPr>
            <m:t xml:space="preserve">F(M)= </m:t>
          </m:r>
          <m:r>
            <w:rPr>
              <w:rFonts w:ascii="Cambria Math" w:eastAsiaTheme="minorEastAsia" w:hAnsi="Cambria Math"/>
            </w:rPr>
            <m:t>Nk</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sat</m:t>
                              </m:r>
                            </m:sub>
                          </m:sSub>
                        </m:den>
                      </m:f>
                    </m:e>
                  </m:d>
                </m:e>
                <m:sup>
                  <m:r>
                    <w:rPr>
                      <w:rFonts w:ascii="Cambria Math" w:eastAsiaTheme="minorEastAsia" w:hAnsi="Cambria Math"/>
                    </w:rPr>
                    <m:t>2</m:t>
                  </m:r>
                </m:sup>
              </m:sSup>
              <m:r>
                <w:rPr>
                  <w:rFonts w:ascii="Cambria Math" w:eastAsiaTheme="minorEastAsia" w:hAnsi="Cambria Math"/>
                </w:rPr>
                <m:t>-Tln</m:t>
              </m:r>
              <m:d>
                <m:dPr>
                  <m:ctrlPr>
                    <w:rPr>
                      <w:rFonts w:ascii="Cambria Math" w:eastAsiaTheme="minorEastAsia" w:hAnsi="Cambria Math"/>
                      <w:i/>
                    </w:rPr>
                  </m:ctrlPr>
                </m:dPr>
                <m:e>
                  <m:r>
                    <w:rPr>
                      <w:rFonts w:ascii="Cambria Math" w:eastAsiaTheme="minorEastAsia" w:hAnsi="Cambria Math"/>
                    </w:rPr>
                    <m:t>2ch</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num>
                        <m:den>
                          <m:r>
                            <w:rPr>
                              <w:rFonts w:ascii="Cambria Math" w:eastAsiaTheme="minorEastAsia" w:hAnsi="Cambria Math"/>
                            </w:rPr>
                            <m:t>T</m:t>
                          </m:r>
                        </m:den>
                      </m:f>
                      <m:f>
                        <m:fPr>
                          <m:ctrlPr>
                            <w:rPr>
                              <w:rFonts w:ascii="Cambria Math" w:eastAsiaTheme="minorEastAsia" w:hAnsi="Cambria Math"/>
                              <w:i/>
                            </w:rPr>
                          </m:ctrlPr>
                        </m:fPr>
                        <m:num>
                          <m:r>
                            <w:rPr>
                              <w:rFonts w:ascii="Cambria Math" w:eastAsiaTheme="minorEastAsia" w:hAnsi="Cambria Math"/>
                            </w:rPr>
                            <m:t>M</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sat</m:t>
                              </m:r>
                            </m:sub>
                          </m:sSub>
                        </m:den>
                      </m:f>
                    </m:e>
                  </m:d>
                </m:e>
              </m:d>
            </m:e>
          </m:d>
        </m:oMath>
      </m:oMathPara>
    </w:p>
    <w:p w14:paraId="4B2C5EFB" w14:textId="7214F551" w:rsidR="0017651B" w:rsidRPr="0017651B" w:rsidRDefault="003F5253" w:rsidP="003643E5">
      <w:pPr>
        <w:numPr>
          <w:ilvl w:val="0"/>
          <w:numId w:val="0"/>
        </w:numPr>
        <w:ind w:left="1068"/>
      </w:pPr>
      <w:r>
        <w:t>L’énergie libre est le potentiel thermodynamique du système (équilibre</w:t>
      </w:r>
      <w:r w:rsidR="00717CDE">
        <w:t xml:space="preserve"> thermique</w:t>
      </w:r>
      <w:r>
        <w:t xml:space="preserve"> + absence de travaux)</w:t>
      </w:r>
      <w:r w:rsidR="00717CDE">
        <w:t xml:space="preserve">. Il faut donc le minimiser par rapport au paramètre interne </w:t>
      </w:r>
      <m:oMath>
        <m:r>
          <w:rPr>
            <w:rFonts w:ascii="Cambria Math" w:hAnsi="Cambria Math"/>
          </w:rPr>
          <m:t>M.</m:t>
        </m:r>
      </m:oMath>
      <w:r w:rsidR="00EA4AAC">
        <w:rPr>
          <w:rFonts w:eastAsiaTheme="minorEastAsia"/>
        </w:rPr>
        <w:t xml:space="preserve"> </w:t>
      </w:r>
      <w:r w:rsidR="000B419D">
        <w:rPr>
          <w:rStyle w:val="FootnoteReference"/>
          <w:rFonts w:eastAsiaTheme="minorEastAsia"/>
        </w:rPr>
        <w:footnoteReference w:id="5"/>
      </w:r>
    </w:p>
    <w:p w14:paraId="70A29B55" w14:textId="460CBC02" w:rsidR="003B0AE7" w:rsidRDefault="0063468F" w:rsidP="00EA4AAC">
      <w:r>
        <w:rPr>
          <w:b/>
          <w:bCs/>
        </w:rPr>
        <w:lastRenderedPageBreak/>
        <w:t>Energie libre en fonction de la température</w:t>
      </w:r>
      <w:r w:rsidR="00902E17">
        <w:rPr>
          <w:b/>
          <w:bCs/>
        </w:rPr>
        <w:t> </w:t>
      </w:r>
      <w:r w:rsidR="00902E17">
        <w:t>: Lors de la transition para-</w:t>
      </w:r>
      <w:r w:rsidR="00AF0819">
        <w:t>&gt;</w:t>
      </w:r>
      <w:r w:rsidR="00902E17">
        <w:t>ferro, on remarque que le minimum pour M=0 devient un équilibre instable</w:t>
      </w:r>
      <w:r w:rsidR="00DD39D6">
        <w:t>. De plus, deux minim</w:t>
      </w:r>
      <w:r w:rsidR="006A7371">
        <w:t xml:space="preserve">a égaux </w:t>
      </w:r>
      <w:r w:rsidR="00DD39D6">
        <w:t xml:space="preserve">apparaissent symétriquement par rapport à l’origine (M=0). </w:t>
      </w:r>
    </w:p>
    <w:p w14:paraId="4371165E" w14:textId="65143AD1" w:rsidR="00822724" w:rsidRDefault="00822724" w:rsidP="006A7371">
      <w:r>
        <w:rPr>
          <w:noProof/>
        </w:rPr>
        <w:drawing>
          <wp:anchor distT="0" distB="0" distL="114300" distR="114300" simplePos="0" relativeHeight="251661312" behindDoc="0" locked="0" layoutInCell="1" allowOverlap="1" wp14:anchorId="61B806D2" wp14:editId="54214329">
            <wp:simplePos x="0" y="0"/>
            <wp:positionH relativeFrom="margin">
              <wp:align>center</wp:align>
            </wp:positionH>
            <wp:positionV relativeFrom="paragraph">
              <wp:posOffset>0</wp:posOffset>
            </wp:positionV>
            <wp:extent cx="2510790" cy="2189480"/>
            <wp:effectExtent l="0" t="0" r="381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0790" cy="2189480"/>
                    </a:xfrm>
                    <a:prstGeom prst="rect">
                      <a:avLst/>
                    </a:prstGeom>
                  </pic:spPr>
                </pic:pic>
              </a:graphicData>
            </a:graphic>
            <wp14:sizeRelH relativeFrom="margin">
              <wp14:pctWidth>0</wp14:pctWidth>
            </wp14:sizeRelH>
            <wp14:sizeRelV relativeFrom="margin">
              <wp14:pctHeight>0</wp14:pctHeight>
            </wp14:sizeRelV>
          </wp:anchor>
        </w:drawing>
      </w:r>
      <w:r w:rsidR="00AF0819">
        <w:t>Le système ne va donc pas rester dans la situation instable mais va acquérir une aimantation</w:t>
      </w:r>
      <w:r w:rsidR="006A7371">
        <w:t>.</w:t>
      </w:r>
      <w:r w:rsidR="004170F2">
        <w:t xml:space="preserve"> </w:t>
      </w:r>
      <w:r w:rsidR="006A7371">
        <w:t xml:space="preserve">  </w:t>
      </w:r>
    </w:p>
    <w:p w14:paraId="1A2EC984" w14:textId="5EA4E935" w:rsidR="00476ED2" w:rsidRPr="00476ED2" w:rsidRDefault="00476ED2" w:rsidP="006A7371">
      <w:r>
        <w:rPr>
          <w:b/>
          <w:bCs/>
        </w:rPr>
        <w:t xml:space="preserve">Retour sur le principe de Curie : </w:t>
      </w:r>
    </w:p>
    <w:p w14:paraId="779390E9" w14:textId="5965A859" w:rsidR="00476ED2" w:rsidRPr="000C64E4" w:rsidRDefault="000C64E4" w:rsidP="00476ED2">
      <w:pPr>
        <w:numPr>
          <w:ilvl w:val="0"/>
          <w:numId w:val="0"/>
        </w:numPr>
        <w:ind w:left="1068"/>
      </w:pPr>
      <w:r>
        <w:t>En réalité, le choix de l’orientation de M est donné par les conditions initiales (champ magnétique infinitésimal).</w:t>
      </w:r>
      <w:r w:rsidR="008D5E9B">
        <w:t xml:space="preserve"> Puisque les conditions initiales entrainent une perte de l’isotropie de l’espace alors ce n’est pas étonnant qu’on retrouve cette perte d’isotropie dans les effets. Ainsi, le principe de Curie n’est pas remis en cause. </w:t>
      </w:r>
      <w:r>
        <w:t xml:space="preserve"> </w:t>
      </w:r>
    </w:p>
    <w:p w14:paraId="4E579A57" w14:textId="11C8CE8E" w:rsidR="008D5E9B" w:rsidRDefault="008D5E9B" w:rsidP="008D5E9B">
      <w:pPr>
        <w:numPr>
          <w:ilvl w:val="0"/>
          <w:numId w:val="0"/>
        </w:numPr>
        <w:ind w:left="1068"/>
      </w:pPr>
    </w:p>
    <w:p w14:paraId="5FA8D3FB" w14:textId="226B8EB5" w:rsidR="008D5E9B" w:rsidRDefault="00381B02" w:rsidP="00381B02">
      <w:pPr>
        <w:pStyle w:val="Heading1"/>
        <w:numPr>
          <w:ilvl w:val="0"/>
          <w:numId w:val="0"/>
        </w:numPr>
        <w:ind w:left="1080"/>
      </w:pPr>
      <w:r>
        <w:t xml:space="preserve">Conclusion </w:t>
      </w:r>
    </w:p>
    <w:p w14:paraId="2376BF21" w14:textId="77777777" w:rsidR="00FF7B64" w:rsidRDefault="00166721" w:rsidP="00166721">
      <w:pPr>
        <w:numPr>
          <w:ilvl w:val="0"/>
          <w:numId w:val="0"/>
        </w:numPr>
        <w:ind w:left="1068"/>
      </w:pPr>
      <w:r>
        <w:tab/>
      </w:r>
      <w:r>
        <w:rPr>
          <w:b/>
          <w:bCs/>
        </w:rPr>
        <w:t xml:space="preserve">Résumé : </w:t>
      </w:r>
      <w:r>
        <w:t>Les symétries sont d’une grande utilité dans la modélisation des problèmes physique car elles permettent une grande simplification des effets produits (Loi de Curie)</w:t>
      </w:r>
      <w:r w:rsidR="00C4273A">
        <w:t xml:space="preserve">. Avant de nous intéresser à des situations de brisures spontanée de symétrie, nous avons </w:t>
      </w:r>
      <w:r w:rsidR="003A085B">
        <w:t xml:space="preserve">introduit le théorème de Noether qui permet de déduire des lois physiques (lois de conservations) à partir des symétries. Il s’agit d’une nouvelle approche de la physique. Dans l’approche classique, on commence par introduire des lois (exemple : lois de Newton) pour ensuite en déduire éventuellement des conséquences sur les symétries. On a vu qu’il était possible de renverser l’approche. </w:t>
      </w:r>
    </w:p>
    <w:p w14:paraId="134E73DF" w14:textId="7DEF7F26" w:rsidR="00166721" w:rsidRDefault="00FF7B64" w:rsidP="00FF7B64">
      <w:pPr>
        <w:numPr>
          <w:ilvl w:val="0"/>
          <w:numId w:val="0"/>
        </w:numPr>
        <w:ind w:left="1068" w:firstLine="348"/>
        <w:rPr>
          <w:rStyle w:val="e24kjd"/>
        </w:rPr>
      </w:pPr>
      <w:r w:rsidRPr="00FF7B64">
        <w:rPr>
          <w:b/>
          <w:bCs/>
        </w:rPr>
        <w:t>Ouverture :</w:t>
      </w:r>
      <w:r>
        <w:t xml:space="preserve"> </w:t>
      </w:r>
      <w:r w:rsidR="003A085B">
        <w:t xml:space="preserve">Cette approche est </w:t>
      </w:r>
      <w:r w:rsidR="00B26067">
        <w:t>aujourd’hui employé</w:t>
      </w:r>
      <w:r w:rsidR="00755829">
        <w:t>e</w:t>
      </w:r>
      <w:r w:rsidR="00B26067">
        <w:t xml:space="preserve"> dans la physique </w:t>
      </w:r>
      <w:r>
        <w:t>moderne notamment dans l</w:t>
      </w:r>
      <w:r>
        <w:rPr>
          <w:rStyle w:val="e24kjd"/>
        </w:rPr>
        <w:t xml:space="preserve">e </w:t>
      </w:r>
      <w:r>
        <w:rPr>
          <w:rStyle w:val="e24kjd"/>
          <w:b/>
          <w:bCs/>
        </w:rPr>
        <w:t>modèle standard</w:t>
      </w:r>
      <w:r>
        <w:rPr>
          <w:rStyle w:val="e24kjd"/>
        </w:rPr>
        <w:t xml:space="preserve"> de la physique des particules.</w:t>
      </w:r>
    </w:p>
    <w:p w14:paraId="67EDE2FB" w14:textId="2C299751" w:rsidR="00670831" w:rsidRDefault="00670831" w:rsidP="00FF7B64">
      <w:pPr>
        <w:numPr>
          <w:ilvl w:val="0"/>
          <w:numId w:val="0"/>
        </w:numPr>
        <w:ind w:left="1068" w:firstLine="348"/>
      </w:pPr>
    </w:p>
    <w:p w14:paraId="529ED9FD" w14:textId="331D9767" w:rsidR="00670831" w:rsidRDefault="00670831" w:rsidP="00FF7B64">
      <w:pPr>
        <w:numPr>
          <w:ilvl w:val="0"/>
          <w:numId w:val="0"/>
        </w:numPr>
        <w:ind w:left="1068" w:firstLine="348"/>
      </w:pPr>
    </w:p>
    <w:p w14:paraId="114611C1" w14:textId="73F0CA26" w:rsidR="00670831" w:rsidRDefault="008F74C9" w:rsidP="00267BED">
      <w:pPr>
        <w:numPr>
          <w:ilvl w:val="0"/>
          <w:numId w:val="0"/>
        </w:numPr>
        <w:ind w:left="1068" w:hanging="360"/>
      </w:pPr>
      <w:r w:rsidRPr="00F27EF5">
        <w:rPr>
          <w:b/>
          <w:bCs/>
        </w:rPr>
        <w:t>Question</w:t>
      </w:r>
      <w:r w:rsidR="001A2EEA">
        <w:rPr>
          <w:b/>
          <w:bCs/>
        </w:rPr>
        <w:t>s</w:t>
      </w:r>
      <w:r w:rsidRPr="00F27EF5">
        <w:rPr>
          <w:b/>
          <w:bCs/>
        </w:rPr>
        <w:t xml:space="preserve"> de Manoël Manghi</w:t>
      </w:r>
      <w:r>
        <w:t xml:space="preserve"> : </w:t>
      </w:r>
    </w:p>
    <w:p w14:paraId="6F9BB917" w14:textId="430C78CA" w:rsidR="008F74C9" w:rsidRPr="00AE1EE4" w:rsidRDefault="00F27EF5" w:rsidP="00F27EF5">
      <w:r>
        <w:t xml:space="preserve">En combien de temps on peut passer d’un puits à l’autre dans la transition para-ferro : </w:t>
      </w:r>
      <w:r w:rsidR="00454BAB">
        <w:t>relier la barrière d’énergie à la vitesse : loi d’</w:t>
      </w:r>
      <w:r w:rsidR="008418FE">
        <w:t>Arrhenius</w:t>
      </w:r>
      <w:r w:rsidR="00454BAB">
        <w:t xml:space="preserve"> : </w:t>
      </w:r>
      <m:oMath>
        <m:r>
          <w:rPr>
            <w:rFonts w:ascii="Cambria Math" w:hAnsi="Cambria Math"/>
          </w:rPr>
          <m:t>k=</m:t>
        </m:r>
        <m:r>
          <m:rPr>
            <m:sty m:val="p"/>
          </m:rPr>
          <w:rPr>
            <w:rFonts w:ascii="Cambria Math" w:hAnsi="Cambria Math"/>
          </w:rPr>
          <m:t>exp⁡</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kT</m:t>
            </m:r>
          </m:den>
        </m:f>
        <m:r>
          <w:rPr>
            <w:rFonts w:ascii="Cambria Math" w:hAnsi="Cambria Math"/>
          </w:rPr>
          <m:t>)</m:t>
        </m:r>
      </m:oMath>
      <w:r w:rsidR="008418FE">
        <w:rPr>
          <w:rFonts w:eastAsiaTheme="minorEastAsia"/>
        </w:rPr>
        <w:t>.</w:t>
      </w:r>
    </w:p>
    <w:p w14:paraId="61C81ACC" w14:textId="77777777" w:rsidR="00E70DEA" w:rsidRPr="00E70DEA" w:rsidRDefault="008C3B86" w:rsidP="00F27EF5">
      <w:r>
        <w:rPr>
          <w:rFonts w:eastAsiaTheme="minorEastAsia"/>
        </w:rPr>
        <w:t xml:space="preserve">La transformation de </w:t>
      </w:r>
      <w:r w:rsidR="00442BFE">
        <w:rPr>
          <w:rFonts w:eastAsiaTheme="minorEastAsia"/>
        </w:rPr>
        <w:t>L</w:t>
      </w:r>
      <w:r>
        <w:rPr>
          <w:rFonts w:eastAsiaTheme="minorEastAsia"/>
        </w:rPr>
        <w:t xml:space="preserve">orentz (invariance de </w:t>
      </w:r>
      <w:r w:rsidR="00442BFE">
        <w:rPr>
          <w:rFonts w:eastAsiaTheme="minorEastAsia"/>
        </w:rPr>
        <w:t>L</w:t>
      </w:r>
      <w:r>
        <w:rPr>
          <w:rFonts w:eastAsiaTheme="minorEastAsia"/>
        </w:rPr>
        <w:t xml:space="preserve">orentz) implique </w:t>
      </w:r>
      <w:r w:rsidR="00071E0D">
        <w:rPr>
          <w:rFonts w:eastAsiaTheme="minorEastAsia"/>
        </w:rPr>
        <w:t xml:space="preserve">la conservation </w:t>
      </w:r>
      <w:r w:rsidR="00442BFE">
        <w:rPr>
          <w:rFonts w:eastAsiaTheme="minorEastAsia"/>
        </w:rPr>
        <w:t xml:space="preserve">de </w:t>
      </w:r>
      <m:oMath>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BD450E">
        <w:rPr>
          <w:rFonts w:eastAsiaTheme="minorEastAsia"/>
        </w:rPr>
        <w:t xml:space="preserve"> (</w:t>
      </w:r>
      <w:r w:rsidR="009F07A6">
        <w:rPr>
          <w:rFonts w:eastAsiaTheme="minorEastAsia"/>
        </w:rPr>
        <w:t>T</w:t>
      </w:r>
      <w:r w:rsidR="00BD450E">
        <w:rPr>
          <w:rFonts w:eastAsiaTheme="minorEastAsia"/>
        </w:rPr>
        <w:t>héorème de Nœther)</w:t>
      </w:r>
      <w:r w:rsidR="00442BFE">
        <w:rPr>
          <w:rFonts w:eastAsiaTheme="minorEastAsia"/>
        </w:rPr>
        <w:t>.</w:t>
      </w:r>
    </w:p>
    <w:p w14:paraId="2FA8D058" w14:textId="2067FF4B" w:rsidR="00A97DB7" w:rsidRPr="00A97DB7" w:rsidRDefault="007C0727" w:rsidP="00F27EF5">
      <w:r>
        <w:rPr>
          <w:rFonts w:eastAsiaTheme="minorEastAsia"/>
        </w:rPr>
        <w:lastRenderedPageBreak/>
        <w:t xml:space="preserve">Un pseudo-vecteur est défini par rapport au produit scalaire entre deux vrais vecteurs. Si on fait le produit scalaire entre un vrai et un pseudo-vecteur, on obtient un vrai vecteur. La force de lorentz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=q</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oMath>
      <w:r w:rsidR="00442BFE">
        <w:rPr>
          <w:rFonts w:eastAsiaTheme="minorEastAsia"/>
        </w:rPr>
        <w:t xml:space="preserve"> </w:t>
      </w:r>
      <w:r>
        <w:rPr>
          <w:rFonts w:eastAsiaTheme="minorEastAsia"/>
        </w:rPr>
        <w:t xml:space="preserve">permet donc de « convertir » le pseudo-vecteur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en un vrai vecteur, le vecteur force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oMath>
    </w:p>
    <w:p w14:paraId="5082AB9B" w14:textId="2A9D38E6" w:rsidR="00AE1EE4" w:rsidRPr="00B70B56" w:rsidRDefault="00B70B56" w:rsidP="00F27EF5">
      <w:r>
        <w:rPr>
          <w:rFonts w:eastAsiaTheme="minorEastAsia"/>
        </w:rPr>
        <w:t xml:space="preserve">La molécule de méthane a trois plans de symétrie. </w:t>
      </w:r>
      <w:r w:rsidR="00442BFE">
        <w:rPr>
          <w:rFonts w:eastAsiaTheme="minorEastAsia"/>
        </w:rPr>
        <w:t xml:space="preserve">  </w:t>
      </w:r>
    </w:p>
    <w:p w14:paraId="150ADB65" w14:textId="6C9C8833" w:rsidR="00B70B56" w:rsidRDefault="00B70B56" w:rsidP="00B70B56">
      <w:pPr>
        <w:numPr>
          <w:ilvl w:val="0"/>
          <w:numId w:val="0"/>
        </w:numPr>
        <w:ind w:left="1068"/>
      </w:pPr>
      <w:r w:rsidRPr="00B70B56">
        <w:drawing>
          <wp:anchor distT="0" distB="0" distL="114300" distR="114300" simplePos="0" relativeHeight="251669504" behindDoc="0" locked="0" layoutInCell="1" allowOverlap="1" wp14:anchorId="5B9187E4" wp14:editId="657040BF">
            <wp:simplePos x="0" y="0"/>
            <wp:positionH relativeFrom="column">
              <wp:posOffset>723900</wp:posOffset>
            </wp:positionH>
            <wp:positionV relativeFrom="paragraph">
              <wp:posOffset>29845</wp:posOffset>
            </wp:positionV>
            <wp:extent cx="638203" cy="609600"/>
            <wp:effectExtent l="0" t="0" r="9525" b="0"/>
            <wp:wrapSquare wrapText="bothSides"/>
            <wp:docPr id="6" name="Picture 5">
              <a:extLst xmlns:a="http://schemas.openxmlformats.org/drawingml/2006/main">
                <a:ext uri="{FF2B5EF4-FFF2-40B4-BE49-F238E27FC236}">
                  <a16:creationId xmlns:a16="http://schemas.microsoft.com/office/drawing/2014/main" id="{2169A4C9-528B-40F5-9647-11DBC38DCB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169A4C9-528B-40F5-9647-11DBC38DCBB6}"/>
                        </a:ext>
                      </a:extLst>
                    </pic:cNvPr>
                    <pic:cNvPicPr>
                      <a:picLocks noChangeAspect="1"/>
                    </pic:cNvPicPr>
                  </pic:nvPicPr>
                  <pic:blipFill>
                    <a:blip r:embed="rId14"/>
                    <a:stretch>
                      <a:fillRect/>
                    </a:stretch>
                  </pic:blipFill>
                  <pic:spPr>
                    <a:xfrm>
                      <a:off x="0" y="0"/>
                      <a:ext cx="638203" cy="609600"/>
                    </a:xfrm>
                    <a:prstGeom prst="rect">
                      <a:avLst/>
                    </a:prstGeom>
                  </pic:spPr>
                </pic:pic>
              </a:graphicData>
            </a:graphic>
            <wp14:sizeRelH relativeFrom="margin">
              <wp14:pctWidth>0</wp14:pctWidth>
            </wp14:sizeRelH>
            <wp14:sizeRelV relativeFrom="margin">
              <wp14:pctHeight>0</wp14:pctHeight>
            </wp14:sizeRelV>
          </wp:anchor>
        </w:drawing>
      </w:r>
      <w:r>
        <w:t>Il suffit de prendre le plan qui pa</w:t>
      </w:r>
    </w:p>
    <w:p w14:paraId="42E0402E" w14:textId="33AF7B23" w:rsidR="00B70B56" w:rsidRDefault="00B70B56" w:rsidP="00B70B56">
      <w:pPr>
        <w:numPr>
          <w:ilvl w:val="0"/>
          <w:numId w:val="0"/>
        </w:numPr>
        <w:ind w:left="1068"/>
      </w:pPr>
    </w:p>
    <w:p w14:paraId="6E13CE98" w14:textId="1807ECFF" w:rsidR="00B70B56" w:rsidRDefault="00B70B56" w:rsidP="00B70B56">
      <w:pPr>
        <w:numPr>
          <w:ilvl w:val="0"/>
          <w:numId w:val="0"/>
        </w:numPr>
        <w:ind w:left="1068"/>
      </w:pPr>
    </w:p>
    <w:p w14:paraId="047CF318" w14:textId="27568CEC" w:rsidR="00B70B56" w:rsidRPr="00166721" w:rsidRDefault="00B70B56" w:rsidP="00B70B56">
      <w:pPr>
        <w:numPr>
          <w:ilvl w:val="0"/>
          <w:numId w:val="0"/>
        </w:numPr>
        <w:ind w:left="1068"/>
      </w:pPr>
    </w:p>
    <w:sectPr w:rsidR="00B70B56" w:rsidRPr="001667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DB6BF" w14:textId="77777777" w:rsidR="007934EB" w:rsidRDefault="007934EB" w:rsidP="00A27ED0">
      <w:r>
        <w:separator/>
      </w:r>
    </w:p>
  </w:endnote>
  <w:endnote w:type="continuationSeparator" w:id="0">
    <w:p w14:paraId="784F24E9" w14:textId="77777777" w:rsidR="007934EB" w:rsidRDefault="007934EB" w:rsidP="00A27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E8C13F" w14:textId="77777777" w:rsidR="007934EB" w:rsidRDefault="007934EB" w:rsidP="00A27ED0">
      <w:r>
        <w:separator/>
      </w:r>
    </w:p>
  </w:footnote>
  <w:footnote w:type="continuationSeparator" w:id="0">
    <w:p w14:paraId="7C629ABE" w14:textId="77777777" w:rsidR="007934EB" w:rsidRDefault="007934EB" w:rsidP="00A27ED0">
      <w:r>
        <w:continuationSeparator/>
      </w:r>
    </w:p>
  </w:footnote>
  <w:footnote w:id="1">
    <w:p w14:paraId="3C4D43E9" w14:textId="5FE40216" w:rsidR="00CD00BA" w:rsidRDefault="00CD00BA" w:rsidP="00CD00BA">
      <w:r>
        <w:rPr>
          <w:rStyle w:val="FootnoteReference"/>
        </w:rPr>
        <w:footnoteRef/>
      </w:r>
      <w:r>
        <w:t xml:space="preserve">Si le jury demande un exemple de situation où </w:t>
      </w:r>
      <w:r w:rsidRPr="00815E86">
        <w:rPr>
          <w:b/>
          <w:bCs/>
        </w:rPr>
        <w:t>les symétries des effets sont supérieures à celles des causes</w:t>
      </w:r>
      <w:r>
        <w:t> :  L’exemple le plus simple est donné dans l’article du BUP Sivardière (</w:t>
      </w:r>
      <w:r w:rsidRPr="00815E86">
        <w:rPr>
          <w:b/>
          <w:bCs/>
        </w:rPr>
        <w:t>système de 3 ressorts</w:t>
      </w:r>
      <w:r>
        <w:t xml:space="preserve"> page5). Si on me pose la question, je l’adapterais à un système à 4 ressorts disposés orthogonalement pour simplifier les calculs. Le système est invariant par rotation d’angle pi/2. Alors que la pulsation est isotrope. </w:t>
      </w:r>
      <w:r w:rsidR="00815E86">
        <w:t xml:space="preserve">Un </w:t>
      </w:r>
      <w:r w:rsidR="00815E86" w:rsidRPr="00815E86">
        <w:rPr>
          <w:b/>
          <w:bCs/>
        </w:rPr>
        <w:t>autre exemple</w:t>
      </w:r>
      <w:r w:rsidR="00815E86">
        <w:rPr>
          <w:b/>
          <w:bCs/>
        </w:rPr>
        <w:t xml:space="preserve"> </w:t>
      </w:r>
      <w:r w:rsidR="00815E86">
        <w:t xml:space="preserve">est la polarisabilité du méthane. Dans le cas général, on peut représenter la polarisabilité comme </w:t>
      </w:r>
      <w:r w:rsidR="00815E86" w:rsidRPr="00815E86">
        <w:rPr>
          <w:b/>
          <w:bCs/>
        </w:rPr>
        <w:t>un</w:t>
      </w:r>
      <w:r w:rsidR="00815E86">
        <w:t xml:space="preserve"> ellipsoïde. La symétrie du méthane (</w:t>
      </w:r>
      <w:r w:rsidR="00815E86" w:rsidRPr="00815E86">
        <w:rPr>
          <w:b/>
          <w:bCs/>
        </w:rPr>
        <w:t>3 axes ternaires</w:t>
      </w:r>
      <w:r w:rsidR="00815E86">
        <w:t xml:space="preserve"> (?) ) font que la polarisabilité à une symétrie sphérique. Donc supérieur</w:t>
      </w:r>
      <w:r w:rsidR="007337DD">
        <w:t>e</w:t>
      </w:r>
      <w:r w:rsidR="00815E86">
        <w:t xml:space="preserve"> à la symétrie du méthane lui-même. </w:t>
      </w:r>
    </w:p>
  </w:footnote>
  <w:footnote w:id="2">
    <w:p w14:paraId="04A28411" w14:textId="4DE7C99A" w:rsidR="00A8206F" w:rsidRDefault="00A8206F">
      <w:pPr>
        <w:pStyle w:val="FootnoteText"/>
      </w:pPr>
      <w:r>
        <w:rPr>
          <w:rStyle w:val="FootnoteReference"/>
        </w:rPr>
        <w:footnoteRef/>
      </w:r>
      <w:r>
        <w:t xml:space="preserve"> La symétrie de la trajectoire par une réflexion plane du problème n’est pas toujours observée ! Le contre-exemple est l’expérience dite de </w:t>
      </w:r>
      <w:r w:rsidR="00B14984">
        <w:t>« </w:t>
      </w:r>
      <w:r>
        <w:t>Madame Wu</w:t>
      </w:r>
      <w:r w:rsidR="00B14984">
        <w:t> »</w:t>
      </w:r>
      <w:r>
        <w:t xml:space="preserve"> </w:t>
      </w:r>
      <w:r w:rsidR="00517B72">
        <w:t xml:space="preserve">qui consiste à observer la désintégration </w:t>
      </w:r>
      <m:oMath>
        <m:r>
          <w:rPr>
            <w:rFonts w:ascii="Cambria Math" w:hAnsi="Cambria Math"/>
          </w:rPr>
          <m:t>β</m:t>
        </m:r>
      </m:oMath>
      <w:r w:rsidR="00517B72">
        <w:rPr>
          <w:rFonts w:eastAsiaTheme="minorEastAsia"/>
        </w:rPr>
        <w:t xml:space="preserve"> du cobalt 60 soumis à un champ magnétique. L’expérience montre que les électrons, produits de la désintégration, sont majoritairement déviés dans le sens opposé au champ magnétique B. </w:t>
      </w:r>
      <w:r w:rsidR="002B0DCF">
        <w:rPr>
          <w:rFonts w:eastAsiaTheme="minorEastAsia"/>
        </w:rPr>
        <w:t>Cette expérience montre la non</w:t>
      </w:r>
      <w:r w:rsidR="00B14984">
        <w:rPr>
          <w:rFonts w:eastAsiaTheme="minorEastAsia"/>
        </w:rPr>
        <w:t>-</w:t>
      </w:r>
      <w:r w:rsidR="002B0DCF">
        <w:rPr>
          <w:rFonts w:eastAsiaTheme="minorEastAsia"/>
        </w:rPr>
        <w:t xml:space="preserve">conservation de la parité par l’interaction faible. </w:t>
      </w:r>
      <w:r w:rsidR="00EE3A4D">
        <w:rPr>
          <w:rFonts w:eastAsiaTheme="minorEastAsia"/>
        </w:rPr>
        <w:t>(Prix nobel en 1957)</w:t>
      </w:r>
      <w:r w:rsidR="00A433B3">
        <w:rPr>
          <w:rFonts w:eastAsiaTheme="minorEastAsia"/>
        </w:rPr>
        <w:t>.</w:t>
      </w:r>
      <w:r w:rsidR="00517B72">
        <w:rPr>
          <w:rFonts w:eastAsiaTheme="minorEastAsia"/>
        </w:rPr>
        <w:t xml:space="preserve"> </w:t>
      </w:r>
    </w:p>
  </w:footnote>
  <w:footnote w:id="3">
    <w:p w14:paraId="1FCAAA38" w14:textId="472A59AE" w:rsidR="003E25C6" w:rsidRDefault="003E25C6">
      <w:pPr>
        <w:pStyle w:val="FootnoteText"/>
      </w:pPr>
      <w:r>
        <w:rPr>
          <w:rStyle w:val="FootnoteReference"/>
        </w:rPr>
        <w:footnoteRef/>
      </w:r>
      <w:r>
        <w:t xml:space="preserve"> Pour être plus précis on devrait dire </w:t>
      </w:r>
      <w:r w:rsidRPr="00946BF4">
        <w:rPr>
          <w:i/>
          <w:iCs/>
        </w:rPr>
        <w:t>invariant à une transformation de jauge</w:t>
      </w:r>
      <w:r>
        <w:t xml:space="preserve"> près. On rappelle que plusieurs lagrangiens peuvent décrire une même situation physique si l’intégrale d’action reste invariante. Pour simplifier le théorème de Noether on fera abstraction de cette subtilité. </w:t>
      </w:r>
    </w:p>
  </w:footnote>
  <w:footnote w:id="4">
    <w:p w14:paraId="6D59CF34" w14:textId="21C9D659" w:rsidR="003E25C6" w:rsidRDefault="003E25C6">
      <w:pPr>
        <w:pStyle w:val="FootnoteText"/>
      </w:pPr>
      <w:r>
        <w:rPr>
          <w:rStyle w:val="FootnoteReference"/>
        </w:rPr>
        <w:footnoteRef/>
      </w:r>
      <w:r>
        <w:t xml:space="preserve"> Si les forces sont conservatives (ie le potentiel ne dépend que de la position), on montre que l’hamiltonien est égal à l’énergie du système en utilisant le théorème d’euler. Cf p48-49 Dandoloff) </w:t>
      </w:r>
    </w:p>
  </w:footnote>
  <w:footnote w:id="5">
    <w:p w14:paraId="29140BC1" w14:textId="6235E1D5" w:rsidR="000B419D" w:rsidRDefault="000B419D">
      <w:pPr>
        <w:pStyle w:val="FootnoteText"/>
      </w:pPr>
      <w:r>
        <w:rPr>
          <w:rStyle w:val="FootnoteReference"/>
        </w:rPr>
        <w:footnoteRef/>
      </w:r>
      <w:r>
        <w:t xml:space="preserve"> </w:t>
      </w:r>
      <w:r w:rsidRPr="00C669EC">
        <w:rPr>
          <w:rFonts w:eastAsiaTheme="minorEastAsia"/>
          <w:b/>
          <w:bCs/>
          <w:i/>
          <w:iCs/>
        </w:rPr>
        <w:t>Attention</w:t>
      </w:r>
      <w:r>
        <w:rPr>
          <w:rFonts w:eastAsiaTheme="minorEastAsia"/>
        </w:rPr>
        <w:t xml:space="preserve"> : pour la démonstration menant à l’expression de l’énergie libre </w:t>
      </w:r>
      <m:oMath>
        <m:r>
          <w:rPr>
            <w:rFonts w:ascii="Cambria Math" w:eastAsiaTheme="minorEastAsia" w:hAnsi="Cambria Math"/>
          </w:rPr>
          <m:t>F,</m:t>
        </m:r>
      </m:oMath>
      <w:r>
        <w:rPr>
          <w:rFonts w:eastAsiaTheme="minorEastAsia"/>
        </w:rPr>
        <w:t xml:space="preserve"> nous nous sommes placé dans la situation où nous imposions un champ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0</m:t>
            </m:r>
          </m:sub>
        </m:sSub>
      </m:oMath>
      <w:r>
        <w:rPr>
          <w:rFonts w:eastAsiaTheme="minorEastAsia"/>
        </w:rPr>
        <w:t xml:space="preserve"> et donc que le moment magnétique </w:t>
      </w:r>
      <m:oMath>
        <m:acc>
          <m:accPr>
            <m:chr m:val="⃗"/>
            <m:ctrlPr>
              <w:rPr>
                <w:rFonts w:ascii="Cambria Math" w:eastAsiaTheme="minorEastAsia" w:hAnsi="Cambria Math"/>
                <w:i/>
              </w:rPr>
            </m:ctrlPr>
          </m:accPr>
          <m:e>
            <m:r>
              <w:rPr>
                <w:rFonts w:ascii="Cambria Math" w:eastAsiaTheme="minorEastAsia" w:hAnsi="Cambria Math"/>
              </w:rPr>
              <m:t>M</m:t>
            </m:r>
          </m:e>
        </m:acc>
      </m:oMath>
      <w:r>
        <w:rPr>
          <w:rFonts w:eastAsiaTheme="minorEastAsia"/>
        </w:rPr>
        <w:t xml:space="preserve"> était aligné avec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e>
        </m:acc>
      </m:oMath>
      <w:r>
        <w:rPr>
          <w:rFonts w:eastAsiaTheme="minorEastAsia"/>
        </w:rPr>
        <w:t xml:space="preserve"> ce qui nous a permis de ne plus considérer des vecteurs mais juste leur composante d’intérêt (</w:t>
      </w:r>
      <m:oMath>
        <m:r>
          <w:rPr>
            <w:rFonts w:ascii="Cambria Math" w:eastAsiaTheme="minorEastAsia" w:hAnsi="Cambria Math"/>
          </w:rPr>
          <m:t>M</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Pr>
          <w:rFonts w:eastAsiaTheme="minorEastAsia"/>
        </w:rPr>
        <w:t xml:space="preserve"> ). L’expression de F ci-dessus est donc un cas limite où on a fait tendre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Pr>
          <w:rFonts w:eastAsiaTheme="minorEastAsia"/>
        </w:rPr>
        <w:t xml:space="preserve"> vers 0 et donc le vecteur </w:t>
      </w:r>
      <m:oMath>
        <m:r>
          <w:rPr>
            <w:rFonts w:ascii="Cambria Math" w:eastAsiaTheme="minorEastAsia" w:hAnsi="Cambria Math"/>
          </w:rPr>
          <m:t>M</m:t>
        </m:r>
      </m:oMath>
      <w:r>
        <w:rPr>
          <w:rFonts w:eastAsiaTheme="minorEastAsia"/>
        </w:rPr>
        <w:t xml:space="preserve"> reste orienté suivant la même direction</w:t>
      </w:r>
      <w:r w:rsidR="00E72B68">
        <w:rPr>
          <w:rFonts w:eastAsiaTheme="minorEastAsia"/>
        </w:rPr>
        <w:t xml:space="preserve"> imposée dans le passé par le champ</w:t>
      </w:r>
      <w:r>
        <w:rPr>
          <w:rFonts w:eastAsiaTheme="minorEastAsia"/>
        </w:rPr>
        <w:t xml:space="preserve">. En revanche dans le cas de la brisure de symétrie. On considère une substance paramagnétique dont on baisse la température pour réaliser la transition ferro-para. Il n’y a pas de champ B. Donc l’orientation de M est théoriquement aléatoire. Une analogie peut être fait avec le stylo que l’on lâche après l’avoir positionné verticalement. Il tombe dans une direction aléatoire.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7946"/>
    <w:multiLevelType w:val="hybridMultilevel"/>
    <w:tmpl w:val="230CEF94"/>
    <w:lvl w:ilvl="0" w:tplc="9D2C2E7C">
      <w:start w:val="1"/>
      <w:numFmt w:val="upperLetter"/>
      <w:pStyle w:val="Heading2"/>
      <w:lvlText w:val="%1-"/>
      <w:lvlJc w:val="left"/>
      <w:pPr>
        <w:ind w:left="1069"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D3B5348"/>
    <w:multiLevelType w:val="hybridMultilevel"/>
    <w:tmpl w:val="651EC534"/>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1D307555"/>
    <w:multiLevelType w:val="hybridMultilevel"/>
    <w:tmpl w:val="D4D6CAA0"/>
    <w:lvl w:ilvl="0" w:tplc="76DAE30C">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15:restartNumberingAfterBreak="0">
    <w:nsid w:val="208E2C18"/>
    <w:multiLevelType w:val="hybridMultilevel"/>
    <w:tmpl w:val="BBE8430A"/>
    <w:lvl w:ilvl="0" w:tplc="535E9B48">
      <w:start w:val="2009"/>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21032B1C"/>
    <w:multiLevelType w:val="hybridMultilevel"/>
    <w:tmpl w:val="E9342E5C"/>
    <w:lvl w:ilvl="0" w:tplc="F16C4AB8">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5" w15:restartNumberingAfterBreak="0">
    <w:nsid w:val="2AFE1DB7"/>
    <w:multiLevelType w:val="hybridMultilevel"/>
    <w:tmpl w:val="FB08EC66"/>
    <w:lvl w:ilvl="0" w:tplc="C74C2890">
      <w:start w:val="1"/>
      <w:numFmt w:val="decimal"/>
      <w:pStyle w:val="Heading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34A4FCD"/>
    <w:multiLevelType w:val="hybridMultilevel"/>
    <w:tmpl w:val="3D7AF622"/>
    <w:lvl w:ilvl="0" w:tplc="8CF883B6">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35BA54CA"/>
    <w:multiLevelType w:val="hybridMultilevel"/>
    <w:tmpl w:val="5F70A96A"/>
    <w:lvl w:ilvl="0" w:tplc="F2E4D420">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8" w15:restartNumberingAfterBreak="0">
    <w:nsid w:val="41994DB5"/>
    <w:multiLevelType w:val="hybridMultilevel"/>
    <w:tmpl w:val="59F205D8"/>
    <w:lvl w:ilvl="0" w:tplc="A154A83C">
      <w:start w:val="3"/>
      <w:numFmt w:val="bullet"/>
      <w:pStyle w:val="Normal"/>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443736F8"/>
    <w:multiLevelType w:val="hybridMultilevel"/>
    <w:tmpl w:val="757A2BFA"/>
    <w:lvl w:ilvl="0" w:tplc="1480CBA0">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0" w15:restartNumberingAfterBreak="0">
    <w:nsid w:val="63D11E51"/>
    <w:multiLevelType w:val="hybridMultilevel"/>
    <w:tmpl w:val="6B94A04E"/>
    <w:lvl w:ilvl="0" w:tplc="5864500A">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10757B1"/>
    <w:multiLevelType w:val="hybridMultilevel"/>
    <w:tmpl w:val="230ABF02"/>
    <w:lvl w:ilvl="0" w:tplc="416C3AD4">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2" w15:restartNumberingAfterBreak="0">
    <w:nsid w:val="760D2D88"/>
    <w:multiLevelType w:val="hybridMultilevel"/>
    <w:tmpl w:val="6246B37A"/>
    <w:lvl w:ilvl="0" w:tplc="C19C39B6">
      <w:start w:val="1"/>
      <w:numFmt w:val="lowerLetter"/>
      <w:pStyle w:val="Heading4"/>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AF671C2"/>
    <w:multiLevelType w:val="hybridMultilevel"/>
    <w:tmpl w:val="A0A210DE"/>
    <w:lvl w:ilvl="0" w:tplc="7E4232B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7C911830"/>
    <w:multiLevelType w:val="hybridMultilevel"/>
    <w:tmpl w:val="169CD8F2"/>
    <w:lvl w:ilvl="0" w:tplc="4B5443E4">
      <w:start w:val="2009"/>
      <w:numFmt w:val="bullet"/>
      <w:lvlText w:val=""/>
      <w:lvlJc w:val="left"/>
      <w:pPr>
        <w:ind w:left="1428" w:hanging="360"/>
      </w:pPr>
      <w:rPr>
        <w:rFonts w:ascii="Wingdings" w:eastAsiaTheme="minorHAnsi" w:hAnsi="Wingdings" w:cstheme="minorBid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0"/>
  </w:num>
  <w:num w:numId="2">
    <w:abstractNumId w:val="5"/>
  </w:num>
  <w:num w:numId="3">
    <w:abstractNumId w:val="13"/>
  </w:num>
  <w:num w:numId="4">
    <w:abstractNumId w:val="2"/>
  </w:num>
  <w:num w:numId="5">
    <w:abstractNumId w:val="12"/>
  </w:num>
  <w:num w:numId="6">
    <w:abstractNumId w:val="8"/>
  </w:num>
  <w:num w:numId="7">
    <w:abstractNumId w:val="12"/>
    <w:lvlOverride w:ilvl="0">
      <w:startOverride w:val="1"/>
    </w:lvlOverride>
  </w:num>
  <w:num w:numId="8">
    <w:abstractNumId w:val="0"/>
    <w:lvlOverride w:ilvl="0">
      <w:startOverride w:val="1"/>
    </w:lvlOverride>
  </w:num>
  <w:num w:numId="9">
    <w:abstractNumId w:val="14"/>
  </w:num>
  <w:num w:numId="10">
    <w:abstractNumId w:val="0"/>
  </w:num>
  <w:num w:numId="11">
    <w:abstractNumId w:val="3"/>
  </w:num>
  <w:num w:numId="12">
    <w:abstractNumId w:val="4"/>
  </w:num>
  <w:num w:numId="13">
    <w:abstractNumId w:val="11"/>
  </w:num>
  <w:num w:numId="14">
    <w:abstractNumId w:val="6"/>
  </w:num>
  <w:num w:numId="15">
    <w:abstractNumId w:val="7"/>
  </w:num>
  <w:num w:numId="16">
    <w:abstractNumId w:val="1"/>
  </w:num>
  <w:num w:numId="17">
    <w:abstractNumId w:val="9"/>
  </w:num>
  <w:num w:numId="18">
    <w:abstractNumId w:val="0"/>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90"/>
    <w:rsid w:val="00000A90"/>
    <w:rsid w:val="000074EF"/>
    <w:rsid w:val="0001060F"/>
    <w:rsid w:val="00012DED"/>
    <w:rsid w:val="00023E3B"/>
    <w:rsid w:val="0003131B"/>
    <w:rsid w:val="00034E69"/>
    <w:rsid w:val="00040005"/>
    <w:rsid w:val="000426C6"/>
    <w:rsid w:val="00047D1A"/>
    <w:rsid w:val="00050946"/>
    <w:rsid w:val="0005201C"/>
    <w:rsid w:val="00054031"/>
    <w:rsid w:val="000543CF"/>
    <w:rsid w:val="00062CEC"/>
    <w:rsid w:val="0006413B"/>
    <w:rsid w:val="00064A6E"/>
    <w:rsid w:val="00065EEE"/>
    <w:rsid w:val="000669A3"/>
    <w:rsid w:val="00070FED"/>
    <w:rsid w:val="00071E0D"/>
    <w:rsid w:val="00071F81"/>
    <w:rsid w:val="00073DA7"/>
    <w:rsid w:val="00075FE6"/>
    <w:rsid w:val="0008063F"/>
    <w:rsid w:val="000808E6"/>
    <w:rsid w:val="00086628"/>
    <w:rsid w:val="00087500"/>
    <w:rsid w:val="00090E3F"/>
    <w:rsid w:val="00096247"/>
    <w:rsid w:val="000A00B1"/>
    <w:rsid w:val="000A0D4A"/>
    <w:rsid w:val="000A404F"/>
    <w:rsid w:val="000A7BF2"/>
    <w:rsid w:val="000A7FFE"/>
    <w:rsid w:val="000B419D"/>
    <w:rsid w:val="000B7BD7"/>
    <w:rsid w:val="000C64E4"/>
    <w:rsid w:val="000C64F0"/>
    <w:rsid w:val="000D09CB"/>
    <w:rsid w:val="000D6593"/>
    <w:rsid w:val="000E269E"/>
    <w:rsid w:val="000E3286"/>
    <w:rsid w:val="000E3547"/>
    <w:rsid w:val="000E3568"/>
    <w:rsid w:val="000F0B1C"/>
    <w:rsid w:val="000F3E94"/>
    <w:rsid w:val="00103845"/>
    <w:rsid w:val="00106BF1"/>
    <w:rsid w:val="00112123"/>
    <w:rsid w:val="00114315"/>
    <w:rsid w:val="00114C03"/>
    <w:rsid w:val="00115C26"/>
    <w:rsid w:val="00120AAF"/>
    <w:rsid w:val="0012103B"/>
    <w:rsid w:val="0012231E"/>
    <w:rsid w:val="00123D02"/>
    <w:rsid w:val="001245F7"/>
    <w:rsid w:val="001333B4"/>
    <w:rsid w:val="001372A6"/>
    <w:rsid w:val="001423FA"/>
    <w:rsid w:val="0014282F"/>
    <w:rsid w:val="00147602"/>
    <w:rsid w:val="00147CC6"/>
    <w:rsid w:val="00150D8C"/>
    <w:rsid w:val="00151503"/>
    <w:rsid w:val="001518B5"/>
    <w:rsid w:val="00151C08"/>
    <w:rsid w:val="001536B7"/>
    <w:rsid w:val="00155448"/>
    <w:rsid w:val="00155919"/>
    <w:rsid w:val="001609EA"/>
    <w:rsid w:val="001616F2"/>
    <w:rsid w:val="001659ED"/>
    <w:rsid w:val="00166721"/>
    <w:rsid w:val="001735C3"/>
    <w:rsid w:val="0017651B"/>
    <w:rsid w:val="00176F2A"/>
    <w:rsid w:val="001806D6"/>
    <w:rsid w:val="00187001"/>
    <w:rsid w:val="00191476"/>
    <w:rsid w:val="0019346B"/>
    <w:rsid w:val="00194131"/>
    <w:rsid w:val="00195422"/>
    <w:rsid w:val="001957AF"/>
    <w:rsid w:val="001A1C04"/>
    <w:rsid w:val="001A21B9"/>
    <w:rsid w:val="001A2EEA"/>
    <w:rsid w:val="001B3F89"/>
    <w:rsid w:val="001B456F"/>
    <w:rsid w:val="001B7569"/>
    <w:rsid w:val="001B7D9A"/>
    <w:rsid w:val="001C286F"/>
    <w:rsid w:val="001D19AD"/>
    <w:rsid w:val="001D1B5E"/>
    <w:rsid w:val="001D1D93"/>
    <w:rsid w:val="001D378E"/>
    <w:rsid w:val="001D40F8"/>
    <w:rsid w:val="001D6522"/>
    <w:rsid w:val="001D7B61"/>
    <w:rsid w:val="001E015D"/>
    <w:rsid w:val="001E119E"/>
    <w:rsid w:val="001E56B6"/>
    <w:rsid w:val="001F11E5"/>
    <w:rsid w:val="001F4BB3"/>
    <w:rsid w:val="001F5376"/>
    <w:rsid w:val="001F53DB"/>
    <w:rsid w:val="001F6E7F"/>
    <w:rsid w:val="00200B28"/>
    <w:rsid w:val="0020739B"/>
    <w:rsid w:val="0021584E"/>
    <w:rsid w:val="00215C57"/>
    <w:rsid w:val="00216670"/>
    <w:rsid w:val="00217980"/>
    <w:rsid w:val="00225D6F"/>
    <w:rsid w:val="00227333"/>
    <w:rsid w:val="00231625"/>
    <w:rsid w:val="00232B99"/>
    <w:rsid w:val="00232EBF"/>
    <w:rsid w:val="00244BDB"/>
    <w:rsid w:val="00245991"/>
    <w:rsid w:val="002538D3"/>
    <w:rsid w:val="00255939"/>
    <w:rsid w:val="00256A93"/>
    <w:rsid w:val="0026129E"/>
    <w:rsid w:val="00264513"/>
    <w:rsid w:val="00264A8F"/>
    <w:rsid w:val="00266C9F"/>
    <w:rsid w:val="00267BED"/>
    <w:rsid w:val="002709FF"/>
    <w:rsid w:val="00277239"/>
    <w:rsid w:val="00282DF1"/>
    <w:rsid w:val="00285793"/>
    <w:rsid w:val="00287724"/>
    <w:rsid w:val="0029149F"/>
    <w:rsid w:val="00292B7F"/>
    <w:rsid w:val="00293EC0"/>
    <w:rsid w:val="00295EF7"/>
    <w:rsid w:val="00296339"/>
    <w:rsid w:val="00296C97"/>
    <w:rsid w:val="00297919"/>
    <w:rsid w:val="002A60C6"/>
    <w:rsid w:val="002A643A"/>
    <w:rsid w:val="002A7461"/>
    <w:rsid w:val="002A7EAA"/>
    <w:rsid w:val="002B084E"/>
    <w:rsid w:val="002B0DCF"/>
    <w:rsid w:val="002B2A94"/>
    <w:rsid w:val="002B4816"/>
    <w:rsid w:val="002B60E5"/>
    <w:rsid w:val="002B6483"/>
    <w:rsid w:val="002B6916"/>
    <w:rsid w:val="002B6CEE"/>
    <w:rsid w:val="002B70CC"/>
    <w:rsid w:val="002C2E94"/>
    <w:rsid w:val="002C7405"/>
    <w:rsid w:val="002D0B5E"/>
    <w:rsid w:val="002D1CCB"/>
    <w:rsid w:val="002D2B05"/>
    <w:rsid w:val="002D3FBF"/>
    <w:rsid w:val="002E4AF4"/>
    <w:rsid w:val="002E7B24"/>
    <w:rsid w:val="002F0C48"/>
    <w:rsid w:val="002F1756"/>
    <w:rsid w:val="002F254C"/>
    <w:rsid w:val="002F4D06"/>
    <w:rsid w:val="002F6A5A"/>
    <w:rsid w:val="002F6ED4"/>
    <w:rsid w:val="00302156"/>
    <w:rsid w:val="00306CA3"/>
    <w:rsid w:val="0030725F"/>
    <w:rsid w:val="0031098A"/>
    <w:rsid w:val="00312CF6"/>
    <w:rsid w:val="00327969"/>
    <w:rsid w:val="00330ACD"/>
    <w:rsid w:val="00331619"/>
    <w:rsid w:val="003325D4"/>
    <w:rsid w:val="00332F15"/>
    <w:rsid w:val="00333D0D"/>
    <w:rsid w:val="00340323"/>
    <w:rsid w:val="0034567B"/>
    <w:rsid w:val="003518D3"/>
    <w:rsid w:val="00351AB2"/>
    <w:rsid w:val="0035298E"/>
    <w:rsid w:val="00352993"/>
    <w:rsid w:val="00356756"/>
    <w:rsid w:val="00356E1D"/>
    <w:rsid w:val="003626DD"/>
    <w:rsid w:val="003643E5"/>
    <w:rsid w:val="0036471A"/>
    <w:rsid w:val="00366B86"/>
    <w:rsid w:val="00366C1C"/>
    <w:rsid w:val="00372931"/>
    <w:rsid w:val="00377560"/>
    <w:rsid w:val="00377F28"/>
    <w:rsid w:val="0038103C"/>
    <w:rsid w:val="003818C5"/>
    <w:rsid w:val="00381B02"/>
    <w:rsid w:val="00384F95"/>
    <w:rsid w:val="003878DC"/>
    <w:rsid w:val="003934EB"/>
    <w:rsid w:val="00393DEC"/>
    <w:rsid w:val="003946AE"/>
    <w:rsid w:val="00394CE5"/>
    <w:rsid w:val="00395313"/>
    <w:rsid w:val="00396E4E"/>
    <w:rsid w:val="003A085B"/>
    <w:rsid w:val="003A2679"/>
    <w:rsid w:val="003A3132"/>
    <w:rsid w:val="003A444B"/>
    <w:rsid w:val="003A4F32"/>
    <w:rsid w:val="003A752E"/>
    <w:rsid w:val="003B0AE7"/>
    <w:rsid w:val="003B1D75"/>
    <w:rsid w:val="003B1DAA"/>
    <w:rsid w:val="003B2AB0"/>
    <w:rsid w:val="003B3C87"/>
    <w:rsid w:val="003B3E1B"/>
    <w:rsid w:val="003B57F3"/>
    <w:rsid w:val="003B6488"/>
    <w:rsid w:val="003C373A"/>
    <w:rsid w:val="003C42E3"/>
    <w:rsid w:val="003C64F8"/>
    <w:rsid w:val="003C6669"/>
    <w:rsid w:val="003D0198"/>
    <w:rsid w:val="003D1B9E"/>
    <w:rsid w:val="003D7131"/>
    <w:rsid w:val="003E0534"/>
    <w:rsid w:val="003E1E5C"/>
    <w:rsid w:val="003E25C6"/>
    <w:rsid w:val="003E4FD3"/>
    <w:rsid w:val="003E7DDE"/>
    <w:rsid w:val="003E7F8D"/>
    <w:rsid w:val="003F1860"/>
    <w:rsid w:val="003F5253"/>
    <w:rsid w:val="003F5D4D"/>
    <w:rsid w:val="003F6B40"/>
    <w:rsid w:val="004032B4"/>
    <w:rsid w:val="00406F7D"/>
    <w:rsid w:val="0041178B"/>
    <w:rsid w:val="00413C8D"/>
    <w:rsid w:val="00415878"/>
    <w:rsid w:val="004170F2"/>
    <w:rsid w:val="0042047A"/>
    <w:rsid w:val="00420A04"/>
    <w:rsid w:val="00422AF3"/>
    <w:rsid w:val="00422AF8"/>
    <w:rsid w:val="00430E11"/>
    <w:rsid w:val="00440E83"/>
    <w:rsid w:val="00442BFE"/>
    <w:rsid w:val="00443ABF"/>
    <w:rsid w:val="00443EFD"/>
    <w:rsid w:val="00447027"/>
    <w:rsid w:val="00447780"/>
    <w:rsid w:val="00454BAB"/>
    <w:rsid w:val="00460D27"/>
    <w:rsid w:val="004645CB"/>
    <w:rsid w:val="00465A32"/>
    <w:rsid w:val="00467539"/>
    <w:rsid w:val="004718DE"/>
    <w:rsid w:val="0047248D"/>
    <w:rsid w:val="00476ED2"/>
    <w:rsid w:val="0048116B"/>
    <w:rsid w:val="00483592"/>
    <w:rsid w:val="00492870"/>
    <w:rsid w:val="00492BCB"/>
    <w:rsid w:val="004933EE"/>
    <w:rsid w:val="004A012E"/>
    <w:rsid w:val="004A1F0C"/>
    <w:rsid w:val="004A2411"/>
    <w:rsid w:val="004A2ECA"/>
    <w:rsid w:val="004A2EDC"/>
    <w:rsid w:val="004A5EA5"/>
    <w:rsid w:val="004A78F7"/>
    <w:rsid w:val="004B0953"/>
    <w:rsid w:val="004B1A32"/>
    <w:rsid w:val="004B1F5A"/>
    <w:rsid w:val="004B24BF"/>
    <w:rsid w:val="004B2B4E"/>
    <w:rsid w:val="004B4067"/>
    <w:rsid w:val="004B5F69"/>
    <w:rsid w:val="004D621C"/>
    <w:rsid w:val="004E2BCF"/>
    <w:rsid w:val="004E435C"/>
    <w:rsid w:val="004E5916"/>
    <w:rsid w:val="004E5A7A"/>
    <w:rsid w:val="004F021F"/>
    <w:rsid w:val="004F3328"/>
    <w:rsid w:val="004F47DC"/>
    <w:rsid w:val="004F5F5D"/>
    <w:rsid w:val="004F62D6"/>
    <w:rsid w:val="004F677E"/>
    <w:rsid w:val="00500275"/>
    <w:rsid w:val="00500779"/>
    <w:rsid w:val="00501C46"/>
    <w:rsid w:val="00504F61"/>
    <w:rsid w:val="00506525"/>
    <w:rsid w:val="005117CA"/>
    <w:rsid w:val="005141E7"/>
    <w:rsid w:val="00514362"/>
    <w:rsid w:val="00517B72"/>
    <w:rsid w:val="00520FF1"/>
    <w:rsid w:val="0052361A"/>
    <w:rsid w:val="005251D5"/>
    <w:rsid w:val="00527AE5"/>
    <w:rsid w:val="00530305"/>
    <w:rsid w:val="00530C17"/>
    <w:rsid w:val="00532B30"/>
    <w:rsid w:val="005332C5"/>
    <w:rsid w:val="005338E5"/>
    <w:rsid w:val="00533AA4"/>
    <w:rsid w:val="00540641"/>
    <w:rsid w:val="0054171D"/>
    <w:rsid w:val="00544BF5"/>
    <w:rsid w:val="005467B2"/>
    <w:rsid w:val="00547568"/>
    <w:rsid w:val="005521A1"/>
    <w:rsid w:val="00552504"/>
    <w:rsid w:val="005528CB"/>
    <w:rsid w:val="00553957"/>
    <w:rsid w:val="00562410"/>
    <w:rsid w:val="0056251B"/>
    <w:rsid w:val="005633B6"/>
    <w:rsid w:val="00571FA2"/>
    <w:rsid w:val="00582FB9"/>
    <w:rsid w:val="00583B69"/>
    <w:rsid w:val="00596260"/>
    <w:rsid w:val="005968A7"/>
    <w:rsid w:val="005A1D65"/>
    <w:rsid w:val="005A2F18"/>
    <w:rsid w:val="005A524E"/>
    <w:rsid w:val="005A5B44"/>
    <w:rsid w:val="005B0842"/>
    <w:rsid w:val="005B4DC6"/>
    <w:rsid w:val="005C197A"/>
    <w:rsid w:val="005C1E4B"/>
    <w:rsid w:val="005C2909"/>
    <w:rsid w:val="005C4D61"/>
    <w:rsid w:val="005C5837"/>
    <w:rsid w:val="005D50E2"/>
    <w:rsid w:val="005D6F95"/>
    <w:rsid w:val="005D76FE"/>
    <w:rsid w:val="005E2692"/>
    <w:rsid w:val="005E3844"/>
    <w:rsid w:val="005E5124"/>
    <w:rsid w:val="0060298B"/>
    <w:rsid w:val="00603817"/>
    <w:rsid w:val="006071AC"/>
    <w:rsid w:val="00607CF9"/>
    <w:rsid w:val="00612E45"/>
    <w:rsid w:val="00613212"/>
    <w:rsid w:val="00627463"/>
    <w:rsid w:val="00627DBA"/>
    <w:rsid w:val="00631082"/>
    <w:rsid w:val="00631372"/>
    <w:rsid w:val="00632184"/>
    <w:rsid w:val="006335A4"/>
    <w:rsid w:val="00633F14"/>
    <w:rsid w:val="0063468F"/>
    <w:rsid w:val="006430C7"/>
    <w:rsid w:val="00643DDC"/>
    <w:rsid w:val="00645613"/>
    <w:rsid w:val="00645F88"/>
    <w:rsid w:val="00651318"/>
    <w:rsid w:val="006518E1"/>
    <w:rsid w:val="00652E93"/>
    <w:rsid w:val="0065585D"/>
    <w:rsid w:val="00655CEE"/>
    <w:rsid w:val="006578BF"/>
    <w:rsid w:val="00660D72"/>
    <w:rsid w:val="00660DD9"/>
    <w:rsid w:val="0066183C"/>
    <w:rsid w:val="006625BA"/>
    <w:rsid w:val="00664297"/>
    <w:rsid w:val="006652FA"/>
    <w:rsid w:val="0066565B"/>
    <w:rsid w:val="00670831"/>
    <w:rsid w:val="00676A73"/>
    <w:rsid w:val="006850BC"/>
    <w:rsid w:val="00685942"/>
    <w:rsid w:val="0069281F"/>
    <w:rsid w:val="00693B62"/>
    <w:rsid w:val="006A1CA2"/>
    <w:rsid w:val="006A3ADC"/>
    <w:rsid w:val="006A7371"/>
    <w:rsid w:val="006B10B4"/>
    <w:rsid w:val="006B5513"/>
    <w:rsid w:val="006B5C5F"/>
    <w:rsid w:val="006C0843"/>
    <w:rsid w:val="006C1545"/>
    <w:rsid w:val="006C286E"/>
    <w:rsid w:val="006C37E3"/>
    <w:rsid w:val="006C56FD"/>
    <w:rsid w:val="006C6317"/>
    <w:rsid w:val="006D0C21"/>
    <w:rsid w:val="006D1486"/>
    <w:rsid w:val="006D4C21"/>
    <w:rsid w:val="006D4F64"/>
    <w:rsid w:val="006D613D"/>
    <w:rsid w:val="006D7C08"/>
    <w:rsid w:val="006E3E4D"/>
    <w:rsid w:val="006E74B5"/>
    <w:rsid w:val="006E7E49"/>
    <w:rsid w:val="006F3130"/>
    <w:rsid w:val="006F506D"/>
    <w:rsid w:val="006F5D14"/>
    <w:rsid w:val="006F7842"/>
    <w:rsid w:val="00700918"/>
    <w:rsid w:val="00701FB6"/>
    <w:rsid w:val="007101F2"/>
    <w:rsid w:val="00713E1C"/>
    <w:rsid w:val="00717CDE"/>
    <w:rsid w:val="0072209B"/>
    <w:rsid w:val="00725A42"/>
    <w:rsid w:val="007308A5"/>
    <w:rsid w:val="007326DF"/>
    <w:rsid w:val="00733714"/>
    <w:rsid w:val="007337DD"/>
    <w:rsid w:val="00735DA6"/>
    <w:rsid w:val="0074113F"/>
    <w:rsid w:val="007412B6"/>
    <w:rsid w:val="00745105"/>
    <w:rsid w:val="007462E4"/>
    <w:rsid w:val="00747012"/>
    <w:rsid w:val="007519A3"/>
    <w:rsid w:val="00751B49"/>
    <w:rsid w:val="007538C2"/>
    <w:rsid w:val="00754036"/>
    <w:rsid w:val="00755829"/>
    <w:rsid w:val="00756A90"/>
    <w:rsid w:val="00763A7F"/>
    <w:rsid w:val="00763CA4"/>
    <w:rsid w:val="00771065"/>
    <w:rsid w:val="00771118"/>
    <w:rsid w:val="00771BCA"/>
    <w:rsid w:val="00773F21"/>
    <w:rsid w:val="00774B7F"/>
    <w:rsid w:val="007769A6"/>
    <w:rsid w:val="007776CF"/>
    <w:rsid w:val="00781C80"/>
    <w:rsid w:val="007834D4"/>
    <w:rsid w:val="0078597B"/>
    <w:rsid w:val="00790646"/>
    <w:rsid w:val="00790C3A"/>
    <w:rsid w:val="007934EB"/>
    <w:rsid w:val="007965D2"/>
    <w:rsid w:val="00797849"/>
    <w:rsid w:val="007A2A1D"/>
    <w:rsid w:val="007A3CF6"/>
    <w:rsid w:val="007B2C3C"/>
    <w:rsid w:val="007B4129"/>
    <w:rsid w:val="007C0727"/>
    <w:rsid w:val="007C16EC"/>
    <w:rsid w:val="007C3A23"/>
    <w:rsid w:val="007C5D87"/>
    <w:rsid w:val="007C6197"/>
    <w:rsid w:val="007C7C23"/>
    <w:rsid w:val="007D0352"/>
    <w:rsid w:val="007D0E2C"/>
    <w:rsid w:val="007D1989"/>
    <w:rsid w:val="007D386D"/>
    <w:rsid w:val="007D41AC"/>
    <w:rsid w:val="007D5CA4"/>
    <w:rsid w:val="007E1E7A"/>
    <w:rsid w:val="007E59CD"/>
    <w:rsid w:val="007E653D"/>
    <w:rsid w:val="007F207B"/>
    <w:rsid w:val="007F41DD"/>
    <w:rsid w:val="007F4C6F"/>
    <w:rsid w:val="007F50B0"/>
    <w:rsid w:val="00801F2C"/>
    <w:rsid w:val="00804066"/>
    <w:rsid w:val="00810C2E"/>
    <w:rsid w:val="008138BA"/>
    <w:rsid w:val="00814C51"/>
    <w:rsid w:val="00815E86"/>
    <w:rsid w:val="00820A6F"/>
    <w:rsid w:val="0082133B"/>
    <w:rsid w:val="00822724"/>
    <w:rsid w:val="00823959"/>
    <w:rsid w:val="0082399D"/>
    <w:rsid w:val="00836C21"/>
    <w:rsid w:val="00841858"/>
    <w:rsid w:val="008418FE"/>
    <w:rsid w:val="00843136"/>
    <w:rsid w:val="008438B7"/>
    <w:rsid w:val="008460E1"/>
    <w:rsid w:val="0084707F"/>
    <w:rsid w:val="0085219B"/>
    <w:rsid w:val="00852727"/>
    <w:rsid w:val="00853846"/>
    <w:rsid w:val="008557A0"/>
    <w:rsid w:val="00861322"/>
    <w:rsid w:val="008633C4"/>
    <w:rsid w:val="00863A7D"/>
    <w:rsid w:val="00865D3D"/>
    <w:rsid w:val="00866A9A"/>
    <w:rsid w:val="00866EE9"/>
    <w:rsid w:val="0086753B"/>
    <w:rsid w:val="008754D1"/>
    <w:rsid w:val="008774F8"/>
    <w:rsid w:val="00880986"/>
    <w:rsid w:val="00881054"/>
    <w:rsid w:val="00885CA2"/>
    <w:rsid w:val="00890098"/>
    <w:rsid w:val="00891D8B"/>
    <w:rsid w:val="00892B14"/>
    <w:rsid w:val="00893F12"/>
    <w:rsid w:val="008A220E"/>
    <w:rsid w:val="008A2EFE"/>
    <w:rsid w:val="008A319A"/>
    <w:rsid w:val="008A446E"/>
    <w:rsid w:val="008A6170"/>
    <w:rsid w:val="008A7553"/>
    <w:rsid w:val="008B1180"/>
    <w:rsid w:val="008B4229"/>
    <w:rsid w:val="008B4692"/>
    <w:rsid w:val="008B4A57"/>
    <w:rsid w:val="008C0A08"/>
    <w:rsid w:val="008C132A"/>
    <w:rsid w:val="008C2184"/>
    <w:rsid w:val="008C3B86"/>
    <w:rsid w:val="008C5D0B"/>
    <w:rsid w:val="008C5E9D"/>
    <w:rsid w:val="008C647E"/>
    <w:rsid w:val="008D11BA"/>
    <w:rsid w:val="008D1676"/>
    <w:rsid w:val="008D171E"/>
    <w:rsid w:val="008D34BF"/>
    <w:rsid w:val="008D5E9B"/>
    <w:rsid w:val="008D69AE"/>
    <w:rsid w:val="008E37BE"/>
    <w:rsid w:val="008E6B42"/>
    <w:rsid w:val="008F50F2"/>
    <w:rsid w:val="008F572C"/>
    <w:rsid w:val="008F74C9"/>
    <w:rsid w:val="0090066B"/>
    <w:rsid w:val="00901F51"/>
    <w:rsid w:val="009023DF"/>
    <w:rsid w:val="00902E17"/>
    <w:rsid w:val="009051AE"/>
    <w:rsid w:val="0090523B"/>
    <w:rsid w:val="009059F2"/>
    <w:rsid w:val="00913542"/>
    <w:rsid w:val="00915976"/>
    <w:rsid w:val="009174AD"/>
    <w:rsid w:val="0091788A"/>
    <w:rsid w:val="00922709"/>
    <w:rsid w:val="00923304"/>
    <w:rsid w:val="009275E5"/>
    <w:rsid w:val="0093335F"/>
    <w:rsid w:val="009411A4"/>
    <w:rsid w:val="0094228D"/>
    <w:rsid w:val="00942C8E"/>
    <w:rsid w:val="00944160"/>
    <w:rsid w:val="0094512B"/>
    <w:rsid w:val="009457F8"/>
    <w:rsid w:val="00946173"/>
    <w:rsid w:val="00946ABB"/>
    <w:rsid w:val="00946BF4"/>
    <w:rsid w:val="00946D24"/>
    <w:rsid w:val="00950852"/>
    <w:rsid w:val="00952C4A"/>
    <w:rsid w:val="009575C3"/>
    <w:rsid w:val="0096142A"/>
    <w:rsid w:val="00962583"/>
    <w:rsid w:val="009632E1"/>
    <w:rsid w:val="00964E13"/>
    <w:rsid w:val="00965ACF"/>
    <w:rsid w:val="0096684E"/>
    <w:rsid w:val="00972B89"/>
    <w:rsid w:val="00985C66"/>
    <w:rsid w:val="00986E6D"/>
    <w:rsid w:val="0099514F"/>
    <w:rsid w:val="009A0385"/>
    <w:rsid w:val="009A079A"/>
    <w:rsid w:val="009A0F00"/>
    <w:rsid w:val="009A1172"/>
    <w:rsid w:val="009A3FF7"/>
    <w:rsid w:val="009A49DF"/>
    <w:rsid w:val="009B03C5"/>
    <w:rsid w:val="009B5D9B"/>
    <w:rsid w:val="009C00F6"/>
    <w:rsid w:val="009C4257"/>
    <w:rsid w:val="009C7697"/>
    <w:rsid w:val="009C7BF0"/>
    <w:rsid w:val="009D3155"/>
    <w:rsid w:val="009D4966"/>
    <w:rsid w:val="009D71E6"/>
    <w:rsid w:val="009D7AB0"/>
    <w:rsid w:val="009E5D66"/>
    <w:rsid w:val="009E641C"/>
    <w:rsid w:val="009F07A6"/>
    <w:rsid w:val="009F12CD"/>
    <w:rsid w:val="009F3223"/>
    <w:rsid w:val="009F4D92"/>
    <w:rsid w:val="009F67A1"/>
    <w:rsid w:val="00A0075C"/>
    <w:rsid w:val="00A009BC"/>
    <w:rsid w:val="00A01077"/>
    <w:rsid w:val="00A0248A"/>
    <w:rsid w:val="00A04687"/>
    <w:rsid w:val="00A04B81"/>
    <w:rsid w:val="00A05655"/>
    <w:rsid w:val="00A068F2"/>
    <w:rsid w:val="00A11429"/>
    <w:rsid w:val="00A170CB"/>
    <w:rsid w:val="00A20952"/>
    <w:rsid w:val="00A21AC6"/>
    <w:rsid w:val="00A2415A"/>
    <w:rsid w:val="00A27ED0"/>
    <w:rsid w:val="00A30101"/>
    <w:rsid w:val="00A3198C"/>
    <w:rsid w:val="00A369F0"/>
    <w:rsid w:val="00A36C1F"/>
    <w:rsid w:val="00A433B3"/>
    <w:rsid w:val="00A44144"/>
    <w:rsid w:val="00A45D7F"/>
    <w:rsid w:val="00A46D7B"/>
    <w:rsid w:val="00A47957"/>
    <w:rsid w:val="00A51C83"/>
    <w:rsid w:val="00A5317C"/>
    <w:rsid w:val="00A53BB8"/>
    <w:rsid w:val="00A56388"/>
    <w:rsid w:val="00A56687"/>
    <w:rsid w:val="00A6074A"/>
    <w:rsid w:val="00A609D1"/>
    <w:rsid w:val="00A6270C"/>
    <w:rsid w:val="00A62E2F"/>
    <w:rsid w:val="00A63981"/>
    <w:rsid w:val="00A6569A"/>
    <w:rsid w:val="00A67E6B"/>
    <w:rsid w:val="00A7474A"/>
    <w:rsid w:val="00A75D31"/>
    <w:rsid w:val="00A8107B"/>
    <w:rsid w:val="00A8206F"/>
    <w:rsid w:val="00A8427C"/>
    <w:rsid w:val="00A855E2"/>
    <w:rsid w:val="00A87C7C"/>
    <w:rsid w:val="00A90A25"/>
    <w:rsid w:val="00A97DB7"/>
    <w:rsid w:val="00A97E61"/>
    <w:rsid w:val="00AA371F"/>
    <w:rsid w:val="00AA391F"/>
    <w:rsid w:val="00AB02D3"/>
    <w:rsid w:val="00AB2196"/>
    <w:rsid w:val="00AB7E59"/>
    <w:rsid w:val="00AC1D00"/>
    <w:rsid w:val="00AC25EB"/>
    <w:rsid w:val="00AC5848"/>
    <w:rsid w:val="00AC5D8C"/>
    <w:rsid w:val="00AD1611"/>
    <w:rsid w:val="00AD1988"/>
    <w:rsid w:val="00AD231E"/>
    <w:rsid w:val="00AD3643"/>
    <w:rsid w:val="00AD3F58"/>
    <w:rsid w:val="00AD67B0"/>
    <w:rsid w:val="00AE013F"/>
    <w:rsid w:val="00AE0606"/>
    <w:rsid w:val="00AE1EE4"/>
    <w:rsid w:val="00AE25F9"/>
    <w:rsid w:val="00AE27B9"/>
    <w:rsid w:val="00AE45DC"/>
    <w:rsid w:val="00AE554A"/>
    <w:rsid w:val="00AE6BC6"/>
    <w:rsid w:val="00AF0819"/>
    <w:rsid w:val="00AF46FF"/>
    <w:rsid w:val="00AF6885"/>
    <w:rsid w:val="00B0146C"/>
    <w:rsid w:val="00B0623C"/>
    <w:rsid w:val="00B0642B"/>
    <w:rsid w:val="00B06E68"/>
    <w:rsid w:val="00B1004E"/>
    <w:rsid w:val="00B11CAF"/>
    <w:rsid w:val="00B13C8A"/>
    <w:rsid w:val="00B14984"/>
    <w:rsid w:val="00B16938"/>
    <w:rsid w:val="00B238F6"/>
    <w:rsid w:val="00B26067"/>
    <w:rsid w:val="00B26AA5"/>
    <w:rsid w:val="00B31DC0"/>
    <w:rsid w:val="00B40639"/>
    <w:rsid w:val="00B408A5"/>
    <w:rsid w:val="00B41401"/>
    <w:rsid w:val="00B42D9E"/>
    <w:rsid w:val="00B44D4C"/>
    <w:rsid w:val="00B4545A"/>
    <w:rsid w:val="00B46FB3"/>
    <w:rsid w:val="00B51993"/>
    <w:rsid w:val="00B523ED"/>
    <w:rsid w:val="00B5716E"/>
    <w:rsid w:val="00B631E5"/>
    <w:rsid w:val="00B656B8"/>
    <w:rsid w:val="00B70B56"/>
    <w:rsid w:val="00B710BB"/>
    <w:rsid w:val="00B75500"/>
    <w:rsid w:val="00B762DF"/>
    <w:rsid w:val="00B82103"/>
    <w:rsid w:val="00B82395"/>
    <w:rsid w:val="00B82AE3"/>
    <w:rsid w:val="00B8375E"/>
    <w:rsid w:val="00BA0394"/>
    <w:rsid w:val="00BA0A97"/>
    <w:rsid w:val="00BA53B6"/>
    <w:rsid w:val="00BA7380"/>
    <w:rsid w:val="00BB2A6E"/>
    <w:rsid w:val="00BB31F5"/>
    <w:rsid w:val="00BB58F9"/>
    <w:rsid w:val="00BD450E"/>
    <w:rsid w:val="00BD561C"/>
    <w:rsid w:val="00BE384C"/>
    <w:rsid w:val="00BE4CA1"/>
    <w:rsid w:val="00BE6FAC"/>
    <w:rsid w:val="00BE77D2"/>
    <w:rsid w:val="00BF1F37"/>
    <w:rsid w:val="00BF33EF"/>
    <w:rsid w:val="00BF3DB7"/>
    <w:rsid w:val="00C0293C"/>
    <w:rsid w:val="00C050CF"/>
    <w:rsid w:val="00C05B71"/>
    <w:rsid w:val="00C07001"/>
    <w:rsid w:val="00C1042F"/>
    <w:rsid w:val="00C31AA8"/>
    <w:rsid w:val="00C34352"/>
    <w:rsid w:val="00C3512A"/>
    <w:rsid w:val="00C4273A"/>
    <w:rsid w:val="00C45A73"/>
    <w:rsid w:val="00C50186"/>
    <w:rsid w:val="00C52FC3"/>
    <w:rsid w:val="00C574FB"/>
    <w:rsid w:val="00C5783B"/>
    <w:rsid w:val="00C601F6"/>
    <w:rsid w:val="00C629A2"/>
    <w:rsid w:val="00C63D82"/>
    <w:rsid w:val="00C669EC"/>
    <w:rsid w:val="00C73FD0"/>
    <w:rsid w:val="00C8083F"/>
    <w:rsid w:val="00C82B9A"/>
    <w:rsid w:val="00C8351B"/>
    <w:rsid w:val="00C91208"/>
    <w:rsid w:val="00C92763"/>
    <w:rsid w:val="00C92CBB"/>
    <w:rsid w:val="00C934C0"/>
    <w:rsid w:val="00CA3393"/>
    <w:rsid w:val="00CA35D9"/>
    <w:rsid w:val="00CA675B"/>
    <w:rsid w:val="00CA7C6D"/>
    <w:rsid w:val="00CB2855"/>
    <w:rsid w:val="00CB3624"/>
    <w:rsid w:val="00CB5191"/>
    <w:rsid w:val="00CB636B"/>
    <w:rsid w:val="00CB6CED"/>
    <w:rsid w:val="00CB7E86"/>
    <w:rsid w:val="00CC3B5D"/>
    <w:rsid w:val="00CC5ACA"/>
    <w:rsid w:val="00CC5B0B"/>
    <w:rsid w:val="00CC7A9C"/>
    <w:rsid w:val="00CD00BA"/>
    <w:rsid w:val="00CD03DB"/>
    <w:rsid w:val="00CD2E27"/>
    <w:rsid w:val="00CD4C56"/>
    <w:rsid w:val="00CD5DA8"/>
    <w:rsid w:val="00CD70ED"/>
    <w:rsid w:val="00CD76BE"/>
    <w:rsid w:val="00CE0895"/>
    <w:rsid w:val="00CE159E"/>
    <w:rsid w:val="00CE440F"/>
    <w:rsid w:val="00CE5D19"/>
    <w:rsid w:val="00CE651E"/>
    <w:rsid w:val="00CF0F5C"/>
    <w:rsid w:val="00CF5B7B"/>
    <w:rsid w:val="00CF5FBB"/>
    <w:rsid w:val="00CF6361"/>
    <w:rsid w:val="00CF7E05"/>
    <w:rsid w:val="00CF7FF6"/>
    <w:rsid w:val="00D103B9"/>
    <w:rsid w:val="00D10B8B"/>
    <w:rsid w:val="00D13453"/>
    <w:rsid w:val="00D1596A"/>
    <w:rsid w:val="00D16361"/>
    <w:rsid w:val="00D21409"/>
    <w:rsid w:val="00D21D29"/>
    <w:rsid w:val="00D224FE"/>
    <w:rsid w:val="00D273E5"/>
    <w:rsid w:val="00D3048A"/>
    <w:rsid w:val="00D32B49"/>
    <w:rsid w:val="00D32CA1"/>
    <w:rsid w:val="00D401A5"/>
    <w:rsid w:val="00D461BC"/>
    <w:rsid w:val="00D5240D"/>
    <w:rsid w:val="00D52DBC"/>
    <w:rsid w:val="00D53850"/>
    <w:rsid w:val="00D562D0"/>
    <w:rsid w:val="00D60918"/>
    <w:rsid w:val="00D61CAD"/>
    <w:rsid w:val="00D62C0C"/>
    <w:rsid w:val="00D63643"/>
    <w:rsid w:val="00D638E8"/>
    <w:rsid w:val="00D65B55"/>
    <w:rsid w:val="00D67784"/>
    <w:rsid w:val="00D76E78"/>
    <w:rsid w:val="00D7755E"/>
    <w:rsid w:val="00D77D35"/>
    <w:rsid w:val="00D82659"/>
    <w:rsid w:val="00D82FAF"/>
    <w:rsid w:val="00D833B8"/>
    <w:rsid w:val="00D8388A"/>
    <w:rsid w:val="00D83B11"/>
    <w:rsid w:val="00D90B1E"/>
    <w:rsid w:val="00D9145B"/>
    <w:rsid w:val="00D923D2"/>
    <w:rsid w:val="00D9401F"/>
    <w:rsid w:val="00D95631"/>
    <w:rsid w:val="00DA0053"/>
    <w:rsid w:val="00DA093B"/>
    <w:rsid w:val="00DA0B78"/>
    <w:rsid w:val="00DA1864"/>
    <w:rsid w:val="00DA3E58"/>
    <w:rsid w:val="00DA6B59"/>
    <w:rsid w:val="00DA6D58"/>
    <w:rsid w:val="00DB1402"/>
    <w:rsid w:val="00DB1D87"/>
    <w:rsid w:val="00DB55D9"/>
    <w:rsid w:val="00DB64A3"/>
    <w:rsid w:val="00DC4534"/>
    <w:rsid w:val="00DD0394"/>
    <w:rsid w:val="00DD1AEC"/>
    <w:rsid w:val="00DD39D6"/>
    <w:rsid w:val="00DD7DA0"/>
    <w:rsid w:val="00DE1493"/>
    <w:rsid w:val="00DE14E7"/>
    <w:rsid w:val="00DE56DC"/>
    <w:rsid w:val="00DE5B4B"/>
    <w:rsid w:val="00DE7A48"/>
    <w:rsid w:val="00DF37C5"/>
    <w:rsid w:val="00DF3A4F"/>
    <w:rsid w:val="00DF50DF"/>
    <w:rsid w:val="00E007FE"/>
    <w:rsid w:val="00E02B9D"/>
    <w:rsid w:val="00E037B6"/>
    <w:rsid w:val="00E101A9"/>
    <w:rsid w:val="00E12E30"/>
    <w:rsid w:val="00E15A14"/>
    <w:rsid w:val="00E23439"/>
    <w:rsid w:val="00E23DB0"/>
    <w:rsid w:val="00E24820"/>
    <w:rsid w:val="00E26FBE"/>
    <w:rsid w:val="00E340C6"/>
    <w:rsid w:val="00E36B27"/>
    <w:rsid w:val="00E40923"/>
    <w:rsid w:val="00E410ED"/>
    <w:rsid w:val="00E415BD"/>
    <w:rsid w:val="00E425CB"/>
    <w:rsid w:val="00E439E4"/>
    <w:rsid w:val="00E473D0"/>
    <w:rsid w:val="00E55676"/>
    <w:rsid w:val="00E67F9C"/>
    <w:rsid w:val="00E70242"/>
    <w:rsid w:val="00E70DEA"/>
    <w:rsid w:val="00E7122C"/>
    <w:rsid w:val="00E72B68"/>
    <w:rsid w:val="00E74AF9"/>
    <w:rsid w:val="00E835A4"/>
    <w:rsid w:val="00E8747D"/>
    <w:rsid w:val="00E91119"/>
    <w:rsid w:val="00E92A19"/>
    <w:rsid w:val="00E93747"/>
    <w:rsid w:val="00E97A3A"/>
    <w:rsid w:val="00EA4AAC"/>
    <w:rsid w:val="00EB1682"/>
    <w:rsid w:val="00EB197D"/>
    <w:rsid w:val="00EB39ED"/>
    <w:rsid w:val="00EB4136"/>
    <w:rsid w:val="00EC134D"/>
    <w:rsid w:val="00EC155C"/>
    <w:rsid w:val="00EC682D"/>
    <w:rsid w:val="00ED1D97"/>
    <w:rsid w:val="00ED324E"/>
    <w:rsid w:val="00ED3AF3"/>
    <w:rsid w:val="00ED7267"/>
    <w:rsid w:val="00ED784B"/>
    <w:rsid w:val="00ED7AF1"/>
    <w:rsid w:val="00EE3A4D"/>
    <w:rsid w:val="00EF1190"/>
    <w:rsid w:val="00EF12FF"/>
    <w:rsid w:val="00EF1740"/>
    <w:rsid w:val="00EF1BD6"/>
    <w:rsid w:val="00EF52CE"/>
    <w:rsid w:val="00EF6A44"/>
    <w:rsid w:val="00EF6D6B"/>
    <w:rsid w:val="00F01C26"/>
    <w:rsid w:val="00F02FA9"/>
    <w:rsid w:val="00F0501C"/>
    <w:rsid w:val="00F114C1"/>
    <w:rsid w:val="00F14F51"/>
    <w:rsid w:val="00F15FA3"/>
    <w:rsid w:val="00F1670E"/>
    <w:rsid w:val="00F24252"/>
    <w:rsid w:val="00F268CF"/>
    <w:rsid w:val="00F27EF5"/>
    <w:rsid w:val="00F30194"/>
    <w:rsid w:val="00F340B0"/>
    <w:rsid w:val="00F355FD"/>
    <w:rsid w:val="00F35823"/>
    <w:rsid w:val="00F36B63"/>
    <w:rsid w:val="00F40A44"/>
    <w:rsid w:val="00F42D97"/>
    <w:rsid w:val="00F451C9"/>
    <w:rsid w:val="00F461E8"/>
    <w:rsid w:val="00F47E42"/>
    <w:rsid w:val="00F51D72"/>
    <w:rsid w:val="00F65C84"/>
    <w:rsid w:val="00F719EB"/>
    <w:rsid w:val="00F762DE"/>
    <w:rsid w:val="00F817E4"/>
    <w:rsid w:val="00F83D5A"/>
    <w:rsid w:val="00F846D1"/>
    <w:rsid w:val="00F9084E"/>
    <w:rsid w:val="00F9494C"/>
    <w:rsid w:val="00F96BBA"/>
    <w:rsid w:val="00FA3F96"/>
    <w:rsid w:val="00FA451D"/>
    <w:rsid w:val="00FA6360"/>
    <w:rsid w:val="00FC3989"/>
    <w:rsid w:val="00FC3D7A"/>
    <w:rsid w:val="00FC4359"/>
    <w:rsid w:val="00FC6663"/>
    <w:rsid w:val="00FC6F32"/>
    <w:rsid w:val="00FC6FD0"/>
    <w:rsid w:val="00FD0848"/>
    <w:rsid w:val="00FD0B7D"/>
    <w:rsid w:val="00FD1BED"/>
    <w:rsid w:val="00FD4C58"/>
    <w:rsid w:val="00FD4F90"/>
    <w:rsid w:val="00FD5744"/>
    <w:rsid w:val="00FD75E3"/>
    <w:rsid w:val="00FE5DE0"/>
    <w:rsid w:val="00FE6855"/>
    <w:rsid w:val="00FE72CD"/>
    <w:rsid w:val="00FF0463"/>
    <w:rsid w:val="00FF128C"/>
    <w:rsid w:val="00FF14E6"/>
    <w:rsid w:val="00FF288B"/>
    <w:rsid w:val="00FF7B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9962"/>
  <w15:chartTrackingRefBased/>
  <w15:docId w15:val="{97925BFA-AC28-4E06-B189-6FB5E99F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7ED0"/>
    <w:pPr>
      <w:numPr>
        <w:numId w:val="6"/>
      </w:numPr>
      <w:contextualSpacing/>
      <w:jc w:val="both"/>
    </w:pPr>
  </w:style>
  <w:style w:type="paragraph" w:styleId="Heading1">
    <w:name w:val="heading 1"/>
    <w:basedOn w:val="Normal"/>
    <w:next w:val="Normal"/>
    <w:link w:val="Heading1Char"/>
    <w:uiPriority w:val="9"/>
    <w:qFormat/>
    <w:rsid w:val="000074E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939"/>
    <w:pPr>
      <w:keepNext/>
      <w:keepLines/>
      <w:numPr>
        <w:numId w:val="10"/>
      </w:numPr>
      <w:spacing w:before="4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72209B"/>
    <w:pPr>
      <w:keepNext/>
      <w:keepLines/>
      <w:numPr>
        <w:numId w:val="2"/>
      </w:numPr>
      <w:spacing w:before="40" w:after="0"/>
      <w:outlineLvl w:val="2"/>
    </w:pPr>
    <w:rPr>
      <w:rFonts w:asciiTheme="majorHAnsi" w:eastAsiaTheme="majorEastAsia" w:hAnsiTheme="majorHAnsi" w:cstheme="majorBidi"/>
      <w:b/>
      <w:bCs/>
      <w:color w:val="000000" w:themeColor="text1"/>
      <w:sz w:val="24"/>
      <w:szCs w:val="24"/>
    </w:rPr>
  </w:style>
  <w:style w:type="paragraph" w:styleId="Heading4">
    <w:name w:val="heading 4"/>
    <w:basedOn w:val="Normal"/>
    <w:next w:val="Normal"/>
    <w:link w:val="Heading4Char"/>
    <w:uiPriority w:val="9"/>
    <w:unhideWhenUsed/>
    <w:qFormat/>
    <w:rsid w:val="00E410ED"/>
    <w:pPr>
      <w:keepNext/>
      <w:keepLines/>
      <w:numPr>
        <w:numId w:val="5"/>
      </w:numPr>
      <w:spacing w:before="40" w:after="0"/>
      <w:outlineLvl w:val="3"/>
    </w:pPr>
    <w:rPr>
      <w:rFonts w:asciiTheme="majorHAnsi" w:eastAsiaTheme="majorEastAsia" w:hAnsiTheme="majorHAnsi" w:cstheme="majorBidi"/>
      <w:b/>
      <w:bCs/>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677E"/>
    <w:pPr>
      <w:ind w:left="720"/>
    </w:pPr>
  </w:style>
  <w:style w:type="paragraph" w:styleId="FootnoteText">
    <w:name w:val="footnote text"/>
    <w:basedOn w:val="Normal"/>
    <w:link w:val="FootnoteTextChar"/>
    <w:uiPriority w:val="99"/>
    <w:unhideWhenUsed/>
    <w:rsid w:val="002F6A5A"/>
    <w:pPr>
      <w:spacing w:after="0" w:line="240" w:lineRule="auto"/>
    </w:pPr>
    <w:rPr>
      <w:sz w:val="20"/>
      <w:szCs w:val="20"/>
    </w:rPr>
  </w:style>
  <w:style w:type="character" w:customStyle="1" w:styleId="FootnoteTextChar">
    <w:name w:val="Footnote Text Char"/>
    <w:basedOn w:val="DefaultParagraphFont"/>
    <w:link w:val="FootnoteText"/>
    <w:uiPriority w:val="99"/>
    <w:rsid w:val="002F6A5A"/>
    <w:rPr>
      <w:sz w:val="20"/>
      <w:szCs w:val="20"/>
    </w:rPr>
  </w:style>
  <w:style w:type="character" w:styleId="FootnoteReference">
    <w:name w:val="footnote reference"/>
    <w:basedOn w:val="DefaultParagraphFont"/>
    <w:uiPriority w:val="99"/>
    <w:semiHidden/>
    <w:unhideWhenUsed/>
    <w:rsid w:val="002F6A5A"/>
    <w:rPr>
      <w:vertAlign w:val="superscript"/>
    </w:rPr>
  </w:style>
  <w:style w:type="character" w:styleId="PlaceholderText">
    <w:name w:val="Placeholder Text"/>
    <w:basedOn w:val="DefaultParagraphFont"/>
    <w:uiPriority w:val="99"/>
    <w:semiHidden/>
    <w:rsid w:val="00C52FC3"/>
    <w:rPr>
      <w:color w:val="808080"/>
    </w:rPr>
  </w:style>
  <w:style w:type="character" w:customStyle="1" w:styleId="Heading2Char">
    <w:name w:val="Heading 2 Char"/>
    <w:basedOn w:val="DefaultParagraphFont"/>
    <w:link w:val="Heading2"/>
    <w:uiPriority w:val="9"/>
    <w:rsid w:val="00255939"/>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2209B"/>
    <w:rPr>
      <w:rFonts w:asciiTheme="majorHAnsi" w:eastAsiaTheme="majorEastAsia" w:hAnsiTheme="majorHAnsi" w:cstheme="majorBidi"/>
      <w:b/>
      <w:bCs/>
      <w:color w:val="000000" w:themeColor="text1"/>
      <w:sz w:val="24"/>
      <w:szCs w:val="24"/>
    </w:rPr>
  </w:style>
  <w:style w:type="character" w:styleId="Hyperlink">
    <w:name w:val="Hyperlink"/>
    <w:basedOn w:val="DefaultParagraphFont"/>
    <w:uiPriority w:val="99"/>
    <w:unhideWhenUsed/>
    <w:rsid w:val="006578BF"/>
    <w:rPr>
      <w:color w:val="0000FF"/>
      <w:u w:val="single"/>
    </w:rPr>
  </w:style>
  <w:style w:type="paragraph" w:styleId="EndnoteText">
    <w:name w:val="endnote text"/>
    <w:basedOn w:val="Normal"/>
    <w:link w:val="EndnoteTextChar"/>
    <w:uiPriority w:val="99"/>
    <w:semiHidden/>
    <w:unhideWhenUsed/>
    <w:rsid w:val="00D914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145B"/>
    <w:rPr>
      <w:sz w:val="20"/>
      <w:szCs w:val="20"/>
    </w:rPr>
  </w:style>
  <w:style w:type="character" w:styleId="EndnoteReference">
    <w:name w:val="endnote reference"/>
    <w:basedOn w:val="DefaultParagraphFont"/>
    <w:uiPriority w:val="99"/>
    <w:semiHidden/>
    <w:unhideWhenUsed/>
    <w:rsid w:val="00D9145B"/>
    <w:rPr>
      <w:vertAlign w:val="superscript"/>
    </w:rPr>
  </w:style>
  <w:style w:type="paragraph" w:customStyle="1" w:styleId="Default">
    <w:name w:val="Default"/>
    <w:rsid w:val="00504F61"/>
    <w:pPr>
      <w:autoSpaceDE w:val="0"/>
      <w:autoSpaceDN w:val="0"/>
      <w:adjustRightInd w:val="0"/>
      <w:spacing w:after="0" w:line="240" w:lineRule="auto"/>
    </w:pPr>
    <w:rPr>
      <w:rFonts w:ascii="Cambria Math" w:hAnsi="Cambria Math" w:cs="Cambria Math"/>
      <w:color w:val="000000"/>
      <w:sz w:val="24"/>
      <w:szCs w:val="24"/>
    </w:rPr>
  </w:style>
  <w:style w:type="character" w:customStyle="1" w:styleId="Heading4Char">
    <w:name w:val="Heading 4 Char"/>
    <w:basedOn w:val="DefaultParagraphFont"/>
    <w:link w:val="Heading4"/>
    <w:uiPriority w:val="9"/>
    <w:rsid w:val="00E410ED"/>
    <w:rPr>
      <w:rFonts w:asciiTheme="majorHAnsi" w:eastAsiaTheme="majorEastAsia" w:hAnsiTheme="majorHAnsi" w:cstheme="majorBidi"/>
      <w:b/>
      <w:bCs/>
      <w:i/>
      <w:iCs/>
      <w:color w:val="2F5496" w:themeColor="accent1" w:themeShade="BF"/>
    </w:rPr>
  </w:style>
  <w:style w:type="paragraph" w:styleId="NoSpacing">
    <w:name w:val="No Spacing"/>
    <w:uiPriority w:val="1"/>
    <w:qFormat/>
    <w:rsid w:val="00E410ED"/>
    <w:pPr>
      <w:spacing w:after="0" w:line="240" w:lineRule="auto"/>
    </w:pPr>
  </w:style>
  <w:style w:type="paragraph" w:styleId="Title">
    <w:name w:val="Title"/>
    <w:basedOn w:val="Normal"/>
    <w:next w:val="Normal"/>
    <w:link w:val="TitleChar"/>
    <w:uiPriority w:val="10"/>
    <w:qFormat/>
    <w:rsid w:val="00E23439"/>
    <w:pPr>
      <w:numPr>
        <w:numId w:val="0"/>
      </w:num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43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574F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351AB2"/>
    <w:rPr>
      <w:color w:val="954F72" w:themeColor="followedHyperlink"/>
      <w:u w:val="single"/>
    </w:rPr>
  </w:style>
  <w:style w:type="character" w:styleId="UnresolvedMention">
    <w:name w:val="Unresolved Mention"/>
    <w:basedOn w:val="DefaultParagraphFont"/>
    <w:uiPriority w:val="99"/>
    <w:semiHidden/>
    <w:unhideWhenUsed/>
    <w:rsid w:val="00885CA2"/>
    <w:rPr>
      <w:color w:val="605E5C"/>
      <w:shd w:val="clear" w:color="auto" w:fill="E1DFDD"/>
    </w:rPr>
  </w:style>
  <w:style w:type="character" w:styleId="Emphasis">
    <w:name w:val="Emphasis"/>
    <w:basedOn w:val="DefaultParagraphFont"/>
    <w:uiPriority w:val="20"/>
    <w:qFormat/>
    <w:rsid w:val="003E0534"/>
    <w:rPr>
      <w:i/>
      <w:iCs/>
    </w:rPr>
  </w:style>
  <w:style w:type="character" w:customStyle="1" w:styleId="e24kjd">
    <w:name w:val="e24kjd"/>
    <w:basedOn w:val="DefaultParagraphFont"/>
    <w:rsid w:val="00FF7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ynmanlectures.caltech.edu/I_52.htm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05D02-977A-4430-80A6-D8212EBD9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8</Pages>
  <Words>2572</Words>
  <Characters>14150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88</cp:revision>
  <cp:lastPrinted>2020-05-26T12:11:00Z</cp:lastPrinted>
  <dcterms:created xsi:type="dcterms:W3CDTF">2020-05-26T08:57:00Z</dcterms:created>
  <dcterms:modified xsi:type="dcterms:W3CDTF">2020-05-27T15:07:00Z</dcterms:modified>
</cp:coreProperties>
</file>