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18B99" w14:textId="54B5A891" w:rsidR="00631082" w:rsidRPr="00E23439" w:rsidRDefault="00C050CF" w:rsidP="00E23439">
      <w:pPr>
        <w:pStyle w:val="Title"/>
        <w:numPr>
          <w:ilvl w:val="0"/>
          <w:numId w:val="0"/>
        </w:numPr>
        <w:ind w:left="1068"/>
        <w:jc w:val="center"/>
      </w:pPr>
      <w:r w:rsidRPr="00E23439">
        <w:t>L</w:t>
      </w:r>
      <w:r w:rsidR="004B24BF" w:rsidRPr="00E23439">
        <w:t>P</w:t>
      </w:r>
      <w:r w:rsidR="00962583" w:rsidRPr="00E23439">
        <w:t>17-Rayonnement d’équilibre thermique. Corps noir</w:t>
      </w:r>
    </w:p>
    <w:p w14:paraId="36253171" w14:textId="3DE9B8A0" w:rsidR="00C050CF" w:rsidRDefault="0091788A" w:rsidP="00E23439">
      <w:pPr>
        <w:numPr>
          <w:ilvl w:val="0"/>
          <w:numId w:val="0"/>
        </w:numPr>
        <w:ind w:left="1068"/>
        <w:jc w:val="center"/>
      </w:pPr>
      <w:r w:rsidRPr="0091788A">
        <w:t>Pierre Ghesquiere</w:t>
      </w:r>
    </w:p>
    <w:p w14:paraId="4A5CA465" w14:textId="5F1BA176" w:rsidR="00D61CAD" w:rsidRDefault="00D61CAD" w:rsidP="00E23439">
      <w:pPr>
        <w:numPr>
          <w:ilvl w:val="0"/>
          <w:numId w:val="0"/>
        </w:numPr>
        <w:ind w:left="1068"/>
        <w:jc w:val="center"/>
      </w:pPr>
    </w:p>
    <w:p w14:paraId="420E25DA" w14:textId="245FA6CA" w:rsidR="00D61CAD" w:rsidRDefault="00D61CAD" w:rsidP="00D61CAD">
      <w:pPr>
        <w:numPr>
          <w:ilvl w:val="0"/>
          <w:numId w:val="0"/>
        </w:numPr>
        <w:ind w:left="1068"/>
        <w:jc w:val="left"/>
      </w:pPr>
      <w:r w:rsidRPr="00D61CAD">
        <w:rPr>
          <w:b/>
          <w:bCs/>
        </w:rPr>
        <w:t>Préambule</w:t>
      </w:r>
      <w:r>
        <w:t xml:space="preserve"> : Je pense depuis la rédaction de cette leçon avoir compris pas mal de chose sur le lien entre rayonnement d’équilibre thermique et corps noir. Voici ce qu’il faut avoir en tête. </w:t>
      </w:r>
    </w:p>
    <w:p w14:paraId="048E48D0" w14:textId="77777777" w:rsidR="00797849" w:rsidRDefault="00797849" w:rsidP="00D61CAD">
      <w:pPr>
        <w:numPr>
          <w:ilvl w:val="0"/>
          <w:numId w:val="0"/>
        </w:numPr>
        <w:ind w:left="1068"/>
        <w:jc w:val="left"/>
      </w:pPr>
    </w:p>
    <w:p w14:paraId="16C722C4" w14:textId="60898E5E" w:rsidR="00D61CAD" w:rsidRDefault="00D61CAD" w:rsidP="00FD75E3">
      <w:pPr>
        <w:pStyle w:val="ListParagraph"/>
        <w:numPr>
          <w:ilvl w:val="0"/>
          <w:numId w:val="13"/>
        </w:numPr>
        <w:jc w:val="left"/>
      </w:pPr>
      <w:r>
        <w:t xml:space="preserve">Le rayonnement d’équilibre thermique permet d’utiliser un modèle de gaz de photons. Cela nous permet d’utiliser la statistique de </w:t>
      </w:r>
      <w:proofErr w:type="spellStart"/>
      <w:r>
        <w:t>bose</w:t>
      </w:r>
      <w:proofErr w:type="spellEnd"/>
      <w:r>
        <w:t xml:space="preserve"> einstein pour trouver la loi de </w:t>
      </w:r>
      <w:r w:rsidR="00B631E5">
        <w:t>P</w:t>
      </w:r>
      <w:r>
        <w:t xml:space="preserve">lanck. Tout capteur de photon placé n’importe où dans ce gaz de photons détectera les photons selon la distribution de </w:t>
      </w:r>
      <w:proofErr w:type="spellStart"/>
      <w:r>
        <w:t>planck</w:t>
      </w:r>
      <w:proofErr w:type="spellEnd"/>
      <w:r>
        <w:t xml:space="preserve">. </w:t>
      </w:r>
      <w:r w:rsidR="00B631E5">
        <w:t xml:space="preserve">L’hypothèse fondamentale est </w:t>
      </w:r>
      <w:r w:rsidR="00B631E5" w:rsidRPr="00B631E5">
        <w:rPr>
          <w:b/>
          <w:bCs/>
        </w:rPr>
        <w:t>l’équilibre radiatif et thermique</w:t>
      </w:r>
      <w:r w:rsidR="00B631E5">
        <w:rPr>
          <w:b/>
          <w:bCs/>
        </w:rPr>
        <w:t xml:space="preserve"> = rayonnement d’équilibre thermique</w:t>
      </w:r>
      <w:r w:rsidR="00B631E5">
        <w:t>.</w:t>
      </w:r>
    </w:p>
    <w:p w14:paraId="2F7396A1" w14:textId="7C23EF31" w:rsidR="00D61CAD" w:rsidRDefault="00D61CAD" w:rsidP="00FD75E3">
      <w:pPr>
        <w:pStyle w:val="ListParagraph"/>
        <w:numPr>
          <w:ilvl w:val="0"/>
          <w:numId w:val="13"/>
        </w:numPr>
        <w:jc w:val="left"/>
      </w:pPr>
      <w:r>
        <w:t xml:space="preserve">A présent, si je place un corps noir dans le gaz de photon et qu’un nouveau rayonnement d’équilibre thermique </w:t>
      </w:r>
      <w:r w:rsidR="00797849">
        <w:t>apparaît</w:t>
      </w:r>
      <w:r>
        <w:t xml:space="preserve">, le capteur placé n’importe où dans ce gaz détecte les photons selon une distribution de </w:t>
      </w:r>
      <w:proofErr w:type="spellStart"/>
      <w:r>
        <w:t>planck</w:t>
      </w:r>
      <w:proofErr w:type="spellEnd"/>
      <w:r>
        <w:t>. En particulier, pour assurer l’équilibre radiatif, les photons émis pas le corps noir respecte</w:t>
      </w:r>
      <w:r w:rsidR="00B631E5">
        <w:t>nt</w:t>
      </w:r>
      <w:r>
        <w:t xml:space="preserve"> la distribution de Planck. </w:t>
      </w:r>
    </w:p>
    <w:p w14:paraId="6C83D7B3" w14:textId="4AAAEDF0" w:rsidR="00B631E5" w:rsidRDefault="00D61CAD" w:rsidP="00FD75E3">
      <w:pPr>
        <w:pStyle w:val="ListParagraph"/>
        <w:numPr>
          <w:ilvl w:val="0"/>
          <w:numId w:val="13"/>
        </w:numPr>
        <w:jc w:val="left"/>
      </w:pPr>
      <w:r>
        <w:t>L’ensemble des cas décri</w:t>
      </w:r>
      <w:r w:rsidR="00B631E5">
        <w:t>ts</w:t>
      </w:r>
      <w:r>
        <w:t xml:space="preserve"> dans les paragraphes précédents est purement théorique</w:t>
      </w:r>
      <w:r w:rsidR="00797849">
        <w:t xml:space="preserve"> : </w:t>
      </w:r>
      <w:r>
        <w:t xml:space="preserve">Le soleil n’est pas à </w:t>
      </w:r>
      <w:r w:rsidR="00797849">
        <w:t>l’équilibre</w:t>
      </w:r>
      <w:r>
        <w:t xml:space="preserve"> radiatif, ni un filament</w:t>
      </w:r>
      <w:r w:rsidR="00797849">
        <w:t xml:space="preserve"> d’ampoule</w:t>
      </w:r>
      <w:r>
        <w:t>.</w:t>
      </w:r>
      <w:r w:rsidR="00B631E5">
        <w:t xml:space="preserve"> On peut au mieux dire que ces corps sont à l’équilibre thermique local.</w:t>
      </w:r>
      <w:r w:rsidR="00797849">
        <w:t xml:space="preserve"> </w:t>
      </w:r>
      <w:r w:rsidR="00B631E5">
        <w:t xml:space="preserve">Or, </w:t>
      </w:r>
      <w:r w:rsidR="00797849">
        <w:t>ces deux systèmes ont</w:t>
      </w:r>
      <w:r w:rsidR="00B631E5">
        <w:t xml:space="preserve"> pourtant</w:t>
      </w:r>
      <w:r w:rsidR="00797849">
        <w:t xml:space="preserve"> une luminance qui respecte la loi de Planck. Comment la loi de Planck </w:t>
      </w:r>
      <w:r w:rsidR="00B631E5">
        <w:t xml:space="preserve">peut-elle être aussi valable pour les corps noirs hors équilibre radiatif ? </w:t>
      </w:r>
    </w:p>
    <w:p w14:paraId="3E94F15C" w14:textId="16215DD2" w:rsidR="00D61CAD" w:rsidRPr="00D61CAD" w:rsidRDefault="00B631E5" w:rsidP="00FD75E3">
      <w:pPr>
        <w:pStyle w:val="ListParagraph"/>
        <w:numPr>
          <w:ilvl w:val="0"/>
          <w:numId w:val="13"/>
        </w:numPr>
        <w:jc w:val="left"/>
      </w:pPr>
      <w:r>
        <w:t xml:space="preserve">Réponse : </w:t>
      </w:r>
      <w:r w:rsidR="00D61CAD">
        <w:t xml:space="preserve">Voici l’explication : le rayonnement émis par les corps </w:t>
      </w:r>
      <w:r w:rsidR="00797849">
        <w:t xml:space="preserve">et en particulier par les corps noirs est dû à </w:t>
      </w:r>
      <w:r w:rsidR="00F1670E">
        <w:t>l’accélération des particules chargées</w:t>
      </w:r>
      <w:r w:rsidR="00797849">
        <w:t xml:space="preserve"> </w:t>
      </w:r>
      <w:r w:rsidR="00F1670E">
        <w:t>dans le corps (</w:t>
      </w:r>
      <w:proofErr w:type="spellStart"/>
      <w:proofErr w:type="gramStart"/>
      <w:r w:rsidR="00F1670E">
        <w:t>cf.leçon</w:t>
      </w:r>
      <w:proofErr w:type="spellEnd"/>
      <w:proofErr w:type="gramEnd"/>
      <w:r w:rsidR="00F1670E">
        <w:t xml:space="preserve"> rayonnement di</w:t>
      </w:r>
      <w:bookmarkStart w:id="0" w:name="_GoBack"/>
      <w:bookmarkEnd w:id="0"/>
      <w:r w:rsidR="00F1670E">
        <w:t>polaire</w:t>
      </w:r>
      <w:r w:rsidR="00797849">
        <w:t xml:space="preserve">. </w:t>
      </w:r>
      <w:r w:rsidR="00F1670E">
        <w:t>Ce mouvement aléatoire des particules chargé</w:t>
      </w:r>
      <w:r w:rsidR="00797849">
        <w:t xml:space="preserve"> dépend de la distribution en énergie des atomes du corps, elle-même fonction de la température du corps (en supposant que la distribution en énergie est donnée par le facteur de </w:t>
      </w:r>
      <w:proofErr w:type="spellStart"/>
      <w:r w:rsidR="00797849">
        <w:t>boltzmann</w:t>
      </w:r>
      <w:proofErr w:type="spellEnd"/>
      <w:r w:rsidR="00797849">
        <w:t xml:space="preserve">). L’émission du corps noir de température T </w:t>
      </w:r>
      <w:r w:rsidR="00797849" w:rsidRPr="00797849">
        <w:rPr>
          <w:b/>
          <w:bCs/>
        </w:rPr>
        <w:t>hors</w:t>
      </w:r>
      <w:r w:rsidR="00797849">
        <w:t xml:space="preserve"> équilibre radiatif est donc le même que celui du corps noir à la température T </w:t>
      </w:r>
      <w:r w:rsidR="00797849" w:rsidRPr="00797849">
        <w:rPr>
          <w:b/>
          <w:bCs/>
        </w:rPr>
        <w:t>à</w:t>
      </w:r>
      <w:r w:rsidR="00797849">
        <w:t xml:space="preserve"> l’équilibre radiatif</w:t>
      </w:r>
      <w:r w:rsidR="00155919">
        <w:t xml:space="preserve"> car les sources du rayonnement sont les mêmes.</w:t>
      </w:r>
    </w:p>
    <w:p w14:paraId="24181C15" w14:textId="36C73AAE" w:rsidR="00D61CAD" w:rsidRDefault="00B631E5" w:rsidP="00797849">
      <w:pPr>
        <w:numPr>
          <w:ilvl w:val="0"/>
          <w:numId w:val="0"/>
        </w:numPr>
        <w:ind w:left="1068"/>
        <w:jc w:val="left"/>
      </w:pPr>
      <w:r>
        <w:t xml:space="preserve">Remarque : </w:t>
      </w:r>
      <w:r w:rsidR="00797849">
        <w:t>La dernière étape</w:t>
      </w:r>
      <w:r>
        <w:t xml:space="preserve"> (4)</w:t>
      </w:r>
      <w:r w:rsidR="00797849">
        <w:t xml:space="preserve"> de ce raisonnement ne fonctionne pas pour les corps non noirs. Car pour ces corps ce n’est pas le flux émis qui respecte la loi de Planck</w:t>
      </w:r>
      <w:r>
        <w:t xml:space="preserve"> à l’étape (2)</w:t>
      </w:r>
      <w:r w:rsidR="00797849">
        <w:t xml:space="preserve"> mais le flux partant (flux émis + flux réfléchi). </w:t>
      </w:r>
    </w:p>
    <w:p w14:paraId="56BBB3C4" w14:textId="79EC486E" w:rsidR="00D61CAD" w:rsidRDefault="00D61CAD" w:rsidP="00E23439">
      <w:pPr>
        <w:numPr>
          <w:ilvl w:val="0"/>
          <w:numId w:val="0"/>
        </w:numPr>
        <w:ind w:left="1068"/>
        <w:jc w:val="center"/>
      </w:pPr>
    </w:p>
    <w:p w14:paraId="78A3A92E" w14:textId="399E486A" w:rsidR="00D61CAD" w:rsidRDefault="00D61CAD" w:rsidP="00E23439">
      <w:pPr>
        <w:numPr>
          <w:ilvl w:val="0"/>
          <w:numId w:val="0"/>
        </w:numPr>
        <w:ind w:left="1068"/>
        <w:jc w:val="center"/>
      </w:pPr>
    </w:p>
    <w:p w14:paraId="084CEA58" w14:textId="09C6F1A9" w:rsidR="00D61CAD" w:rsidRDefault="00D61CAD" w:rsidP="00E23439">
      <w:pPr>
        <w:numPr>
          <w:ilvl w:val="0"/>
          <w:numId w:val="0"/>
        </w:numPr>
        <w:ind w:left="1068"/>
        <w:jc w:val="center"/>
      </w:pPr>
    </w:p>
    <w:p w14:paraId="3031A302" w14:textId="7B47498E" w:rsidR="00D61CAD" w:rsidRDefault="00D61CAD" w:rsidP="00E23439">
      <w:pPr>
        <w:numPr>
          <w:ilvl w:val="0"/>
          <w:numId w:val="0"/>
        </w:numPr>
        <w:ind w:left="1068"/>
        <w:jc w:val="center"/>
      </w:pPr>
    </w:p>
    <w:p w14:paraId="78DDD7E0" w14:textId="77777777" w:rsidR="00D61CAD" w:rsidRDefault="00D61CAD" w:rsidP="00E23439">
      <w:pPr>
        <w:numPr>
          <w:ilvl w:val="0"/>
          <w:numId w:val="0"/>
        </w:numPr>
        <w:ind w:left="1068"/>
        <w:jc w:val="center"/>
      </w:pPr>
    </w:p>
    <w:p w14:paraId="59BD3970" w14:textId="77777777" w:rsidR="00E23439" w:rsidRPr="00E23DB0" w:rsidRDefault="00E23439" w:rsidP="0065585D">
      <w:pPr>
        <w:numPr>
          <w:ilvl w:val="0"/>
          <w:numId w:val="0"/>
        </w:numPr>
        <w:ind w:left="1068"/>
      </w:pPr>
    </w:p>
    <w:p w14:paraId="7B89A698" w14:textId="4B516B02" w:rsidR="003E7F8D" w:rsidRDefault="003E7F8D" w:rsidP="0065585D">
      <w:pPr>
        <w:numPr>
          <w:ilvl w:val="0"/>
          <w:numId w:val="0"/>
        </w:numPr>
        <w:ind w:left="1068"/>
      </w:pPr>
      <w:r w:rsidRPr="00E23439">
        <w:rPr>
          <w:b/>
          <w:bCs/>
        </w:rPr>
        <w:t>Référence</w:t>
      </w:r>
      <w:r w:rsidR="001F53DB" w:rsidRPr="00E23439">
        <w:rPr>
          <w:b/>
          <w:bCs/>
        </w:rPr>
        <w:t>s</w:t>
      </w:r>
      <w:r>
        <w:t xml:space="preserve"> : </w:t>
      </w:r>
    </w:p>
    <w:p w14:paraId="2CBA00B9" w14:textId="0D72F0F8" w:rsidR="00E23439" w:rsidRPr="00E23439" w:rsidRDefault="00E23439" w:rsidP="00FD75E3">
      <w:pPr>
        <w:pStyle w:val="ListParagraph"/>
        <w:numPr>
          <w:ilvl w:val="0"/>
          <w:numId w:val="11"/>
        </w:numPr>
      </w:pPr>
      <w:r w:rsidRPr="00E23439">
        <w:t xml:space="preserve">Couture et </w:t>
      </w:r>
      <w:proofErr w:type="spellStart"/>
      <w:r w:rsidRPr="00E23439">
        <w:t>Zitoun</w:t>
      </w:r>
      <w:proofErr w:type="spellEnd"/>
      <w:r w:rsidRPr="00E23439">
        <w:t xml:space="preserve"> chapitre 7 §1</w:t>
      </w:r>
      <w:r w:rsidRPr="00E23439">
        <w:sym w:font="Wingdings" w:char="F0E0"/>
      </w:r>
      <w:r w:rsidRPr="00E23439">
        <w:t>4. C’est l’’essentiel de la leçon</w:t>
      </w:r>
    </w:p>
    <w:p w14:paraId="26657F43" w14:textId="77777777" w:rsidR="00E23439" w:rsidRDefault="00E23439" w:rsidP="00FD75E3">
      <w:pPr>
        <w:pStyle w:val="ListParagraph"/>
        <w:numPr>
          <w:ilvl w:val="0"/>
          <w:numId w:val="11"/>
        </w:numPr>
      </w:pPr>
      <w:r w:rsidRPr="00E23439">
        <w:t>Diu : Chapitre VI -III</w:t>
      </w:r>
      <w:r>
        <w:t xml:space="preserve">. </w:t>
      </w:r>
    </w:p>
    <w:p w14:paraId="0D830618" w14:textId="0DB1BE80" w:rsidR="00E23439" w:rsidRPr="00E23439" w:rsidRDefault="00E23439" w:rsidP="00FD75E3">
      <w:pPr>
        <w:pStyle w:val="ListParagraph"/>
        <w:numPr>
          <w:ilvl w:val="0"/>
          <w:numId w:val="11"/>
        </w:numPr>
      </w:pPr>
      <w:r>
        <w:t xml:space="preserve">Sanz, PC </w:t>
      </w:r>
      <w:proofErr w:type="spellStart"/>
      <w:r>
        <w:t>PC</w:t>
      </w:r>
      <w:proofErr w:type="spellEnd"/>
      <w:r>
        <w:t xml:space="preserve">* Dunod : </w:t>
      </w:r>
      <w:r w:rsidR="00483592">
        <w:t>Chapitre 4. Pour travailler l’effet de serre</w:t>
      </w:r>
      <w:r w:rsidRPr="00E23439">
        <w:t xml:space="preserve">  </w:t>
      </w:r>
    </w:p>
    <w:p w14:paraId="6EB74F6A" w14:textId="35365A08" w:rsidR="00AD67B0" w:rsidRDefault="00AD67B0" w:rsidP="0065585D">
      <w:pPr>
        <w:numPr>
          <w:ilvl w:val="0"/>
          <w:numId w:val="0"/>
        </w:numPr>
        <w:ind w:left="1068"/>
      </w:pPr>
      <w:r w:rsidRPr="00D60918">
        <w:rPr>
          <w:b/>
          <w:bCs/>
        </w:rPr>
        <w:lastRenderedPageBreak/>
        <w:t>Prérequis</w:t>
      </w:r>
      <w:r>
        <w:t xml:space="preserve"> : </w:t>
      </w:r>
    </w:p>
    <w:p w14:paraId="7D5FB6E3" w14:textId="77777777" w:rsidR="00DB55D9" w:rsidRDefault="00D60918" w:rsidP="0065585D">
      <w:pPr>
        <w:numPr>
          <w:ilvl w:val="0"/>
          <w:numId w:val="0"/>
        </w:numPr>
        <w:ind w:left="1068"/>
      </w:pPr>
      <w:r>
        <w:t xml:space="preserve">Cette leçon s’inscrit à la fin du cours de physique statistique. </w:t>
      </w:r>
      <w:r w:rsidR="00DB55D9">
        <w:br/>
        <w:t>-</w:t>
      </w:r>
      <w:r>
        <w:t xml:space="preserve">statistique de </w:t>
      </w:r>
      <w:proofErr w:type="spellStart"/>
      <w:r>
        <w:t>bose</w:t>
      </w:r>
      <w:proofErr w:type="spellEnd"/>
      <w:r>
        <w:t xml:space="preserve">-Einstein </w:t>
      </w:r>
    </w:p>
    <w:p w14:paraId="4B4644F3" w14:textId="564EAEC9" w:rsidR="007D1989" w:rsidRDefault="00DB55D9" w:rsidP="0065585D">
      <w:pPr>
        <w:numPr>
          <w:ilvl w:val="0"/>
          <w:numId w:val="0"/>
        </w:numPr>
        <w:ind w:left="1068"/>
        <w:rPr>
          <w:rFonts w:eastAsiaTheme="minorEastAsia"/>
        </w:rPr>
      </w:pPr>
      <w:r>
        <w:t>-n</w:t>
      </w:r>
      <w:r w:rsidR="00D60918">
        <w:t xml:space="preserve">otions sur les photons </w:t>
      </w:r>
      <m:oMath>
        <m:r>
          <w:rPr>
            <w:rFonts w:ascii="Cambria Math" w:hAnsi="Cambria Math"/>
          </w:rPr>
          <m:t>ϵ=hν</m:t>
        </m:r>
      </m:oMath>
      <w:r w:rsidR="00FC6FD0">
        <w:rPr>
          <w:rFonts w:eastAsiaTheme="minorEastAsia"/>
        </w:rPr>
        <w:t xml:space="preserve"> et</w:t>
      </w:r>
      <w:r w:rsidR="00E55676">
        <w:rPr>
          <w:rFonts w:eastAsiaTheme="minorEastAsia"/>
        </w:rPr>
        <w:t xml:space="preserve"> </w:t>
      </w:r>
      <m:oMath>
        <m:r>
          <w:rPr>
            <w:rFonts w:ascii="Cambria Math" w:eastAsiaTheme="minorEastAsia" w:hAnsi="Cambria Math"/>
          </w:rPr>
          <m:t>ϵ=cp</m:t>
        </m:r>
      </m:oMath>
      <w:r>
        <w:rPr>
          <w:rFonts w:eastAsiaTheme="minorEastAsia"/>
        </w:rPr>
        <w:t>.</w:t>
      </w:r>
    </w:p>
    <w:p w14:paraId="5A08A4B2" w14:textId="7F2EDDCC" w:rsidR="00DB55D9" w:rsidRDefault="00DB55D9" w:rsidP="00DB55D9">
      <w:pPr>
        <w:numPr>
          <w:ilvl w:val="0"/>
          <w:numId w:val="0"/>
        </w:numPr>
        <w:ind w:left="1068"/>
        <w:rPr>
          <w:rFonts w:eastAsiaTheme="minorEastAsia"/>
        </w:rPr>
      </w:pPr>
      <w:r>
        <w:rPr>
          <w:rFonts w:eastAsiaTheme="minorEastAsia"/>
        </w:rPr>
        <w:t>-lois de propagation de la lumière (la lumière est un rayonnement EM qui se propage et transporte de l’énergie</w:t>
      </w:r>
    </w:p>
    <w:p w14:paraId="29F4F3B6" w14:textId="77777777" w:rsidR="00D60918" w:rsidRPr="00AD67B0" w:rsidRDefault="00D60918" w:rsidP="0065585D">
      <w:pPr>
        <w:numPr>
          <w:ilvl w:val="0"/>
          <w:numId w:val="0"/>
        </w:numPr>
        <w:ind w:left="1068"/>
      </w:pPr>
    </w:p>
    <w:p w14:paraId="67A6C248" w14:textId="765AA12C" w:rsidR="00C050CF" w:rsidRDefault="00C050CF" w:rsidP="0065585D">
      <w:pPr>
        <w:numPr>
          <w:ilvl w:val="0"/>
          <w:numId w:val="0"/>
        </w:numPr>
        <w:ind w:left="1068"/>
      </w:pPr>
      <w:r w:rsidRPr="005141E7">
        <w:rPr>
          <w:rStyle w:val="Heading1Char"/>
        </w:rPr>
        <w:t>Intro</w:t>
      </w:r>
      <w:r w:rsidR="00215C57" w:rsidRPr="005141E7">
        <w:rPr>
          <w:rStyle w:val="Heading1Char"/>
        </w:rPr>
        <w:t>duction</w:t>
      </w:r>
      <w:r w:rsidRPr="00DE7A48">
        <w:t> </w:t>
      </w:r>
    </w:p>
    <w:p w14:paraId="4D1BAA3E" w14:textId="7CB54CAF" w:rsidR="00DB55D9" w:rsidRDefault="00D62C0C" w:rsidP="0065585D">
      <w:pPr>
        <w:numPr>
          <w:ilvl w:val="0"/>
          <w:numId w:val="0"/>
        </w:numPr>
        <w:ind w:left="1068"/>
      </w:pPr>
      <w:r>
        <w:t xml:space="preserve">Précédemment, nous avons étudié différents types de transferts thermiques dont la convection et la diffusion. </w:t>
      </w:r>
      <w:r w:rsidR="00DB55D9">
        <w:t>Par ailleurs, l’expérience quotidienne nous apprend que les corps convertissent leur énergie interne en rayonnement électromagnétique. Par exemple, une braise convertie son énergie interne en un rayonnement qui nous apparait rougeâtre. Une ampoule à incandescence est un filament de tungstène qui une fois porté</w:t>
      </w:r>
      <w:r w:rsidR="00BF1F37">
        <w:t>e</w:t>
      </w:r>
      <w:r w:rsidR="00DB55D9">
        <w:t xml:space="preserve"> à haute température émet un rayonnement. </w:t>
      </w:r>
    </w:p>
    <w:p w14:paraId="79EB72AC" w14:textId="77777777" w:rsidR="00C3512A" w:rsidRDefault="00C3512A" w:rsidP="0065585D">
      <w:pPr>
        <w:numPr>
          <w:ilvl w:val="0"/>
          <w:numId w:val="0"/>
        </w:numPr>
        <w:ind w:left="1068"/>
      </w:pPr>
    </w:p>
    <w:p w14:paraId="338C6DD6" w14:textId="2B2FA52E" w:rsidR="00D62C0C" w:rsidRDefault="00C3512A" w:rsidP="0065585D">
      <w:pPr>
        <w:numPr>
          <w:ilvl w:val="0"/>
          <w:numId w:val="0"/>
        </w:numPr>
        <w:ind w:left="1068"/>
      </w:pPr>
      <w:r>
        <w:t xml:space="preserve">Le message central de cette leçon sera de montrer qu’à l’équilibre </w:t>
      </w:r>
      <w:r w:rsidR="00BF1F37">
        <w:t xml:space="preserve">de rayonnement </w:t>
      </w:r>
      <w:r>
        <w:t xml:space="preserve">thermique, </w:t>
      </w:r>
      <w:r w:rsidR="000808E6">
        <w:t>certains</w:t>
      </w:r>
      <w:r>
        <w:t xml:space="preserve"> </w:t>
      </w:r>
      <w:r w:rsidR="00B523ED">
        <w:t>corps</w:t>
      </w:r>
      <w:r w:rsidR="000808E6">
        <w:t xml:space="preserve"> appelés corps noirs</w:t>
      </w:r>
      <w:r w:rsidR="00B523ED">
        <w:t xml:space="preserve"> émettent</w:t>
      </w:r>
      <w:r>
        <w:t xml:space="preserve"> un rayonnement qui dépend uniquement de </w:t>
      </w:r>
      <w:r w:rsidR="00DA093B">
        <w:t>leur</w:t>
      </w:r>
      <w:r>
        <w:t xml:space="preserve"> température. </w:t>
      </w:r>
    </w:p>
    <w:p w14:paraId="6EF439CF" w14:textId="77777777" w:rsidR="00C3512A" w:rsidRDefault="00C3512A" w:rsidP="0065585D">
      <w:pPr>
        <w:numPr>
          <w:ilvl w:val="0"/>
          <w:numId w:val="0"/>
        </w:numPr>
        <w:ind w:left="1068"/>
      </w:pPr>
    </w:p>
    <w:p w14:paraId="4C8306A5" w14:textId="0DFC3256" w:rsidR="007308A5" w:rsidRDefault="005C2909" w:rsidP="0065585D">
      <w:pPr>
        <w:numPr>
          <w:ilvl w:val="0"/>
          <w:numId w:val="0"/>
        </w:numPr>
        <w:ind w:left="1068"/>
      </w:pPr>
      <w:r>
        <w:t xml:space="preserve">Le modèle qui est à la base de la compréhension du rayonnement thermique est le </w:t>
      </w:r>
      <w:r>
        <w:rPr>
          <w:i/>
          <w:iCs/>
        </w:rPr>
        <w:t xml:space="preserve">modèle du corps noir. </w:t>
      </w:r>
      <w:r w:rsidR="00D77D35">
        <w:t xml:space="preserve">Le </w:t>
      </w:r>
      <w:r w:rsidR="00D77D35" w:rsidRPr="00D77D35">
        <w:rPr>
          <w:i/>
          <w:iCs/>
        </w:rPr>
        <w:t>corps noir</w:t>
      </w:r>
      <w:r w:rsidR="00D77D35">
        <w:t xml:space="preserve"> se définit comme un corps</w:t>
      </w:r>
      <w:r>
        <w:t xml:space="preserve"> idéalisé</w:t>
      </w:r>
      <w:r w:rsidR="00D77D35">
        <w:t xml:space="preserve"> qui absorbe l’intégralité de rayonnement électromagnétique qu’il reçoit. </w:t>
      </w:r>
      <w:r w:rsidR="001F4BB3">
        <w:t>A l’équilibre</w:t>
      </w:r>
      <w:r>
        <w:t xml:space="preserve"> (ou plus précisément à l’équilibre de rayonnement thermique)</w:t>
      </w:r>
      <w:r w:rsidR="001F4BB3">
        <w:t>, le corps noir réémet l’énergie absorbée sous la forme d’une onde électromagnétique</w:t>
      </w:r>
      <w:r w:rsidR="007519A3">
        <w:t xml:space="preserve"> dont l</w:t>
      </w:r>
      <w:r w:rsidR="001F4BB3">
        <w:t>e spectre</w:t>
      </w:r>
      <w:r w:rsidR="00B44D4C">
        <w:t xml:space="preserve"> </w:t>
      </w:r>
      <w:r w:rsidR="007519A3">
        <w:t>a la</w:t>
      </w:r>
      <w:r w:rsidR="00B44D4C">
        <w:t xml:space="preserve"> propriété surprenante de ne dépendre que de la température du corps noir et pas d</w:t>
      </w:r>
      <w:r w:rsidR="003C64F8">
        <w:t>e la nature du matériau (</w:t>
      </w:r>
      <w:proofErr w:type="spellStart"/>
      <w:r w:rsidR="003C64F8">
        <w:t>ie</w:t>
      </w:r>
      <w:proofErr w:type="spellEnd"/>
      <w:r w:rsidR="003C64F8">
        <w:t xml:space="preserve"> composition chimique)</w:t>
      </w:r>
      <w:r w:rsidR="00B44D4C">
        <w:t>.</w:t>
      </w:r>
      <w:r w:rsidR="007519A3">
        <w:t xml:space="preserve"> </w:t>
      </w:r>
    </w:p>
    <w:p w14:paraId="3599DCF7" w14:textId="77777777" w:rsidR="00B523ED" w:rsidRDefault="00B523ED" w:rsidP="0065585D">
      <w:pPr>
        <w:numPr>
          <w:ilvl w:val="0"/>
          <w:numId w:val="0"/>
        </w:numPr>
        <w:ind w:left="1068"/>
      </w:pPr>
    </w:p>
    <w:p w14:paraId="3EDE94E2" w14:textId="774E7FCC" w:rsidR="00C574FB" w:rsidRDefault="007308A5" w:rsidP="0065585D">
      <w:pPr>
        <w:numPr>
          <w:ilvl w:val="0"/>
          <w:numId w:val="0"/>
        </w:numPr>
        <w:ind w:left="1068"/>
      </w:pPr>
      <w:r>
        <w:t xml:space="preserve">Le corps noir est un modèle important car c’est </w:t>
      </w:r>
      <w:r w:rsidR="006D613D">
        <w:t xml:space="preserve">ce modèle que l’on adopte </w:t>
      </w:r>
      <w:r>
        <w:t>en premi</w:t>
      </w:r>
      <w:r w:rsidR="006D613D">
        <w:t xml:space="preserve">ère </w:t>
      </w:r>
      <w:r>
        <w:t xml:space="preserve">approximation </w:t>
      </w:r>
      <w:r w:rsidR="006D613D">
        <w:t>pour décrire</w:t>
      </w:r>
      <w:r>
        <w:t xml:space="preserve"> le rayonnement thermique de </w:t>
      </w:r>
      <w:r w:rsidR="00C5783B">
        <w:t>nombreux</w:t>
      </w:r>
      <w:r>
        <w:t xml:space="preserve"> systèmes qui nous entourent</w:t>
      </w:r>
      <w:r w:rsidR="00C574FB">
        <w:t xml:space="preserve"> comme par exemple les étoiles</w:t>
      </w:r>
      <w:r w:rsidR="001E56B6">
        <w:t> :</w:t>
      </w:r>
      <w:r w:rsidR="00C574FB">
        <w:t xml:space="preserve"> Compar</w:t>
      </w:r>
      <w:r w:rsidR="003C64F8">
        <w:t>ons le</w:t>
      </w:r>
      <w:r w:rsidR="00C574FB">
        <w:t xml:space="preserve"> spectre du soleil avec le</w:t>
      </w:r>
      <w:r w:rsidR="003C64F8">
        <w:t xml:space="preserve"> spectre</w:t>
      </w:r>
      <w:r w:rsidR="00C574FB">
        <w:t xml:space="preserve"> d</w:t>
      </w:r>
      <w:r w:rsidR="003C64F8">
        <w:t>’un</w:t>
      </w:r>
      <w:r w:rsidR="00C574FB">
        <w:t xml:space="preserve"> corps noir à 5777K</w:t>
      </w:r>
      <w:r w:rsidR="003C64F8">
        <w:t>.</w:t>
      </w:r>
    </w:p>
    <w:p w14:paraId="49B95D76" w14:textId="1BF78884" w:rsidR="00DA093B" w:rsidRDefault="00C574FB" w:rsidP="0065585D">
      <w:pPr>
        <w:numPr>
          <w:ilvl w:val="0"/>
          <w:numId w:val="0"/>
        </w:numPr>
        <w:ind w:left="1068"/>
      </w:pPr>
      <w:r>
        <w:rPr>
          <w:noProof/>
        </w:rPr>
        <w:lastRenderedPageBreak/>
        <mc:AlternateContent>
          <mc:Choice Requires="wps">
            <w:drawing>
              <wp:anchor distT="0" distB="0" distL="114300" distR="114300" simplePos="0" relativeHeight="251660288" behindDoc="0" locked="0" layoutInCell="1" allowOverlap="1" wp14:anchorId="379FD62D" wp14:editId="66FAA346">
                <wp:simplePos x="0" y="0"/>
                <wp:positionH relativeFrom="column">
                  <wp:posOffset>1050925</wp:posOffset>
                </wp:positionH>
                <wp:positionV relativeFrom="paragraph">
                  <wp:posOffset>2903220</wp:posOffset>
                </wp:positionV>
                <wp:extent cx="387858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58CD25DF" w14:textId="0C408D9C" w:rsidR="00797849" w:rsidRPr="00585CB9" w:rsidRDefault="00797849" w:rsidP="00C574FB">
                            <w:pPr>
                              <w:pStyle w:val="Caption"/>
                              <w:rPr>
                                <w:noProof/>
                              </w:rPr>
                            </w:pPr>
                            <w:r>
                              <w:t xml:space="preserve">Figure </w:t>
                            </w:r>
                            <w:r w:rsidR="00200B28">
                              <w:fldChar w:fldCharType="begin"/>
                            </w:r>
                            <w:r w:rsidR="00200B28">
                              <w:instrText xml:space="preserve"> SEQ Figure \* ARABIC </w:instrText>
                            </w:r>
                            <w:r w:rsidR="00200B28">
                              <w:fldChar w:fldCharType="separate"/>
                            </w:r>
                            <w:r w:rsidR="00AB7E59">
                              <w:rPr>
                                <w:noProof/>
                              </w:rPr>
                              <w:t>1</w:t>
                            </w:r>
                            <w:r w:rsidR="00200B28">
                              <w:rPr>
                                <w:noProof/>
                              </w:rPr>
                              <w:fldChar w:fldCharType="end"/>
                            </w:r>
                            <w:r>
                              <w:t xml:space="preserve"> Comparaison de l'émittance du soleil avec celui d'un corps noir à 5777K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9FD62D" id="_x0000_t202" coordsize="21600,21600" o:spt="202" path="m,l,21600r21600,l21600,xe">
                <v:stroke joinstyle="miter"/>
                <v:path gradientshapeok="t" o:connecttype="rect"/>
              </v:shapetype>
              <v:shape id="Text Box 2" o:spid="_x0000_s1026" type="#_x0000_t202" style="position:absolute;left:0;text-align:left;margin-left:82.75pt;margin-top:228.6pt;width:305.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" stroked="f">
                <v:textbox style="mso-fit-shape-to-text:t" inset="0,0,0,0">
                  <w:txbxContent>
                    <w:p w14:paraId="58CD25DF" w14:textId="0C408D9C" w:rsidR="00797849" w:rsidRPr="00585CB9" w:rsidRDefault="00797849" w:rsidP="00C574FB">
                      <w:pPr>
                        <w:pStyle w:val="Caption"/>
                        <w:rPr>
                          <w:noProof/>
                        </w:rPr>
                      </w:pPr>
                      <w:r>
                        <w:t xml:space="preserve">Figure </w:t>
                      </w:r>
                      <w:r w:rsidR="00200B28">
                        <w:fldChar w:fldCharType="begin"/>
                      </w:r>
                      <w:r w:rsidR="00200B28">
                        <w:instrText xml:space="preserve"> SEQ Figure \* ARABIC </w:instrText>
                      </w:r>
                      <w:r w:rsidR="00200B28">
                        <w:fldChar w:fldCharType="separate"/>
                      </w:r>
                      <w:r w:rsidR="00AB7E59">
                        <w:rPr>
                          <w:noProof/>
                        </w:rPr>
                        <w:t>1</w:t>
                      </w:r>
                      <w:r w:rsidR="00200B28">
                        <w:rPr>
                          <w:noProof/>
                        </w:rPr>
                        <w:fldChar w:fldCharType="end"/>
                      </w:r>
                      <w:r>
                        <w:t xml:space="preserve"> Comparaison de l'émittance du soleil avec celui d'un corps noir à 5777K</w:t>
                      </w:r>
                    </w:p>
                  </w:txbxContent>
                </v:textbox>
                <w10:wrap type="topAndBottom"/>
              </v:shape>
            </w:pict>
          </mc:Fallback>
        </mc:AlternateContent>
      </w:r>
      <w:r>
        <w:rPr>
          <w:noProof/>
        </w:rPr>
        <w:drawing>
          <wp:anchor distT="0" distB="0" distL="114300" distR="114300" simplePos="0" relativeHeight="251658240" behindDoc="0" locked="0" layoutInCell="1" allowOverlap="1" wp14:anchorId="1D4E2FEF" wp14:editId="7CEF538F">
            <wp:simplePos x="0" y="0"/>
            <wp:positionH relativeFrom="column">
              <wp:posOffset>1050925</wp:posOffset>
            </wp:positionH>
            <wp:positionV relativeFrom="paragraph">
              <wp:posOffset>0</wp:posOffset>
            </wp:positionV>
            <wp:extent cx="3878580" cy="284607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78580" cy="2846070"/>
                    </a:xfrm>
                    <a:prstGeom prst="rect">
                      <a:avLst/>
                    </a:prstGeom>
                    <a:noFill/>
                    <a:ln>
                      <a:noFill/>
                    </a:ln>
                  </pic:spPr>
                </pic:pic>
              </a:graphicData>
            </a:graphic>
          </wp:anchor>
        </w:drawing>
      </w:r>
      <w:r w:rsidR="001E56B6">
        <w:t>La force de ce modèle</w:t>
      </w:r>
      <w:r w:rsidR="00DA093B">
        <w:t xml:space="preserve"> permet notamment de </w:t>
      </w:r>
      <w:r>
        <w:t>connaître la température des étoiles en observant l’allure du spectre du rayonnement thermique</w:t>
      </w:r>
      <w:r w:rsidR="001E56B6">
        <w:t xml:space="preserve"> qui ne dépend pas de la composition de l’étoile</w:t>
      </w:r>
      <w:r w:rsidR="00340323">
        <w:t xml:space="preserve"> mais juste de sa température</w:t>
      </w:r>
      <w:r w:rsidR="001E56B6">
        <w:t xml:space="preserve">. </w:t>
      </w:r>
    </w:p>
    <w:p w14:paraId="18EB1E7D" w14:textId="2A8B5929" w:rsidR="001E56B6" w:rsidRDefault="001E56B6" w:rsidP="0065585D">
      <w:pPr>
        <w:numPr>
          <w:ilvl w:val="0"/>
          <w:numId w:val="0"/>
        </w:numPr>
        <w:ind w:left="1068"/>
      </w:pPr>
    </w:p>
    <w:p w14:paraId="1AD0B361" w14:textId="57DC45D4" w:rsidR="00DA093B" w:rsidRDefault="001E56B6" w:rsidP="0065585D">
      <w:pPr>
        <w:numPr>
          <w:ilvl w:val="0"/>
          <w:numId w:val="0"/>
        </w:numPr>
        <w:ind w:left="1068"/>
      </w:pPr>
      <w:r>
        <w:t xml:space="preserve">Dans cette leçon, </w:t>
      </w:r>
      <w:r w:rsidR="002A7461">
        <w:t>nous établirons l’allure du spectre du corps noir</w:t>
      </w:r>
      <w:r w:rsidR="00D16361">
        <w:t xml:space="preserve"> et les relations qui le lie avec la température. </w:t>
      </w:r>
      <w:r w:rsidR="002A7461">
        <w:t xml:space="preserve"> </w:t>
      </w:r>
      <w:r w:rsidR="00D16361">
        <w:t>Une application de mesure de température (pyromètre à disparition de filament) sera présenté</w:t>
      </w:r>
      <w:r w:rsidR="000A7BF2">
        <w:t>e</w:t>
      </w:r>
      <w:r w:rsidR="00D16361">
        <w:t>.</w:t>
      </w:r>
    </w:p>
    <w:p w14:paraId="48913C5C" w14:textId="77777777" w:rsidR="007308A5" w:rsidRDefault="007308A5" w:rsidP="0065585D">
      <w:pPr>
        <w:numPr>
          <w:ilvl w:val="0"/>
          <w:numId w:val="0"/>
        </w:numPr>
        <w:ind w:left="1068"/>
      </w:pPr>
    </w:p>
    <w:p w14:paraId="2B891F30" w14:textId="56CA1E5F" w:rsidR="00CD03DB" w:rsidRDefault="00E340C6" w:rsidP="00A27ED0">
      <w:pPr>
        <w:pStyle w:val="Heading1"/>
      </w:pPr>
      <w:r>
        <w:t xml:space="preserve">Définition du </w:t>
      </w:r>
      <w:r w:rsidR="00530C17">
        <w:t>corps noir, lien avec le rayonnement thermique d’équilibre</w:t>
      </w:r>
    </w:p>
    <w:p w14:paraId="6496AF8C" w14:textId="25D9C039" w:rsidR="006850BC" w:rsidRDefault="00530C17" w:rsidP="00A27ED0">
      <w:pPr>
        <w:pStyle w:val="Heading2"/>
      </w:pPr>
      <w:r>
        <w:t>Corps Noir</w:t>
      </w:r>
    </w:p>
    <w:p w14:paraId="2773907D" w14:textId="43BD2455" w:rsidR="00E410ED" w:rsidRPr="00E410ED" w:rsidRDefault="00530C17" w:rsidP="00A27ED0">
      <w:pPr>
        <w:pStyle w:val="Heading4"/>
      </w:pPr>
      <w:r w:rsidRPr="00E410ED">
        <w:t>Définition </w:t>
      </w:r>
    </w:p>
    <w:p w14:paraId="7804EBB7" w14:textId="0B8CE14E" w:rsidR="00530C17" w:rsidRPr="004A2ECA" w:rsidRDefault="00530C17" w:rsidP="00A27ED0">
      <w:pPr>
        <w:pStyle w:val="ListParagraph"/>
        <w:numPr>
          <w:ilvl w:val="0"/>
          <w:numId w:val="0"/>
        </w:numPr>
        <w:ind w:left="720"/>
        <w:rPr>
          <w:b/>
          <w:bCs/>
        </w:rPr>
      </w:pPr>
      <w:r>
        <w:t xml:space="preserve">Un corps noir est un corps qui absorbe l’intégralité du rayonnement qu’il reçoit. Le terme « noir » est trompeur </w:t>
      </w:r>
      <w:r w:rsidR="00A855E2">
        <w:t>car émettant un</w:t>
      </w:r>
      <w:r>
        <w:t xml:space="preserve"> rayonnement thermique </w:t>
      </w:r>
      <w:r w:rsidR="00A855E2">
        <w:t>i</w:t>
      </w:r>
      <w:r>
        <w:t>l n</w:t>
      </w:r>
      <w:r w:rsidR="00A855E2">
        <w:t xml:space="preserve">e nous </w:t>
      </w:r>
      <w:r>
        <w:t>apparaît pas forcément noir (ex : solei</w:t>
      </w:r>
      <w:r w:rsidRPr="004A2ECA">
        <w:t>l)</w:t>
      </w:r>
      <w:r w:rsidR="00A855E2">
        <w:t>.</w:t>
      </w:r>
      <w:r w:rsidR="00DA6B59">
        <w:t xml:space="preserve"> A = 1 pour état de polarisation et vecteur d’onde </w:t>
      </w:r>
    </w:p>
    <w:p w14:paraId="55D65CF7" w14:textId="63AFBEAA" w:rsidR="00E410ED" w:rsidRPr="005A524E" w:rsidRDefault="004A2ECA" w:rsidP="00A27ED0">
      <w:pPr>
        <w:pStyle w:val="Heading4"/>
      </w:pPr>
      <w:r w:rsidRPr="005A524E">
        <w:rPr>
          <w:rStyle w:val="Heading4Char"/>
          <w:b/>
          <w:bCs/>
          <w:i/>
          <w:iCs/>
        </w:rPr>
        <w:t>Le corps noir est un modèle</w:t>
      </w:r>
      <w:r w:rsidRPr="005A524E">
        <w:t xml:space="preserve"> </w:t>
      </w:r>
      <w:r w:rsidR="006F3130" w:rsidRPr="005A524E">
        <w:t>idéal</w:t>
      </w:r>
    </w:p>
    <w:p w14:paraId="24E087B3" w14:textId="68FE2E0E" w:rsidR="00530C17" w:rsidRPr="0082133B" w:rsidRDefault="004A2ECA" w:rsidP="00A27ED0">
      <w:pPr>
        <w:pStyle w:val="ListParagraph"/>
        <w:numPr>
          <w:ilvl w:val="0"/>
          <w:numId w:val="0"/>
        </w:numPr>
        <w:ind w:left="720"/>
        <w:rPr>
          <w:b/>
          <w:bCs/>
        </w:rPr>
      </w:pPr>
      <w:r>
        <w:t>Aucun corps n’absorbe tout le rayonnement. En revanche, certains matériaux absorbe</w:t>
      </w:r>
      <w:r w:rsidR="00E8747D">
        <w:t>nt</w:t>
      </w:r>
      <w:r>
        <w:t xml:space="preserve"> la quasi-totalité du rayonnement dans un intervalle de </w:t>
      </w:r>
      <w:r w:rsidR="00E8747D">
        <w:t>longueur d’onde. Exemple : plaque recouvert</w:t>
      </w:r>
      <w:r w:rsidR="0082133B">
        <w:t>e</w:t>
      </w:r>
      <w:r w:rsidR="00E8747D">
        <w:t xml:space="preserve"> de noir de fumée pour le rayonnement visible [</w:t>
      </w:r>
      <m:oMath>
        <m:r>
          <w:rPr>
            <w:rFonts w:ascii="Cambria Math" w:hAnsi="Cambria Math"/>
          </w:rPr>
          <m:t>0.4μm, 0.8μm</m:t>
        </m:r>
      </m:oMath>
      <w:r w:rsidR="00E8747D">
        <w:t>]</w:t>
      </w:r>
    </w:p>
    <w:p w14:paraId="60F4E940" w14:textId="7F763B07" w:rsidR="00E410ED" w:rsidRDefault="0082133B" w:rsidP="00A27ED0">
      <w:pPr>
        <w:pStyle w:val="Heading4"/>
      </w:pPr>
      <w:r>
        <w:t>Réalisation Pratique du corps noir</w:t>
      </w:r>
      <w:r w:rsidR="00E410ED">
        <w:t> : four percé d’une petite ouverture</w:t>
      </w:r>
      <w:r>
        <w:t> </w:t>
      </w:r>
    </w:p>
    <w:p w14:paraId="05392817" w14:textId="40B52C92" w:rsidR="0082133B" w:rsidRPr="008460E1" w:rsidRDefault="00E410ED" w:rsidP="008460E1">
      <w:pPr>
        <w:pStyle w:val="NoSpacing"/>
        <w:ind w:left="708"/>
        <w:jc w:val="both"/>
      </w:pPr>
      <w:r w:rsidRPr="00E410ED">
        <w:t>Expérimentalement, le rayonnement du corps noir peut être établi</w:t>
      </w:r>
      <w:r w:rsidR="008460E1">
        <w:t>t</w:t>
      </w:r>
      <w:r w:rsidRPr="00E410ED">
        <w:t xml:space="preserve"> comme étant la radiation de l'état d'équilibre dans une cavité à l'intérieur d'un corps</w:t>
      </w:r>
      <w:r w:rsidR="008460E1">
        <w:t xml:space="preserve"> opaque thermostaté</w:t>
      </w:r>
      <w:r w:rsidRPr="00E410ED">
        <w:t xml:space="preserve"> partiellement réfléchissant. Une boîte fermée avec des murs de graphite à une température constante ayant une petite </w:t>
      </w:r>
      <w:r w:rsidRPr="00E410ED">
        <w:rPr>
          <w:i/>
          <w:iCs/>
        </w:rPr>
        <w:t>ouverture</w:t>
      </w:r>
      <w:r w:rsidRPr="00E410ED">
        <w:t xml:space="preserve"> sur l'une des faces latérales produit une bonne approximation du rayonnement de corps noir émanant de l'ouverture</w:t>
      </w:r>
      <w:r>
        <w:t xml:space="preserve">. </w:t>
      </w:r>
    </w:p>
    <w:p w14:paraId="6EF2FB16" w14:textId="2F5D40D6" w:rsidR="00E410ED" w:rsidRDefault="00E410ED" w:rsidP="00A27ED0">
      <w:pPr>
        <w:pStyle w:val="Heading4"/>
      </w:pPr>
      <w:r>
        <w:lastRenderedPageBreak/>
        <w:t>Pourquoi la réalisation pratique (c-) est équivalente à la première définition du corps noir (a-) ?</w:t>
      </w:r>
    </w:p>
    <w:p w14:paraId="22371CDB" w14:textId="1AB075E8" w:rsidR="00E410ED" w:rsidRDefault="002E7B24" w:rsidP="00A27ED0">
      <w:r>
        <w:t>La cavité décrite dans le c- est percée d’un petit trou. L’intégralité du rayonnement passant par ce trou entre dans la cavité. Les parois internes étant partiellement réfléchissante</w:t>
      </w:r>
      <w:r w:rsidR="00062CEC">
        <w:t>s</w:t>
      </w:r>
      <w:r>
        <w:t>, ce rayonnement subit de nombreuses réflexion</w:t>
      </w:r>
      <w:r w:rsidR="003878DC">
        <w:t>s</w:t>
      </w:r>
      <w:r>
        <w:t xml:space="preserve"> pour être progressivement totalement absorbé. </w:t>
      </w:r>
    </w:p>
    <w:p w14:paraId="2762D3C4" w14:textId="2736625F" w:rsidR="0066183C" w:rsidRDefault="003878DC" w:rsidP="00A27ED0">
      <w:r>
        <w:t xml:space="preserve">Le petit trou </w:t>
      </w:r>
      <w:r w:rsidR="000E3547">
        <w:t xml:space="preserve">permet aussi de pouvoir observer le rayonnement issu du corps noir. </w:t>
      </w:r>
      <w:r w:rsidR="0066183C">
        <w:t xml:space="preserve">Le trou doit être suffisamment petit pour ne pas trop perturber l’équilibre du champ électromagnétique à l’intérieur de l’enceinte dont nous allons nous intéresser dans le paragraphe qui suit. </w:t>
      </w:r>
    </w:p>
    <w:p w14:paraId="6C68AA5B" w14:textId="2E8FCF51" w:rsidR="001F11E5" w:rsidRDefault="001F11E5" w:rsidP="00A27ED0">
      <w:r>
        <w:t>Corps noir = trou</w:t>
      </w:r>
    </w:p>
    <w:p w14:paraId="14034A35" w14:textId="5026EB3D" w:rsidR="00ED7267" w:rsidRDefault="0066183C" w:rsidP="00A27ED0">
      <w:pPr>
        <w:pStyle w:val="Heading2"/>
      </w:pPr>
      <w:r>
        <w:t xml:space="preserve">Rayonnement thermique d’équilibre, modèle de </w:t>
      </w:r>
      <w:r w:rsidR="005A524E">
        <w:t>B</w:t>
      </w:r>
      <w:r>
        <w:t>ose</w:t>
      </w:r>
      <w:r w:rsidR="00B408A5">
        <w:t xml:space="preserve"> </w:t>
      </w:r>
      <w:r w:rsidR="00B408A5">
        <w:rPr>
          <w:rStyle w:val="FootnoteReference"/>
        </w:rPr>
        <w:footnoteReference w:id="1"/>
      </w:r>
    </w:p>
    <w:p w14:paraId="08E5FF6E" w14:textId="72D5FF7F" w:rsidR="00D833B8" w:rsidRPr="00D833B8" w:rsidRDefault="00147CC6" w:rsidP="00FD75E3">
      <w:pPr>
        <w:pStyle w:val="Heading4"/>
        <w:numPr>
          <w:ilvl w:val="0"/>
          <w:numId w:val="7"/>
        </w:numPr>
      </w:pPr>
      <w:r>
        <w:t>Définition du</w:t>
      </w:r>
      <w:r w:rsidR="00D833B8">
        <w:t xml:space="preserve"> Rayonnement d’équilibre thermique </w:t>
      </w:r>
    </w:p>
    <w:p w14:paraId="2E0AD6BE" w14:textId="10CF6F43" w:rsidR="008A6170" w:rsidRDefault="006F3130" w:rsidP="00A27ED0">
      <w:r w:rsidRPr="00A27ED0">
        <w:t>On considère l’enceinte percée d’un petit trou tel que décrit dans l</w:t>
      </w:r>
      <w:r w:rsidR="008A6170" w:rsidRPr="00A27ED0">
        <w:t>a partie précédente</w:t>
      </w:r>
      <w:r w:rsidRPr="00A27ED0">
        <w:t>. Chaque élément de surface de la paroi émet dans l’enceinte un rayonnement thermique et absorbe une partie du rayonnement qu</w:t>
      </w:r>
      <w:r w:rsidR="008A6170" w:rsidRPr="00A27ED0">
        <w:t>’</w:t>
      </w:r>
      <w:r w:rsidRPr="00A27ED0">
        <w:t>e</w:t>
      </w:r>
      <w:r w:rsidR="008A6170" w:rsidRPr="00A27ED0">
        <w:t>l</w:t>
      </w:r>
      <w:r w:rsidRPr="00A27ED0">
        <w:t>l</w:t>
      </w:r>
      <w:r w:rsidR="008A6170" w:rsidRPr="00A27ED0">
        <w:t>e</w:t>
      </w:r>
      <w:r w:rsidRPr="00A27ED0">
        <w:t xml:space="preserve"> reçoit</w:t>
      </w:r>
      <w:r w:rsidR="008A6170" w:rsidRPr="00A27ED0">
        <w:t>. Il s’établit un équilibre entre la paroi et le champ électromagnétique</w:t>
      </w:r>
      <w:r w:rsidR="0034567B">
        <w:t xml:space="preserve">. Etablissons plus concrètement cet équilibre. </w:t>
      </w:r>
    </w:p>
    <w:p w14:paraId="09C7228C" w14:textId="5271B4C5" w:rsidR="0034567B" w:rsidRDefault="0034567B" w:rsidP="0034567B">
      <w:r>
        <w:rPr>
          <w:noProof/>
        </w:rPr>
        <w:drawing>
          <wp:anchor distT="0" distB="0" distL="114300" distR="114300" simplePos="0" relativeHeight="251661312" behindDoc="0" locked="0" layoutInCell="1" allowOverlap="1" wp14:anchorId="2B0F5985" wp14:editId="5F4D074D">
            <wp:simplePos x="0" y="0"/>
            <wp:positionH relativeFrom="column">
              <wp:posOffset>1035685</wp:posOffset>
            </wp:positionH>
            <wp:positionV relativeFrom="paragraph">
              <wp:posOffset>187325</wp:posOffset>
            </wp:positionV>
            <wp:extent cx="4480560" cy="3200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0560" cy="3200400"/>
                    </a:xfrm>
                    <a:prstGeom prst="rect">
                      <a:avLst/>
                    </a:prstGeom>
                    <a:noFill/>
                    <a:ln>
                      <a:noFill/>
                    </a:ln>
                  </pic:spPr>
                </pic:pic>
              </a:graphicData>
            </a:graphic>
          </wp:anchor>
        </w:drawing>
      </w:r>
      <w:r w:rsidRPr="0034567B">
        <w:rPr>
          <w:b/>
          <w:bCs/>
        </w:rPr>
        <w:t>Différents types de flux</w:t>
      </w:r>
      <w:r>
        <w:rPr>
          <w:b/>
          <w:bCs/>
        </w:rPr>
        <w:t xml:space="preserve"> énergétique</w:t>
      </w:r>
      <w:r w:rsidR="00FE5DE0">
        <w:rPr>
          <w:b/>
          <w:bCs/>
        </w:rPr>
        <w:t>s</w:t>
      </w:r>
      <w:r>
        <w:rPr>
          <w:b/>
          <w:bCs/>
        </w:rPr>
        <w:t xml:space="preserve"> surfacique</w:t>
      </w:r>
      <w:r w:rsidR="00FE5DE0">
        <w:rPr>
          <w:b/>
          <w:bCs/>
        </w:rPr>
        <w:t>s</w:t>
      </w:r>
      <w:r>
        <w:rPr>
          <w:b/>
          <w:bCs/>
        </w:rPr>
        <w:t xml:space="preserve"> (</w:t>
      </w:r>
      <m:oMath>
        <m:r>
          <m:rPr>
            <m:sty m:val="bi"/>
          </m:rPr>
          <w:rPr>
            <w:rFonts w:ascii="Cambria Math" w:hAnsi="Cambria Math"/>
          </w:rPr>
          <m:t>W</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-2</m:t>
            </m:r>
          </m:sup>
        </m:sSup>
        <m:r>
          <m:rPr>
            <m:sty m:val="bi"/>
          </m:rPr>
          <w:rPr>
            <w:rFonts w:ascii="Cambria Math" w:hAnsi="Cambria Math"/>
          </w:rPr>
          <m:t>)</m:t>
        </m:r>
      </m:oMath>
      <w:r>
        <w:t xml:space="preserve"> : </w:t>
      </w:r>
    </w:p>
    <w:p w14:paraId="1A82691D" w14:textId="4538B948" w:rsidR="00FE5DE0" w:rsidRDefault="0034567B" w:rsidP="00FD75E3">
      <w:pPr>
        <w:pStyle w:val="ListParagraph"/>
        <w:numPr>
          <w:ilvl w:val="0"/>
          <w:numId w:val="12"/>
        </w:numPr>
      </w:pPr>
      <w:r>
        <w:t>Le flux incident </w:t>
      </w:r>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i</m:t>
            </m:r>
          </m:sub>
        </m:sSub>
      </m:oMath>
      <w:r>
        <w:t xml:space="preserve">: </w:t>
      </w:r>
      <w:r w:rsidR="00FE5DE0" w:rsidRPr="00FE5DE0">
        <w:t>puissance surfacique du rayonnement incident en un point considéré de la surface du corps étudié</w:t>
      </w:r>
      <w:r w:rsidR="00FE5DE0">
        <w:t xml:space="preserve">. Il s’agit du vecteur de </w:t>
      </w:r>
      <w:proofErr w:type="spellStart"/>
      <w:r w:rsidR="00FE5DE0">
        <w:t>poynting</w:t>
      </w:r>
      <w:proofErr w:type="spellEnd"/>
      <w:r w:rsidR="00FE5DE0">
        <w:t xml:space="preserve"> du rayonnement incident projeté sur l’élément de surface. </w:t>
      </w:r>
    </w:p>
    <w:p w14:paraId="2C6876C3" w14:textId="71058DB4" w:rsidR="0034567B" w:rsidRPr="00FE5DE0" w:rsidRDefault="00FE5DE0" w:rsidP="00FD75E3">
      <w:pPr>
        <w:pStyle w:val="ListParagraph"/>
        <w:numPr>
          <w:ilvl w:val="0"/>
          <w:numId w:val="12"/>
        </w:numPr>
      </w:pPr>
      <w:r>
        <w:t xml:space="preserve">Le flux renvoyé </w:t>
      </w:r>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r</m:t>
            </m:r>
          </m:sub>
        </m:sSub>
        <m:r>
          <w:rPr>
            <w:rFonts w:ascii="Cambria Math" w:hAnsi="Cambria Math"/>
          </w:rPr>
          <m:t> </m:t>
        </m:r>
      </m:oMath>
      <w:r>
        <w:rPr>
          <w:rFonts w:eastAsiaTheme="minorEastAsia"/>
        </w:rPr>
        <w:t>: Il est soit réfléchi ou diffusé.</w:t>
      </w:r>
    </w:p>
    <w:p w14:paraId="2B0B7147" w14:textId="15A94CA3" w:rsidR="00FE5DE0" w:rsidRPr="00FE5DE0" w:rsidRDefault="00FE5DE0" w:rsidP="00FD75E3">
      <w:pPr>
        <w:pStyle w:val="ListParagraph"/>
        <w:numPr>
          <w:ilvl w:val="0"/>
          <w:numId w:val="12"/>
        </w:numPr>
      </w:pPr>
      <w:r>
        <w:t xml:space="preserve">Le flux absorbé </w:t>
      </w:r>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a</m:t>
            </m:r>
          </m:sub>
        </m:sSub>
        <m:r>
          <w:rPr>
            <w:rFonts w:ascii="Cambria Math" w:hAnsi="Cambria Math"/>
          </w:rPr>
          <m:t> </m:t>
        </m:r>
      </m:oMath>
      <w:r>
        <w:rPr>
          <w:rFonts w:eastAsiaTheme="minorEastAsia"/>
        </w:rPr>
        <w:t>: C’est la frac</w:t>
      </w:r>
      <w:proofErr w:type="spellStart"/>
      <w:r>
        <w:rPr>
          <w:rFonts w:eastAsiaTheme="minorEastAsia"/>
        </w:rPr>
        <w:t>tion</w:t>
      </w:r>
      <w:proofErr w:type="spellEnd"/>
      <w:r>
        <w:rPr>
          <w:rFonts w:eastAsiaTheme="minorEastAsia"/>
        </w:rPr>
        <w:t xml:space="preserve"> d’énergie incidente convertie en énergie interne</w:t>
      </w:r>
    </w:p>
    <w:p w14:paraId="1AEDC3E3" w14:textId="6F30C833" w:rsidR="00FE5DE0" w:rsidRPr="00FE5DE0" w:rsidRDefault="00FE5DE0" w:rsidP="00FD75E3">
      <w:pPr>
        <w:pStyle w:val="ListParagraph"/>
        <w:numPr>
          <w:ilvl w:val="0"/>
          <w:numId w:val="12"/>
        </w:numPr>
      </w:pPr>
      <w:r>
        <w:lastRenderedPageBreak/>
        <w:t xml:space="preserve">Le flux émis </w:t>
      </w:r>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e</m:t>
            </m:r>
          </m:sub>
        </m:sSub>
      </m:oMath>
      <w:r>
        <w:rPr>
          <w:rFonts w:eastAsiaTheme="minorEastAsia"/>
        </w:rPr>
        <w:t xml:space="preserve"> : C’est la fraction d’énergie interne convertie en rayonnement. C’est ce qu’on appelle </w:t>
      </w:r>
      <w:r>
        <w:rPr>
          <w:rFonts w:eastAsiaTheme="minorEastAsia"/>
          <w:b/>
          <w:bCs/>
        </w:rPr>
        <w:t>rayonnement thermique</w:t>
      </w:r>
    </w:p>
    <w:p w14:paraId="3D7D362D" w14:textId="2FFDAC8B" w:rsidR="00FE5DE0" w:rsidRPr="00FE5DE0" w:rsidRDefault="00FE5DE0" w:rsidP="00FE5DE0">
      <w:r>
        <w:rPr>
          <w:b/>
          <w:bCs/>
        </w:rPr>
        <w:t>Définition du rayonnement d’équilibre thermique</w:t>
      </w:r>
    </w:p>
    <w:p w14:paraId="31D116DB" w14:textId="137DA98A" w:rsidR="00FE5DE0" w:rsidRDefault="00FE5DE0" w:rsidP="00FE5DE0">
      <w:pPr>
        <w:numPr>
          <w:ilvl w:val="0"/>
          <w:numId w:val="0"/>
        </w:numPr>
        <w:ind w:left="1068"/>
        <w:rPr>
          <w:rFonts w:eastAsiaTheme="minorEastAsia"/>
        </w:rPr>
      </w:pPr>
      <w:r>
        <w:t>Ce que l’on appelle équilibre de rayonnement thermique, c’est l’équilibre radiatif (</w:t>
      </w:r>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r</m:t>
            </m:r>
          </m:sub>
        </m:sSub>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e</m:t>
            </m:r>
          </m:sub>
        </m:sSub>
        <m:r>
          <w:rPr>
            <w:rFonts w:ascii="Cambria Math" w:hAnsi="Cambria Math"/>
          </w:rPr>
          <m:t>)</m:t>
        </m:r>
      </m:oMath>
      <w:r>
        <w:rPr>
          <w:rFonts w:eastAsiaTheme="minorEastAsia"/>
        </w:rPr>
        <w:t xml:space="preserve"> et l’équilibre thermique</w:t>
      </w:r>
      <w:r w:rsidR="00A53BB8">
        <w:rPr>
          <w:rFonts w:eastAsiaTheme="minorEastAsia"/>
        </w:rPr>
        <w:t xml:space="preserve"> (enceinte thermostatée)</w:t>
      </w:r>
      <w:r>
        <w:rPr>
          <w:rFonts w:eastAsiaTheme="minorEastAsia"/>
        </w:rPr>
        <w:t xml:space="preserve">. </w:t>
      </w:r>
    </w:p>
    <w:p w14:paraId="56DDD1C6" w14:textId="16C56D14" w:rsidR="00BB58F9" w:rsidRDefault="00BB58F9" w:rsidP="00FE5DE0">
      <w:pPr>
        <w:numPr>
          <w:ilvl w:val="0"/>
          <w:numId w:val="0"/>
        </w:numPr>
        <w:ind w:left="1068"/>
        <w:rPr>
          <w:rFonts w:eastAsiaTheme="minorEastAsia"/>
        </w:rPr>
      </w:pPr>
    </w:p>
    <w:p w14:paraId="2EF64B12" w14:textId="45ED0A79" w:rsidR="00BB58F9" w:rsidRPr="00FE5DE0" w:rsidRDefault="00BB58F9" w:rsidP="00BB58F9">
      <w:pPr>
        <w:pStyle w:val="Heading4"/>
      </w:pPr>
      <w:r>
        <w:t xml:space="preserve">Modèle de </w:t>
      </w:r>
      <w:r w:rsidR="001E119E">
        <w:t>B</w:t>
      </w:r>
      <w:r>
        <w:t>ose du rayonnement d’équilibre thermique</w:t>
      </w:r>
    </w:p>
    <w:p w14:paraId="090BC60C" w14:textId="3DEBD89B" w:rsidR="006F3130" w:rsidRDefault="00000A90" w:rsidP="00F9084E">
      <w:pPr>
        <w:numPr>
          <w:ilvl w:val="0"/>
          <w:numId w:val="0"/>
        </w:numPr>
        <w:ind w:left="708"/>
      </w:pPr>
      <w:r>
        <w:t>L</w:t>
      </w:r>
      <w:r w:rsidR="006F3130">
        <w:t xml:space="preserve">e </w:t>
      </w:r>
      <w:r w:rsidR="006F3130" w:rsidRPr="00D923D2">
        <w:rPr>
          <w:b/>
          <w:bCs/>
        </w:rPr>
        <w:t>modèle de Bose</w:t>
      </w:r>
      <w:r>
        <w:t xml:space="preserve"> du rayonnement thermique d’équilibre consiste à </w:t>
      </w:r>
      <w:r w:rsidRPr="00000A90">
        <w:rPr>
          <w:i/>
          <w:iCs/>
        </w:rPr>
        <w:t>quantifier</w:t>
      </w:r>
      <w:r>
        <w:t xml:space="preserve"> le rayonnement électromagnétique contenu dans l’enceinte comme un gaz de particules sans masse : les photons.</w:t>
      </w:r>
      <w:r w:rsidR="00C1042F">
        <w:t xml:space="preserve">  Le traitement statistique de ce gaz de photon</w:t>
      </w:r>
      <w:r w:rsidR="00D923D2">
        <w:t>s</w:t>
      </w:r>
      <w:r w:rsidR="00C1042F">
        <w:t xml:space="preserve"> </w:t>
      </w:r>
      <w:r w:rsidR="00D923D2">
        <w:t xml:space="preserve">n’est pas sans rappeler </w:t>
      </w:r>
      <w:r w:rsidR="00C1042F">
        <w:t>celui du gaz parfait</w:t>
      </w:r>
      <w:r w:rsidR="00D923D2">
        <w:t>. Il</w:t>
      </w:r>
      <w:r w:rsidR="005A1D65">
        <w:t xml:space="preserve"> nécessite tout de même de reconsidérer la statistique utilisée (c’est l’objet de la partie suivante)</w:t>
      </w:r>
    </w:p>
    <w:p w14:paraId="4D7D030A" w14:textId="08F3D037" w:rsidR="005A1D65" w:rsidRDefault="00D5240D" w:rsidP="00A27ED0">
      <w:pPr>
        <w:pStyle w:val="Heading4"/>
      </w:pPr>
      <w:r>
        <w:t>Le gaz de photon</w:t>
      </w:r>
      <w:r w:rsidR="00147CC6">
        <w:t>s</w:t>
      </w:r>
      <w:r>
        <w:t xml:space="preserve"> est décrit par la statistique de Bose-Einstein simplifiée</w:t>
      </w:r>
    </w:p>
    <w:p w14:paraId="6862FBBA" w14:textId="5F6ACA3E" w:rsidR="00D5240D" w:rsidRDefault="00D5240D" w:rsidP="00A27ED0">
      <w:r>
        <w:t>Les photons sont des bosons (spin = 1)</w:t>
      </w:r>
      <w:r w:rsidR="001735C3">
        <w:t xml:space="preserve"> sans interactions</w:t>
      </w:r>
      <w:r>
        <w:t xml:space="preserve">. On doit donc appliquer la statistique de Bose-Einstein. </w:t>
      </w:r>
    </w:p>
    <w:p w14:paraId="45D0585C" w14:textId="4FD42B40" w:rsidR="00D5240D" w:rsidRPr="00D5240D" w:rsidRDefault="00D5240D" w:rsidP="00A27ED0">
      <w:r>
        <w:t xml:space="preserve">La </w:t>
      </w:r>
      <w:r>
        <w:rPr>
          <w:b/>
          <w:bCs/>
        </w:rPr>
        <w:t>non-conservation du nombre de photons</w:t>
      </w:r>
      <w:r>
        <w:t xml:space="preserve"> dans l’enceinte permet de s’affranchir de la contrainte sur le nombre de particule</w:t>
      </w:r>
      <w:r w:rsidR="00A27ED0">
        <w:t>s nous ayant permis d’obtenir la distribution de Bose-E</w:t>
      </w:r>
      <w:r w:rsidR="002D3FBF">
        <w:t>i</w:t>
      </w:r>
      <w:r w:rsidR="00A27ED0">
        <w:t xml:space="preserve">nstein. </w:t>
      </w:r>
      <w:r>
        <w:t>(</w:t>
      </w:r>
      <w:proofErr w:type="spellStart"/>
      <w:proofErr w:type="gramStart"/>
      <w:r>
        <w:t>ie</w:t>
      </w:r>
      <w:proofErr w:type="spellEnd"/>
      <w:proofErr w:type="gramEnd"/>
      <w:r>
        <w:t xml:space="preserve"> considérer que </w:t>
      </w:r>
      <m:oMath>
        <m:r>
          <w:rPr>
            <w:rFonts w:ascii="Cambria Math" w:hAnsi="Cambria Math"/>
          </w:rPr>
          <m:t>μ=0</m:t>
        </m:r>
      </m:oMath>
      <w:r>
        <w:rPr>
          <w:rFonts w:eastAsiaTheme="minorEastAsia"/>
        </w:rPr>
        <w:t xml:space="preserve">). </w:t>
      </w:r>
    </w:p>
    <w:p w14:paraId="745786AA" w14:textId="5494A486" w:rsidR="00D5240D" w:rsidRDefault="00D5240D" w:rsidP="00A27ED0">
      <w:pPr>
        <w:pStyle w:val="ListParagraph"/>
        <w:numPr>
          <w:ilvl w:val="0"/>
          <w:numId w:val="0"/>
        </w:numPr>
        <w:ind w:left="1068"/>
      </w:pPr>
      <w:r w:rsidRPr="00BD561C">
        <w:t>On obtie</w:t>
      </w:r>
      <w:r>
        <w:t xml:space="preserve">nt donc un nombre moyen de photons dans l’état d’énergie i :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num>
          <m:den>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ϵ</m:t>
                    </m:r>
                  </m:e>
                  <m:sub>
                    <m:r>
                      <w:rPr>
                        <w:rFonts w:ascii="Cambria Math" w:hAnsi="Cambria Math"/>
                      </w:rPr>
                      <m:t>i</m:t>
                    </m:r>
                  </m:sub>
                </m:sSub>
              </m:sup>
            </m:sSup>
            <m:r>
              <w:rPr>
                <w:rFonts w:ascii="Cambria Math" w:hAnsi="Cambria Math"/>
              </w:rPr>
              <m:t>-1</m:t>
            </m:r>
          </m:den>
        </m:f>
      </m:oMath>
      <w:r>
        <w:t xml:space="preserve"> </w:t>
      </w:r>
    </w:p>
    <w:p w14:paraId="351909E4" w14:textId="02F0D20E" w:rsidR="006F3130" w:rsidRPr="006F3130" w:rsidRDefault="00D5240D" w:rsidP="00A27ED0">
      <w:r w:rsidRPr="00297919">
        <w:rPr>
          <w:b/>
          <w:bCs/>
        </w:rPr>
        <w:t xml:space="preserve">Pourquoi le nombre de photons n’est pas conservé ? </w:t>
      </w:r>
      <w:r w:rsidRPr="0096142A">
        <w:t>Car l’interaction entre le champ électromagnétique et la matière (</w:t>
      </w:r>
      <w:proofErr w:type="spellStart"/>
      <w:r w:rsidRPr="0096142A">
        <w:t>ie</w:t>
      </w:r>
      <w:proofErr w:type="spellEnd"/>
      <w:r w:rsidRPr="0096142A">
        <w:t xml:space="preserve"> la paroi) se fait par absorption ou émission de photons de sorte que le nombre total n’est pas constant. Cela n’a rien à voir avec un système </w:t>
      </w:r>
      <w:r>
        <w:t>{</w:t>
      </w:r>
      <w:r w:rsidRPr="0096142A">
        <w:t>gaz</w:t>
      </w:r>
      <w:r>
        <w:t>}</w:t>
      </w:r>
      <w:r w:rsidRPr="0096142A">
        <w:t xml:space="preserve"> </w:t>
      </w:r>
      <w:r>
        <w:t>en contact d’un</w:t>
      </w:r>
      <w:r w:rsidRPr="0096142A">
        <w:t xml:space="preserve"> réservoir de </w:t>
      </w:r>
      <w:r>
        <w:t xml:space="preserve">particules. </w:t>
      </w:r>
      <w:r w:rsidR="00F02FA9">
        <w:t>D</w:t>
      </w:r>
      <w:r>
        <w:t xml:space="preserve">es photons disparaissent </w:t>
      </w:r>
      <w:r w:rsidR="00F02FA9">
        <w:t>d’autres</w:t>
      </w:r>
      <w:r>
        <w:t xml:space="preserve"> sont créés ! </w:t>
      </w:r>
    </w:p>
    <w:p w14:paraId="175AADC6" w14:textId="7D823A44" w:rsidR="00A27ED0" w:rsidRPr="00195422" w:rsidRDefault="00A27ED0" w:rsidP="00FD75E3">
      <w:pPr>
        <w:pStyle w:val="ListParagraph"/>
        <w:numPr>
          <w:ilvl w:val="0"/>
          <w:numId w:val="3"/>
        </w:numPr>
      </w:pPr>
      <w:r w:rsidRPr="00BD561C">
        <w:rPr>
          <w:b/>
          <w:bCs/>
        </w:rPr>
        <w:t>Expression de la dégénérescence</w:t>
      </w:r>
      <w:r>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oMath>
      <w:r>
        <w:t xml:space="preserve"> Les niveaux d’énergie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t xml:space="preserve"> des photons dans une boite (ie l’enceinte) sont quantifiés. On admet que les niveaux d’énergie sont suffisamment proches pour considérer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t xml:space="preserve"> comme une variable continue liée à la quantité de mouvement </w:t>
      </w:r>
      <m:oMath>
        <m:r>
          <w:rPr>
            <w:rFonts w:ascii="Cambria Math" w:hAnsi="Cambria Math"/>
          </w:rPr>
          <m:t>ϵ=cp</m:t>
        </m:r>
      </m:oMath>
      <w:r>
        <w:t xml:space="preserve"> </w:t>
      </w:r>
    </w:p>
    <w:p w14:paraId="0CC941B3" w14:textId="0A8AE2F0" w:rsidR="00A27ED0" w:rsidRPr="00195422" w:rsidRDefault="00A27ED0" w:rsidP="00A27ED0">
      <w:pPr>
        <w:pStyle w:val="ListParagraph"/>
        <w:numPr>
          <w:ilvl w:val="0"/>
          <w:numId w:val="0"/>
        </w:numPr>
        <w:ind w:left="1068"/>
        <w:rPr>
          <w:rFonts w:eastAsiaTheme="minorEastAsia"/>
        </w:rPr>
      </w:pPr>
      <w:r>
        <w:t>De plus, on rappelle qu</w:t>
      </w:r>
      <w:r w:rsidR="009D71E6">
        <w:t xml:space="preserve">e chaque </w:t>
      </w:r>
      <w:r>
        <w:t>état quantique occupe dans l’espace des phase</w:t>
      </w:r>
      <w:r w:rsidR="009D71E6">
        <w:t>s</w:t>
      </w:r>
      <w:r>
        <w:t xml:space="preserve"> une extension </w:t>
      </w:r>
      <m:oMath>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 xml:space="preserve">. </m:t>
        </m:r>
      </m:oMath>
    </w:p>
    <w:p w14:paraId="1FEA2F6B" w14:textId="77777777" w:rsidR="00A27ED0" w:rsidRDefault="00A27ED0" w:rsidP="00A27ED0">
      <w:pPr>
        <w:pStyle w:val="ListParagraph"/>
        <w:numPr>
          <w:ilvl w:val="0"/>
          <w:numId w:val="0"/>
        </w:numPr>
        <w:ind w:left="1068"/>
      </w:pPr>
      <w:r>
        <w:t xml:space="preserve">Ainsi, </w:t>
      </w:r>
    </w:p>
    <w:p w14:paraId="7629E8F8" w14:textId="77777777" w:rsidR="00A27ED0" w:rsidRDefault="00A27ED0" w:rsidP="00A27ED0">
      <w:pPr>
        <w:pStyle w:val="ListParagraph"/>
        <w:numPr>
          <w:ilvl w:val="0"/>
          <w:numId w:val="0"/>
        </w:numPr>
        <w:ind w:left="1068"/>
      </w:pPr>
      <w:r>
        <w:tab/>
      </w:r>
      <m:oMath>
        <m:r>
          <w:rPr>
            <w:rFonts w:ascii="Cambria Math" w:hAnsi="Cambria Math"/>
          </w:rPr>
          <m:t>d</m:t>
        </m:r>
        <m:sSub>
          <m:sSubPr>
            <m:ctrlPr>
              <w:rPr>
                <w:rFonts w:ascii="Cambria Math" w:hAnsi="Cambria Math"/>
              </w:rPr>
            </m:ctrlPr>
          </m:sSubPr>
          <m:e>
            <m:r>
              <w:rPr>
                <w:rFonts w:ascii="Cambria Math" w:hAnsi="Cambria Math"/>
              </w:rPr>
              <m:t>N</m:t>
            </m:r>
          </m:e>
          <m:sub>
            <m:r>
              <m:rPr>
                <m:sty m:val="bi"/>
              </m:rPr>
              <w:rPr>
                <w:rFonts w:ascii="Cambria Math" w:hAnsi="Cambria Math"/>
              </w:rPr>
              <m:t>r</m:t>
            </m:r>
            <m:r>
              <m:rPr>
                <m:sty m:val="b"/>
              </m:rPr>
              <w:rPr>
                <w:rFonts w:ascii="Cambria Math" w:hAnsi="Cambria Math"/>
              </w:rPr>
              <m:t>,</m:t>
            </m:r>
            <m:r>
              <m:rPr>
                <m:sty m:val="bi"/>
              </m:rPr>
              <w:rPr>
                <w:rFonts w:ascii="Cambria Math" w:hAnsi="Cambria Math"/>
              </w:rPr>
              <m:t>p</m:t>
            </m:r>
          </m:sub>
        </m:sSub>
        <m:r>
          <m:rPr>
            <m:sty m:val="p"/>
          </m:rPr>
          <w:rPr>
            <w:rFonts w:ascii="Cambria Math" w:hAnsi="Cambria Math"/>
          </w:rPr>
          <m:t>=2</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3</m:t>
                </m:r>
              </m:sup>
            </m:sSup>
            <m:r>
              <m:rPr>
                <m:sty m:val="bi"/>
              </m:rPr>
              <w:rPr>
                <w:rFonts w:ascii="Cambria Math" w:hAnsi="Cambria Math"/>
              </w:rPr>
              <m:t>r</m:t>
            </m:r>
            <m:sSup>
              <m:sSupPr>
                <m:ctrlPr>
                  <w:rPr>
                    <w:rFonts w:ascii="Cambria Math" w:hAnsi="Cambria Math"/>
                  </w:rPr>
                </m:ctrlPr>
              </m:sSupPr>
              <m:e>
                <m:r>
                  <w:rPr>
                    <w:rFonts w:ascii="Cambria Math" w:hAnsi="Cambria Math"/>
                  </w:rPr>
                  <m:t>d</m:t>
                </m:r>
              </m:e>
              <m:sup>
                <m:r>
                  <m:rPr>
                    <m:sty m:val="p"/>
                  </m:rPr>
                  <w:rPr>
                    <w:rFonts w:ascii="Cambria Math" w:hAnsi="Cambria Math"/>
                  </w:rPr>
                  <m:t>3</m:t>
                </m:r>
              </m:sup>
            </m:sSup>
            <m:r>
              <m:rPr>
                <m:sty m:val="bi"/>
              </m:rPr>
              <w:rPr>
                <w:rFonts w:ascii="Cambria Math" w:hAnsi="Cambria Math"/>
              </w:rPr>
              <m:t>p</m:t>
            </m:r>
          </m:num>
          <m:den>
            <m:sSup>
              <m:sSupPr>
                <m:ctrlPr>
                  <w:rPr>
                    <w:rFonts w:ascii="Cambria Math" w:hAnsi="Cambria Math"/>
                  </w:rPr>
                </m:ctrlPr>
              </m:sSupPr>
              <m:e>
                <m:r>
                  <w:rPr>
                    <w:rFonts w:ascii="Cambria Math" w:hAnsi="Cambria Math"/>
                  </w:rPr>
                  <m:t>h</m:t>
                </m:r>
              </m:e>
              <m:sup>
                <m:r>
                  <m:rPr>
                    <m:sty m:val="p"/>
                  </m:rPr>
                  <w:rPr>
                    <w:rFonts w:ascii="Cambria Math" w:hAnsi="Cambria Math"/>
                  </w:rPr>
                  <m:t>3</m:t>
                </m:r>
              </m:sup>
            </m:sSup>
          </m:den>
        </m:f>
        <m:f>
          <m:fPr>
            <m:ctrlPr>
              <w:rPr>
                <w:rFonts w:ascii="Cambria Math" w:eastAsiaTheme="minorEastAsia" w:hAnsi="Cambria Math"/>
              </w:rPr>
            </m:ctrlPr>
          </m:fPr>
          <m:num>
            <m:r>
              <m:rPr>
                <m:sty m:val="p"/>
              </m:rPr>
              <w:rPr>
                <w:rFonts w:ascii="Cambria Math" w:eastAsiaTheme="minorEastAsia" w:hAnsi="Cambria Math"/>
              </w:rPr>
              <m:t>1</m:t>
            </m:r>
          </m:num>
          <m:den>
            <m:sSup>
              <m:sSupPr>
                <m:ctrlPr>
                  <w:rPr>
                    <w:rFonts w:ascii="Cambria Math" w:eastAsiaTheme="minorEastAsia" w:hAnsi="Cambria Math"/>
                  </w:rPr>
                </m:ctrlPr>
              </m:sSupPr>
              <m:e>
                <m:r>
                  <w:rPr>
                    <w:rFonts w:ascii="Cambria Math" w:eastAsiaTheme="minorEastAsia" w:hAnsi="Cambria Math"/>
                  </w:rPr>
                  <m:t>e</m:t>
                </m:r>
              </m:e>
              <m:sup>
                <m:r>
                  <w:rPr>
                    <w:rFonts w:ascii="Cambria Math" w:eastAsiaTheme="minorEastAsia" w:hAnsi="Cambria Math"/>
                  </w:rPr>
                  <m:t>βϵ</m:t>
                </m:r>
              </m:sup>
            </m:sSup>
            <m:r>
              <m:rPr>
                <m:sty m:val="p"/>
              </m:rPr>
              <w:rPr>
                <w:rFonts w:ascii="Cambria Math" w:eastAsiaTheme="minorEastAsia" w:hAnsi="Cambria Math"/>
              </w:rPr>
              <m:t>-1</m:t>
            </m:r>
          </m:den>
        </m:f>
      </m:oMath>
      <w:r>
        <w:t xml:space="preserve"> </w:t>
      </w:r>
    </w:p>
    <w:p w14:paraId="40DB6EC6" w14:textId="60B02F4F" w:rsidR="00A27ED0" w:rsidRDefault="00A27ED0" w:rsidP="00A27ED0">
      <w:pPr>
        <w:pStyle w:val="ListParagraph"/>
        <w:numPr>
          <w:ilvl w:val="0"/>
          <w:numId w:val="0"/>
        </w:numPr>
        <w:ind w:left="1068"/>
      </w:pPr>
      <w:r>
        <w:t xml:space="preserve">Le facteur 2 provient de la dégénérescence de spin du photon. Attention ! Particule de Spin 1 mais dégénérescence de 2 car 2 états de polarisation circulaire. La polarisation longitudinale n’existe pas en raison de la transversalité de l’onde électromagnétique.  </w:t>
      </w:r>
    </w:p>
    <w:p w14:paraId="3D35855C" w14:textId="77777777" w:rsidR="00A27ED0" w:rsidRPr="00BD561C" w:rsidRDefault="00A27ED0" w:rsidP="00A27ED0">
      <w:pPr>
        <w:pStyle w:val="ListParagraph"/>
        <w:numPr>
          <w:ilvl w:val="0"/>
          <w:numId w:val="0"/>
        </w:numPr>
        <w:ind w:left="720"/>
      </w:pPr>
    </w:p>
    <w:p w14:paraId="4949F5AF" w14:textId="5B9F0BEF" w:rsidR="00A27ED0" w:rsidRDefault="00A27ED0" w:rsidP="00A27ED0">
      <w:pPr>
        <w:pStyle w:val="ListParagraph"/>
        <w:numPr>
          <w:ilvl w:val="0"/>
          <w:numId w:val="0"/>
        </w:numPr>
        <w:ind w:left="720"/>
      </w:pPr>
      <w:r w:rsidRPr="00430E11">
        <w:rPr>
          <w:b/>
          <w:bCs/>
        </w:rPr>
        <w:t>Transition</w:t>
      </w:r>
      <w:r>
        <w:t xml:space="preserve"> : Le modèle et la distribution ayant été posé, il est possible </w:t>
      </w:r>
      <w:r w:rsidR="00801F2C">
        <w:t xml:space="preserve">d’étudier le spectre d’émission du corps noir. </w:t>
      </w:r>
      <w:r>
        <w:t xml:space="preserve"> </w:t>
      </w:r>
    </w:p>
    <w:p w14:paraId="633F04E7" w14:textId="7F2FA088" w:rsidR="00ED7267" w:rsidRDefault="005A5B44" w:rsidP="00A27ED0">
      <w:pPr>
        <w:pStyle w:val="Heading1"/>
      </w:pPr>
      <w:r>
        <w:lastRenderedPageBreak/>
        <w:t>Etude</w:t>
      </w:r>
      <w:r w:rsidR="00333D0D">
        <w:t xml:space="preserve"> du rayonnement </w:t>
      </w:r>
      <w:r w:rsidR="00790C3A">
        <w:t>du corps noir</w:t>
      </w:r>
      <w:r w:rsidR="00333D0D">
        <w:t xml:space="preserve"> : Loi de Planck, Wien, Stefan </w:t>
      </w:r>
    </w:p>
    <w:p w14:paraId="7E7915EF" w14:textId="473EA59A" w:rsidR="00333D0D" w:rsidRDefault="00333D0D" w:rsidP="00FD75E3">
      <w:pPr>
        <w:pStyle w:val="Heading2"/>
        <w:numPr>
          <w:ilvl w:val="0"/>
          <w:numId w:val="8"/>
        </w:numPr>
      </w:pPr>
      <w:r>
        <w:t>Loi de Planck</w:t>
      </w:r>
      <w:r w:rsidR="00D32B49">
        <w:rPr>
          <w:rStyle w:val="FootnoteReference"/>
        </w:rPr>
        <w:footnoteReference w:id="2"/>
      </w:r>
    </w:p>
    <w:p w14:paraId="55A939B0" w14:textId="6FEC3CE3" w:rsidR="00430E11" w:rsidRDefault="009E641C" w:rsidP="00FD75E3">
      <w:pPr>
        <w:pStyle w:val="ListParagraph"/>
        <w:numPr>
          <w:ilvl w:val="0"/>
          <w:numId w:val="3"/>
        </w:numPr>
      </w:pPr>
      <w:r w:rsidRPr="009E641C">
        <w:rPr>
          <w:b/>
          <w:bCs/>
        </w:rPr>
        <w:t>L’établissement de la loi de Planck</w:t>
      </w:r>
      <w:r>
        <w:t xml:space="preserve"> peut être présenté rapidement sur transparent. (La démonstration est très bien détaillée dans le Couture et </w:t>
      </w:r>
      <w:proofErr w:type="spellStart"/>
      <w:r>
        <w:t>Zitoun</w:t>
      </w:r>
      <w:proofErr w:type="spellEnd"/>
      <w:r>
        <w:t xml:space="preserve"> p199</w:t>
      </w:r>
      <w:r w:rsidR="00501C46">
        <w:t> §</w:t>
      </w:r>
      <w:r>
        <w:t>7.3.1</w:t>
      </w:r>
      <w:r w:rsidR="00EB4136">
        <w:t>)</w:t>
      </w:r>
    </w:p>
    <w:p w14:paraId="60B3CF74" w14:textId="0FC9CA58" w:rsidR="00814C51" w:rsidRPr="00C92763" w:rsidRDefault="00200B28" w:rsidP="00A27ED0">
      <w:pPr>
        <w:pStyle w:val="ListParagraph"/>
        <w:numPr>
          <w:ilvl w:val="0"/>
          <w:numId w:val="0"/>
        </w:numPr>
        <w:ind w:left="720"/>
      </w:pPr>
      <m:oMathPara>
        <m:oMath>
          <m:sSub>
            <m:sSubPr>
              <m:ctrlPr>
                <w:rPr>
                  <w:rFonts w:ascii="Cambria Math" w:hAnsi="Cambria Math"/>
                </w:rPr>
              </m:ctrlPr>
            </m:sSubPr>
            <m:e>
              <m:r>
                <w:rPr>
                  <w:rFonts w:ascii="Cambria Math" w:hAnsi="Cambria Math"/>
                </w:rPr>
                <m:t>u</m:t>
              </m:r>
            </m:e>
            <m:sub>
              <m:r>
                <w:rPr>
                  <w:rFonts w:ascii="Cambria Math" w:hAnsi="Cambria Math"/>
                </w:rPr>
                <m:t>ν</m:t>
              </m:r>
            </m:sub>
          </m:sSub>
          <m:r>
            <m:rPr>
              <m:sty m:val="p"/>
            </m:rPr>
            <w:rPr>
              <w:rFonts w:ascii="Cambria Math" w:hAnsi="Cambria Math"/>
            </w:rPr>
            <m:t>=</m:t>
          </m:r>
          <m:f>
            <m:fPr>
              <m:ctrlPr>
                <w:rPr>
                  <w:rFonts w:ascii="Cambria Math" w:hAnsi="Cambria Math"/>
                </w:rPr>
              </m:ctrlPr>
            </m:fPr>
            <m:num>
              <m:r>
                <m:rPr>
                  <m:sty m:val="p"/>
                </m:rPr>
                <w:rPr>
                  <w:rFonts w:ascii="Cambria Math" w:hAnsi="Cambria Math"/>
                </w:rPr>
                <m:t>8</m:t>
              </m:r>
              <m:r>
                <w:rPr>
                  <w:rFonts w:ascii="Cambria Math" w:hAnsi="Cambria Math"/>
                </w:rPr>
                <m:t>πh</m:t>
              </m:r>
            </m:num>
            <m:den>
              <m:sSup>
                <m:sSupPr>
                  <m:ctrlPr>
                    <w:rPr>
                      <w:rFonts w:ascii="Cambria Math" w:hAnsi="Cambria Math"/>
                    </w:rPr>
                  </m:ctrlPr>
                </m:sSupPr>
                <m:e>
                  <m:r>
                    <w:rPr>
                      <w:rFonts w:ascii="Cambria Math" w:hAnsi="Cambria Math"/>
                    </w:rPr>
                    <m:t>c</m:t>
                  </m:r>
                </m:e>
                <m:sup>
                  <m:r>
                    <m:rPr>
                      <m:sty m:val="p"/>
                    </m:rPr>
                    <w:rPr>
                      <w:rFonts w:ascii="Cambria Math" w:hAnsi="Cambria Math"/>
                    </w:rPr>
                    <m:t>3</m:t>
                  </m:r>
                </m:sup>
              </m:sSup>
            </m:den>
          </m:f>
          <m:f>
            <m:fPr>
              <m:ctrlPr>
                <w:rPr>
                  <w:rFonts w:ascii="Cambria Math" w:hAnsi="Cambria Math"/>
                </w:rPr>
              </m:ctrlPr>
            </m:fPr>
            <m:num>
              <m:sSup>
                <m:sSupPr>
                  <m:ctrlPr>
                    <w:rPr>
                      <w:rFonts w:ascii="Cambria Math" w:hAnsi="Cambria Math"/>
                    </w:rPr>
                  </m:ctrlPr>
                </m:sSupPr>
                <m:e>
                  <m:r>
                    <w:rPr>
                      <w:rFonts w:ascii="Cambria Math" w:hAnsi="Cambria Math"/>
                    </w:rPr>
                    <m:t>ν</m:t>
                  </m:r>
                </m:e>
                <m:sup>
                  <m:r>
                    <m:rPr>
                      <m:sty m:val="p"/>
                    </m:rPr>
                    <w:rPr>
                      <w:rFonts w:ascii="Cambria Math" w:hAnsi="Cambria Math"/>
                    </w:rPr>
                    <m:t>3</m:t>
                  </m:r>
                </m:sup>
              </m:sSup>
            </m:num>
            <m:den>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hν</m:t>
                      </m:r>
                    </m:num>
                    <m:den>
                      <m:r>
                        <w:rPr>
                          <w:rFonts w:ascii="Cambria Math" w:hAnsi="Cambria Math"/>
                        </w:rPr>
                        <m:t>kT</m:t>
                      </m:r>
                    </m:den>
                  </m:f>
                </m:sup>
              </m:sSup>
              <m:r>
                <m:rPr>
                  <m:sty m:val="p"/>
                </m:rPr>
                <w:rPr>
                  <w:rFonts w:ascii="Cambria Math" w:hAnsi="Cambria Math"/>
                </w:rPr>
                <m:t>-1</m:t>
              </m:r>
            </m:den>
          </m:f>
          <m:r>
            <m:rPr>
              <m:sty m:val="p"/>
            </m:rPr>
            <w:rPr>
              <w:rFonts w:ascii="Cambria Math" w:hAnsi="Cambria Math"/>
            </w:rPr>
            <m:t xml:space="preserve"> </m:t>
          </m:r>
        </m:oMath>
      </m:oMathPara>
    </w:p>
    <w:p w14:paraId="4B645CD2" w14:textId="6A250140" w:rsidR="00C92763" w:rsidRDefault="00C92763" w:rsidP="00A27ED0">
      <w:pPr>
        <w:pStyle w:val="ListParagraph"/>
        <w:numPr>
          <w:ilvl w:val="0"/>
          <w:numId w:val="0"/>
        </w:numPr>
        <w:ind w:left="720"/>
      </w:pPr>
      <m:oMath>
        <m:r>
          <m:rPr>
            <m:lit/>
          </m:rP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ν</m:t>
            </m:r>
          </m:sub>
        </m:sSub>
      </m:oMath>
      <w:r>
        <w:t xml:space="preserve"> </w:t>
      </w:r>
      <w:proofErr w:type="gramStart"/>
      <w:r>
        <w:t>est</w:t>
      </w:r>
      <w:proofErr w:type="gramEnd"/>
      <w:r>
        <w:t xml:space="preserve"> la densité volumique d’énergie du rayonnement d’équilibre. (</w:t>
      </w:r>
      <w:proofErr w:type="gramStart"/>
      <w:r>
        <w:t>unité</w:t>
      </w:r>
      <w:proofErr w:type="gramEnd"/>
      <w:r>
        <w:t xml:space="preserve"> : </w:t>
      </w:r>
      <m:oMath>
        <m:r>
          <w:rPr>
            <w:rFonts w:ascii="Cambria Math" w:hAnsi="Cambria Math"/>
          </w:rPr>
          <m:t>J</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s)</m:t>
        </m:r>
      </m:oMath>
    </w:p>
    <w:p w14:paraId="28ADD608" w14:textId="1D7DEF38" w:rsidR="000F3E94" w:rsidRDefault="000F3E94" w:rsidP="00A27ED0">
      <w:pPr>
        <w:pStyle w:val="ListParagraph"/>
        <w:numPr>
          <w:ilvl w:val="0"/>
          <w:numId w:val="0"/>
        </w:numPr>
        <w:ind w:left="720"/>
      </w:pPr>
      <w:r>
        <w:t>On peut aussi écrire la densité spectrale en longueur d’onde d’énergie volumique</w:t>
      </w:r>
      <w:r>
        <w:rPr>
          <w:rStyle w:val="FootnoteReference"/>
          <w:rFonts w:eastAsiaTheme="minorEastAsia"/>
        </w:rPr>
        <w:footnoteReference w:id="3"/>
      </w:r>
      <w:r>
        <w:t xml:space="preserve"> :  </w:t>
      </w:r>
    </w:p>
    <w:p w14:paraId="11676042" w14:textId="19FD1792" w:rsidR="000F3E94" w:rsidRPr="00F01C26" w:rsidRDefault="00200B28" w:rsidP="00A27ED0">
      <w:pPr>
        <w:pStyle w:val="ListParagraph"/>
        <w:numPr>
          <w:ilvl w:val="0"/>
          <w:numId w:val="0"/>
        </w:numPr>
        <w:ind w:left="720"/>
      </w:pPr>
      <m:oMathPara>
        <m:oMath>
          <m:sSub>
            <m:sSubPr>
              <m:ctrlPr>
                <w:rPr>
                  <w:rFonts w:ascii="Cambria Math" w:hAnsi="Cambria Math"/>
                </w:rPr>
              </m:ctrlPr>
            </m:sSubPr>
            <m:e>
              <m:r>
                <w:rPr>
                  <w:rFonts w:ascii="Cambria Math" w:hAnsi="Cambria Math"/>
                </w:rPr>
                <m:t>u</m:t>
              </m:r>
            </m:e>
            <m:sub>
              <m:r>
                <w:rPr>
                  <w:rFonts w:ascii="Cambria Math" w:hAnsi="Cambria Math"/>
                </w:rPr>
                <m:t>λ</m:t>
              </m:r>
            </m:sub>
          </m:sSub>
          <m:r>
            <m:rPr>
              <m:sty m:val="p"/>
            </m:rPr>
            <w:rPr>
              <w:rFonts w:ascii="Cambria Math" w:hAnsi="Cambria Math"/>
            </w:rPr>
            <m:t>=</m:t>
          </m:r>
          <m:f>
            <m:fPr>
              <m:ctrlPr>
                <w:rPr>
                  <w:rFonts w:ascii="Cambria Math" w:hAnsi="Cambria Math"/>
                </w:rPr>
              </m:ctrlPr>
            </m:fPr>
            <m:num>
              <m:r>
                <m:rPr>
                  <m:sty m:val="p"/>
                </m:rPr>
                <w:rPr>
                  <w:rFonts w:ascii="Cambria Math" w:hAnsi="Cambria Math"/>
                </w:rPr>
                <m:t>8</m:t>
              </m:r>
              <m:r>
                <w:rPr>
                  <w:rFonts w:ascii="Cambria Math" w:hAnsi="Cambria Math"/>
                </w:rPr>
                <m:t>πhc</m:t>
              </m:r>
            </m:num>
            <m:den>
              <m:sSup>
                <m:sSupPr>
                  <m:ctrlPr>
                    <w:rPr>
                      <w:rFonts w:ascii="Cambria Math" w:hAnsi="Cambria Math"/>
                    </w:rPr>
                  </m:ctrlPr>
                </m:sSupPr>
                <m:e>
                  <m:r>
                    <w:rPr>
                      <w:rFonts w:ascii="Cambria Math" w:hAnsi="Cambria Math"/>
                    </w:rPr>
                    <m:t>λ</m:t>
                  </m:r>
                </m:e>
                <m:sup>
                  <m:r>
                    <m:rPr>
                      <m:sty m:val="p"/>
                    </m:rPr>
                    <w:rPr>
                      <w:rFonts w:ascii="Cambria Math" w:hAnsi="Cambria Math"/>
                    </w:rPr>
                    <m:t>5</m:t>
                  </m:r>
                </m:sup>
              </m:sSup>
            </m:den>
          </m:f>
          <m:f>
            <m:fPr>
              <m:ctrlPr>
                <w:rPr>
                  <w:rFonts w:ascii="Cambria Math" w:hAnsi="Cambria Math"/>
                </w:rPr>
              </m:ctrlPr>
            </m:fPr>
            <m:num>
              <m:r>
                <m:rPr>
                  <m:sty m:val="p"/>
                </m:rPr>
                <w:rPr>
                  <w:rFonts w:ascii="Cambria Math" w:hAnsi="Cambria Math"/>
                </w:rPr>
                <m:t>1</m:t>
              </m:r>
            </m:num>
            <m:den>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r>
                            <w:rPr>
                              <w:rFonts w:ascii="Cambria Math" w:hAnsi="Cambria Math"/>
                            </w:rPr>
                            <m:t>hc</m:t>
                          </m:r>
                        </m:num>
                        <m:den>
                          <m:r>
                            <w:rPr>
                              <w:rFonts w:ascii="Cambria Math" w:hAnsi="Cambria Math"/>
                            </w:rPr>
                            <m:t>λkT</m:t>
                          </m:r>
                        </m:den>
                      </m:f>
                    </m:e>
                  </m:d>
                </m:e>
              </m:func>
              <m:r>
                <m:rPr>
                  <m:sty m:val="p"/>
                </m:rPr>
                <w:rPr>
                  <w:rFonts w:ascii="Cambria Math" w:hAnsi="Cambria Math"/>
                </w:rPr>
                <m:t>-1</m:t>
              </m:r>
            </m:den>
          </m:f>
        </m:oMath>
      </m:oMathPara>
    </w:p>
    <w:p w14:paraId="0FA4E073" w14:textId="77777777" w:rsidR="00F01C26" w:rsidRDefault="00F01C26" w:rsidP="00FD75E3">
      <w:pPr>
        <w:pStyle w:val="ListParagraph"/>
        <w:numPr>
          <w:ilvl w:val="0"/>
          <w:numId w:val="3"/>
        </w:numPr>
      </w:pPr>
      <w:r>
        <w:t xml:space="preserve">La loi de Planck (établie en 1900) a unifié deux lois : </w:t>
      </w:r>
    </w:p>
    <w:p w14:paraId="1CBEB98F" w14:textId="7F8C2BE1" w:rsidR="00F01C26" w:rsidRPr="00B0146C" w:rsidRDefault="00645613" w:rsidP="00FD75E3">
      <w:pPr>
        <w:pStyle w:val="ListParagraph"/>
        <w:numPr>
          <w:ilvl w:val="0"/>
          <w:numId w:val="4"/>
        </w:numPr>
      </w:pPr>
      <w:r>
        <w:t>L</w:t>
      </w:r>
      <w:r w:rsidR="00F01C26">
        <w:t xml:space="preserve">a loi de Rayleigh-Jeans (1900) : </w:t>
      </w:r>
      <m:oMath>
        <m:sSub>
          <m:sSubPr>
            <m:ctrlPr>
              <w:rPr>
                <w:rFonts w:ascii="Cambria Math" w:hAnsi="Cambria Math"/>
                <w:i/>
              </w:rPr>
            </m:ctrlPr>
          </m:sSubPr>
          <m:e>
            <m:r>
              <w:rPr>
                <w:rFonts w:ascii="Cambria Math" w:hAnsi="Cambria Math"/>
              </w:rPr>
              <m:t>u</m:t>
            </m:r>
          </m:e>
          <m:sub>
            <m:r>
              <w:rPr>
                <w:rFonts w:ascii="Cambria Math" w:hAnsi="Cambria Math"/>
              </w:rPr>
              <m:t>ν</m:t>
            </m:r>
          </m:sub>
        </m:sSub>
        <m:r>
          <w:rPr>
            <w:rFonts w:ascii="Cambria Math" w:hAnsi="Cambria Math"/>
          </w:rPr>
          <m:t>=</m:t>
        </m:r>
        <m:f>
          <m:fPr>
            <m:ctrlPr>
              <w:rPr>
                <w:rFonts w:ascii="Cambria Math" w:hAnsi="Cambria Math"/>
              </w:rPr>
            </m:ctrlPr>
          </m:fPr>
          <m:num>
            <m:r>
              <m:rPr>
                <m:sty m:val="p"/>
              </m:rPr>
              <w:rPr>
                <w:rFonts w:ascii="Cambria Math" w:hAnsi="Cambria Math"/>
              </w:rPr>
              <m:t>8πkT</m:t>
            </m:r>
          </m:num>
          <m:den>
            <m:sSup>
              <m:sSupPr>
                <m:ctrlPr>
                  <w:rPr>
                    <w:rFonts w:ascii="Cambria Math" w:hAnsi="Cambria Math"/>
                    <w:i/>
                  </w:rPr>
                </m:ctrlPr>
              </m:sSupPr>
              <m:e>
                <m:r>
                  <w:rPr>
                    <w:rFonts w:ascii="Cambria Math" w:hAnsi="Cambria Math"/>
                  </w:rPr>
                  <m:t>c</m:t>
                </m:r>
              </m:e>
              <m:sup>
                <m:r>
                  <w:rPr>
                    <w:rFonts w:ascii="Cambria Math" w:hAnsi="Cambria Math"/>
                  </w:rPr>
                  <m:t>3</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oMath>
      <w:r w:rsidR="00B0146C">
        <w:t xml:space="preserve"> Valable pour les </w:t>
      </w:r>
      <w:r w:rsidR="00B0146C" w:rsidRPr="00351AB2">
        <w:rPr>
          <w:b/>
          <w:bCs/>
          <w:color w:val="FF0000"/>
        </w:rPr>
        <w:t>hautes fréquences</w:t>
      </w:r>
      <w:r w:rsidR="00B0146C" w:rsidRPr="00351AB2">
        <w:rPr>
          <w:color w:val="FF0000"/>
        </w:rPr>
        <w:t xml:space="preserve"> </w:t>
      </w:r>
      <w:r w:rsidR="00B0146C">
        <w:t>(</w:t>
      </w:r>
      <w:proofErr w:type="spellStart"/>
      <w:r w:rsidR="00B0146C">
        <w:t>ie</w:t>
      </w:r>
      <w:proofErr w:type="spellEnd"/>
      <w:r w:rsidR="00B0146C">
        <w:t xml:space="preserve"> faible longueur d’onde)</w:t>
      </w:r>
      <w:r w:rsidR="00F01C26">
        <w:t xml:space="preserve"> (Historiquement : Catastrophe Ultraviolette</w:t>
      </w:r>
      <w:r w:rsidR="00B0146C">
        <w:t xml:space="preserve"> et un des deux nuages de Lord Kelvin</w:t>
      </w:r>
      <w:r w:rsidR="00F01C26">
        <w:t xml:space="preserve">) </w:t>
      </w:r>
    </w:p>
    <w:p w14:paraId="65D3FF1A" w14:textId="03F89978" w:rsidR="00B0146C" w:rsidRPr="00C92763" w:rsidRDefault="00B0146C" w:rsidP="00FD75E3">
      <w:pPr>
        <w:pStyle w:val="ListParagraph"/>
        <w:numPr>
          <w:ilvl w:val="0"/>
          <w:numId w:val="4"/>
        </w:numPr>
      </w:pPr>
      <w:r>
        <w:t>La loi de Wien</w:t>
      </w:r>
      <w:r w:rsidR="00FC3D7A">
        <w:rPr>
          <w:rStyle w:val="FootnoteReference"/>
          <w:rFonts w:eastAsiaTheme="minorEastAsia"/>
        </w:rPr>
        <w:footnoteReference w:id="4"/>
      </w:r>
      <w:r>
        <w:t xml:space="preserve"> (1896) : </w:t>
      </w:r>
      <m:oMath>
        <m:sSub>
          <m:sSubPr>
            <m:ctrlPr>
              <w:rPr>
                <w:rFonts w:ascii="Cambria Math" w:hAnsi="Cambria Math"/>
                <w:i/>
              </w:rPr>
            </m:ctrlPr>
          </m:sSubPr>
          <m:e>
            <m:r>
              <w:rPr>
                <w:rFonts w:ascii="Cambria Math" w:hAnsi="Cambria Math"/>
              </w:rPr>
              <m:t>u</m:t>
            </m:r>
          </m:e>
          <m:sub>
            <m:r>
              <w:rPr>
                <w:rFonts w:ascii="Cambria Math" w:hAnsi="Cambria Math"/>
              </w:rPr>
              <m:t>ν</m:t>
            </m:r>
          </m:sub>
        </m:sSub>
        <m:r>
          <w:rPr>
            <w:rFonts w:ascii="Cambria Math" w:hAnsi="Cambria Math"/>
          </w:rPr>
          <m:t>=A</m:t>
        </m:r>
        <m:sSup>
          <m:sSupPr>
            <m:ctrlPr>
              <w:rPr>
                <w:rFonts w:ascii="Cambria Math" w:hAnsi="Cambria Math"/>
                <w:i/>
              </w:rPr>
            </m:ctrlPr>
          </m:sSupPr>
          <m:e>
            <m:r>
              <w:rPr>
                <w:rFonts w:ascii="Cambria Math" w:hAnsi="Cambria Math"/>
              </w:rPr>
              <m:t>ν</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Bν</m:t>
                </m:r>
              </m:num>
              <m:den>
                <m:r>
                  <w:rPr>
                    <w:rFonts w:ascii="Cambria Math" w:hAnsi="Cambria Math"/>
                  </w:rPr>
                  <m:t>T</m:t>
                </m:r>
              </m:den>
            </m:f>
          </m:sup>
        </m:sSup>
      </m:oMath>
      <w:r>
        <w:t xml:space="preserve">. Valable pour les hautes fréquences. </w:t>
      </w:r>
    </w:p>
    <w:p w14:paraId="01A5BC4A" w14:textId="0F2AF9B1" w:rsidR="00C92763" w:rsidRPr="001B7569" w:rsidRDefault="00C92763" w:rsidP="00FD75E3">
      <w:pPr>
        <w:pStyle w:val="ListParagraph"/>
        <w:numPr>
          <w:ilvl w:val="0"/>
          <w:numId w:val="3"/>
        </w:numPr>
      </w:pPr>
      <w:r>
        <w:t xml:space="preserve">On présente la courbe de </w:t>
      </w:r>
      <m:oMath>
        <m:sSub>
          <m:sSubPr>
            <m:ctrlPr>
              <w:rPr>
                <w:rFonts w:ascii="Cambria Math" w:hAnsi="Cambria Math"/>
                <w:i/>
              </w:rPr>
            </m:ctrlPr>
          </m:sSubPr>
          <m:e>
            <m:r>
              <w:rPr>
                <w:rFonts w:ascii="Cambria Math" w:hAnsi="Cambria Math"/>
              </w:rPr>
              <m:t>u</m:t>
            </m:r>
          </m:e>
          <m:sub>
            <m:r>
              <w:rPr>
                <w:rFonts w:ascii="Cambria Math" w:hAnsi="Cambria Math"/>
              </w:rPr>
              <m:t>ν</m:t>
            </m:r>
          </m:sub>
        </m:sSub>
        <m:r>
          <w:rPr>
            <w:rFonts w:ascii="Cambria Math" w:hAnsi="Cambria Math"/>
          </w:rPr>
          <m:t xml:space="preserve"> </m:t>
        </m:r>
      </m:oMath>
      <w:r>
        <w:t xml:space="preserve">adimensionnée du Couture et </w:t>
      </w:r>
      <w:proofErr w:type="spellStart"/>
      <w:r w:rsidR="008C5E9D">
        <w:t>Z</w:t>
      </w:r>
      <w:r>
        <w:t>itoun</w:t>
      </w:r>
      <w:proofErr w:type="spellEnd"/>
      <w:r>
        <w:t xml:space="preserve"> (p201 7.3.2</w:t>
      </w:r>
      <w:r w:rsidR="001B7569">
        <w:t xml:space="preserve">) avec les lois de Rayleigh-Jeans et de Wien. </w:t>
      </w:r>
    </w:p>
    <w:p w14:paraId="53DC8773" w14:textId="77777777" w:rsidR="001B7569" w:rsidRDefault="001B7569" w:rsidP="00A27ED0">
      <w:pPr>
        <w:pStyle w:val="ListParagraph"/>
        <w:numPr>
          <w:ilvl w:val="0"/>
          <w:numId w:val="0"/>
        </w:numPr>
        <w:ind w:left="720"/>
      </w:pPr>
    </w:p>
    <w:p w14:paraId="2B49725F" w14:textId="2A061214" w:rsidR="001B7569" w:rsidRPr="001B7569" w:rsidRDefault="001B7569" w:rsidP="00A27ED0">
      <w:pPr>
        <w:pStyle w:val="ListParagraph"/>
        <w:numPr>
          <w:ilvl w:val="0"/>
          <w:numId w:val="0"/>
        </w:numPr>
        <w:ind w:left="720"/>
      </w:pPr>
      <w:r>
        <w:rPr>
          <w:b/>
          <w:bCs/>
        </w:rPr>
        <w:t xml:space="preserve">Transition : </w:t>
      </w:r>
      <w:r>
        <w:t>On remarque que ce spectre possède un maximum pour un certaine fréquence (</w:t>
      </w:r>
      <w:r w:rsidR="008C5E9D">
        <w:t>et aussi pour une certaine</w:t>
      </w:r>
      <w:r>
        <w:t xml:space="preserve"> longueur d’onde). </w:t>
      </w:r>
    </w:p>
    <w:p w14:paraId="2BA6333B" w14:textId="20D0714D" w:rsidR="00333D0D" w:rsidRDefault="00333D0D" w:rsidP="00A27ED0">
      <w:pPr>
        <w:pStyle w:val="Heading2"/>
      </w:pPr>
      <w:r>
        <w:t>Loi de déplacement Wien</w:t>
      </w:r>
    </w:p>
    <w:p w14:paraId="7797572F" w14:textId="534A9A7A" w:rsidR="00FC3D7A" w:rsidRDefault="008C5E9D" w:rsidP="00FD75E3">
      <w:pPr>
        <w:pStyle w:val="ListParagraph"/>
        <w:numPr>
          <w:ilvl w:val="0"/>
          <w:numId w:val="3"/>
        </w:numPr>
      </w:pPr>
      <w:r>
        <w:t xml:space="preserve">On commence par </w:t>
      </w:r>
      <w:r w:rsidRPr="00F36B63">
        <w:rPr>
          <w:b/>
          <w:bCs/>
        </w:rPr>
        <w:t>montrer différent</w:t>
      </w:r>
      <w:r w:rsidR="00F36B63">
        <w:rPr>
          <w:b/>
          <w:bCs/>
        </w:rPr>
        <w:t>s</w:t>
      </w:r>
      <w:r w:rsidRPr="00F36B63">
        <w:rPr>
          <w:b/>
          <w:bCs/>
        </w:rPr>
        <w:t xml:space="preserve"> spectre</w:t>
      </w:r>
      <w:r w:rsidR="00F36B63">
        <w:rPr>
          <w:b/>
          <w:bCs/>
        </w:rPr>
        <w:t>s</w:t>
      </w:r>
      <w:r>
        <w:t xml:space="preserve"> pour différente</w:t>
      </w:r>
      <w:r w:rsidR="00627DBA">
        <w:t>s</w:t>
      </w:r>
      <w:r>
        <w:t xml:space="preserve"> température</w:t>
      </w:r>
      <w:r w:rsidR="00627DBA">
        <w:t>s</w:t>
      </w:r>
      <w:r>
        <w:t>. On remarque que le maximum du spectre se « déplace ».</w:t>
      </w:r>
      <w:r w:rsidR="008438B7">
        <w:t xml:space="preserve"> </w:t>
      </w:r>
    </w:p>
    <w:p w14:paraId="494D5C89" w14:textId="2D5AEB54" w:rsidR="008C5E9D" w:rsidRPr="00AF46FF" w:rsidRDefault="00AF46FF" w:rsidP="00FD75E3">
      <w:pPr>
        <w:pStyle w:val="ListParagraph"/>
        <w:numPr>
          <w:ilvl w:val="0"/>
          <w:numId w:val="3"/>
        </w:numPr>
      </w:pPr>
      <w:r>
        <w:t xml:space="preserve">Le </w:t>
      </w:r>
      <w:r w:rsidRPr="00F36B63">
        <w:rPr>
          <w:b/>
          <w:bCs/>
        </w:rPr>
        <w:t>maximum</w:t>
      </w:r>
      <w:r>
        <w:t xml:space="preserve"> s’obtient en cherchant le maximum des fonctions </w:t>
      </w:r>
      <m:oMath>
        <m:sSub>
          <m:sSubPr>
            <m:ctrlPr>
              <w:rPr>
                <w:rFonts w:ascii="Cambria Math" w:hAnsi="Cambria Math"/>
                <w:i/>
              </w:rPr>
            </m:ctrlPr>
          </m:sSubPr>
          <m:e>
            <m:r>
              <w:rPr>
                <w:rFonts w:ascii="Cambria Math" w:hAnsi="Cambria Math"/>
              </w:rPr>
              <m:t>u</m:t>
            </m:r>
          </m:e>
          <m:sub>
            <m:r>
              <w:rPr>
                <w:rFonts w:ascii="Cambria Math" w:hAnsi="Cambria Math"/>
              </w:rPr>
              <m:t>λ</m:t>
            </m:r>
          </m:sub>
        </m:sSub>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ν</m:t>
            </m:r>
          </m:sub>
        </m:sSub>
      </m:oMath>
    </w:p>
    <w:p w14:paraId="1402B43C" w14:textId="64056D7B" w:rsidR="00AF46FF" w:rsidRDefault="00AF46FF" w:rsidP="00A27ED0">
      <w:pPr>
        <w:pStyle w:val="ListParagraph"/>
        <w:numPr>
          <w:ilvl w:val="0"/>
          <w:numId w:val="0"/>
        </w:numPr>
        <w:ind w:left="720"/>
      </w:pPr>
      <w:r>
        <w:t>On ne fait pas le calcul mais on donne le résultat</w:t>
      </w:r>
    </w:p>
    <w:p w14:paraId="7A091F3F" w14:textId="77777777" w:rsidR="00AF46FF" w:rsidRDefault="00200B28" w:rsidP="00A27ED0">
      <w:pPr>
        <w:pStyle w:val="ListParagraph"/>
        <w:numPr>
          <w:ilvl w:val="0"/>
          <w:numId w:val="0"/>
        </w:numPr>
        <w:ind w:left="720"/>
        <w:rPr>
          <w:rFonts w:eastAsiaTheme="minorEastAsia"/>
        </w:rPr>
      </w:pPr>
      <m:oMathPara>
        <m:oMath>
          <m:f>
            <m:fPr>
              <m:ctrlPr>
                <w:rPr>
                  <w:rFonts w:ascii="Cambria Math" w:hAnsi="Cambria Math"/>
                </w:rPr>
              </m:ctrlPr>
            </m:fPr>
            <m:num>
              <m:sSub>
                <m:sSubPr>
                  <m:ctrlPr>
                    <w:rPr>
                      <w:rFonts w:ascii="Cambria Math" w:hAnsi="Cambria Math"/>
                    </w:rPr>
                  </m:ctrlPr>
                </m:sSubPr>
                <m:e>
                  <m:r>
                    <w:rPr>
                      <w:rFonts w:ascii="Cambria Math" w:hAnsi="Cambria Math"/>
                    </w:rPr>
                    <m:t>ν</m:t>
                  </m:r>
                </m:e>
                <m:sub>
                  <m:r>
                    <w:rPr>
                      <w:rFonts w:ascii="Cambria Math" w:hAnsi="Cambria Math"/>
                    </w:rPr>
                    <m:t>m</m:t>
                  </m:r>
                </m:sub>
              </m:sSub>
            </m:num>
            <m:den>
              <m:r>
                <w:rPr>
                  <w:rFonts w:ascii="Cambria Math" w:hAnsi="Cambria Math"/>
                </w:rPr>
                <m:t>T</m:t>
              </m:r>
            </m:den>
          </m:f>
          <m:r>
            <m:rPr>
              <m:sty m:val="p"/>
            </m:rPr>
            <w:rPr>
              <w:rFonts w:ascii="Cambria Math" w:hAnsi="Cambria Math"/>
            </w:rPr>
            <m:t xml:space="preserve">=5.88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10</m:t>
              </m:r>
            </m:sup>
          </m:sSup>
          <m:r>
            <m:rPr>
              <m:sty m:val="p"/>
            </m:rPr>
            <w:rPr>
              <w:rFonts w:ascii="Cambria Math" w:eastAsiaTheme="minorEastAsia" w:hAnsi="Cambria Math"/>
            </w:rPr>
            <m:t xml:space="preserve"> </m:t>
          </m:r>
          <m:sSup>
            <m:sSupPr>
              <m:ctrlPr>
                <w:rPr>
                  <w:rFonts w:ascii="Cambria Math" w:eastAsiaTheme="minorEastAsia" w:hAnsi="Cambria Math"/>
                </w:rPr>
              </m:ctrlPr>
            </m:sSupPr>
            <m:e>
              <m:r>
                <w:rPr>
                  <w:rFonts w:ascii="Cambria Math" w:eastAsiaTheme="minorEastAsia" w:hAnsi="Cambria Math"/>
                </w:rPr>
                <m:t>K</m:t>
              </m:r>
            </m:e>
            <m:sup>
              <m:r>
                <m:rPr>
                  <m:sty m:val="p"/>
                </m:rPr>
                <w:rPr>
                  <w:rFonts w:ascii="Cambria Math" w:eastAsiaTheme="minorEastAsia" w:hAnsi="Cambria Math"/>
                </w:rPr>
                <m:t>-1</m:t>
              </m:r>
            </m:sup>
          </m:sSup>
          <m:sSup>
            <m:sSupPr>
              <m:ctrlPr>
                <w:rPr>
                  <w:rFonts w:ascii="Cambria Math" w:eastAsiaTheme="minorEastAsia" w:hAnsi="Cambria Math"/>
                </w:rPr>
              </m:ctrlPr>
            </m:sSupPr>
            <m:e>
              <m:r>
                <w:rPr>
                  <w:rFonts w:ascii="Cambria Math" w:eastAsiaTheme="minorEastAsia" w:hAnsi="Cambria Math"/>
                </w:rPr>
                <m:t>m</m:t>
              </m:r>
            </m:e>
            <m:sup>
              <m:r>
                <m:rPr>
                  <m:sty m:val="p"/>
                </m:rPr>
                <w:rPr>
                  <w:rFonts w:ascii="Cambria Math" w:eastAsiaTheme="minorEastAsia" w:hAnsi="Cambria Math"/>
                </w:rPr>
                <m:t>-1</m:t>
              </m:r>
            </m:sup>
          </m:sSup>
        </m:oMath>
      </m:oMathPara>
    </w:p>
    <w:p w14:paraId="3F460544" w14:textId="1883074C" w:rsidR="00AF46FF" w:rsidRDefault="00200B28" w:rsidP="00A27ED0">
      <w:pPr>
        <w:pStyle w:val="ListParagraph"/>
        <w:numPr>
          <w:ilvl w:val="0"/>
          <w:numId w:val="0"/>
        </w:numPr>
        <w:ind w:left="720"/>
      </w:pPr>
      <m:oMath>
        <m:sSub>
          <m:sSubPr>
            <m:ctrlPr>
              <w:rPr>
                <w:rFonts w:ascii="Cambria Math" w:hAnsi="Cambria Math"/>
                <w:i/>
              </w:rPr>
            </m:ctrlPr>
          </m:sSubPr>
          <m:e>
            <m:r>
              <w:rPr>
                <w:rFonts w:ascii="Cambria Math" w:hAnsi="Cambria Math"/>
              </w:rPr>
              <m:t>λ</m:t>
            </m:r>
          </m:e>
          <m:sub>
            <m:r>
              <w:rPr>
                <w:rFonts w:ascii="Cambria Math" w:hAnsi="Cambria Math"/>
              </w:rPr>
              <m:t>m</m:t>
            </m:r>
          </m:sub>
        </m:sSub>
        <m:r>
          <w:rPr>
            <w:rFonts w:ascii="Cambria Math" w:hAnsi="Cambria Math"/>
          </w:rPr>
          <m:t>T≈2898 μm.K</m:t>
        </m:r>
      </m:oMath>
      <w:r w:rsidR="00AF46FF">
        <w:t xml:space="preserve"> (C’est cette deuxième relation que l’on appelle la loi de déplacement de Wien)</w:t>
      </w:r>
    </w:p>
    <w:p w14:paraId="75BBBCD5" w14:textId="6F84C909" w:rsidR="00AF46FF" w:rsidRDefault="005C197A" w:rsidP="00FD75E3">
      <w:pPr>
        <w:pStyle w:val="ListParagraph"/>
        <w:numPr>
          <w:ilvl w:val="0"/>
          <w:numId w:val="3"/>
        </w:numPr>
      </w:pPr>
      <w:r w:rsidRPr="005C197A">
        <w:rPr>
          <w:b/>
          <w:bCs/>
        </w:rPr>
        <w:t xml:space="preserve">Animation : </w:t>
      </w:r>
      <w:hyperlink r:id="rId10" w:history="1">
        <w:r w:rsidRPr="005C197A">
          <w:rPr>
            <w:rStyle w:val="Hyperlink"/>
          </w:rPr>
          <w:t>https://phet.colorado.edu/sims/html/blackbody-spectrum/latest/blackbody-spectrum_fr.html</w:t>
        </w:r>
      </w:hyperlink>
      <w:r w:rsidRPr="005C197A">
        <w:t xml:space="preserve"> On compare l’allu</w:t>
      </w:r>
      <w:r>
        <w:t>re du spectre pour une ampoule</w:t>
      </w:r>
      <w:r w:rsidR="00627DBA">
        <w:t>,</w:t>
      </w:r>
      <w:r>
        <w:t xml:space="preserve"> le soleil et </w:t>
      </w:r>
      <w:r w:rsidR="00627DBA">
        <w:t>S</w:t>
      </w:r>
      <w:r>
        <w:t xml:space="preserve">irius et l’on commente la couleur que l’on observe. </w:t>
      </w:r>
    </w:p>
    <w:p w14:paraId="56442DEE" w14:textId="77777777" w:rsidR="00627DBA" w:rsidRDefault="00627DBA" w:rsidP="00627DBA">
      <w:pPr>
        <w:pStyle w:val="ListParagraph"/>
        <w:numPr>
          <w:ilvl w:val="0"/>
          <w:numId w:val="0"/>
        </w:numPr>
        <w:ind w:left="1068"/>
      </w:pPr>
    </w:p>
    <w:p w14:paraId="41793760" w14:textId="694509EC" w:rsidR="00B41401" w:rsidRPr="00B41401" w:rsidRDefault="00B41401" w:rsidP="00B41401">
      <w:pPr>
        <w:pStyle w:val="ListParagraph"/>
        <w:numPr>
          <w:ilvl w:val="0"/>
          <w:numId w:val="0"/>
        </w:numPr>
        <w:ind w:left="1068"/>
      </w:pPr>
      <w:r>
        <w:rPr>
          <w:b/>
          <w:bCs/>
        </w:rPr>
        <w:lastRenderedPageBreak/>
        <w:t xml:space="preserve">Transition : </w:t>
      </w:r>
      <w:r>
        <w:t xml:space="preserve">On remarque que l’aire sous la courbe augmente avec la température. Nous allons montrer que l’aire est reliée à la puissance émise par le corps noir et que cette dernière évolue en </w:t>
      </w:r>
      <m:oMath>
        <m:sSup>
          <m:sSupPr>
            <m:ctrlPr>
              <w:rPr>
                <w:rFonts w:ascii="Cambria Math" w:hAnsi="Cambria Math"/>
                <w:i/>
              </w:rPr>
            </m:ctrlPr>
          </m:sSupPr>
          <m:e>
            <m:r>
              <w:rPr>
                <w:rFonts w:ascii="Cambria Math" w:hAnsi="Cambria Math"/>
              </w:rPr>
              <m:t>T</m:t>
            </m:r>
          </m:e>
          <m:sup>
            <m:r>
              <w:rPr>
                <w:rFonts w:ascii="Cambria Math" w:hAnsi="Cambria Math"/>
              </w:rPr>
              <m:t>4</m:t>
            </m:r>
          </m:sup>
        </m:sSup>
      </m:oMath>
      <w:r>
        <w:rPr>
          <w:rFonts w:eastAsiaTheme="minorEastAsia"/>
        </w:rPr>
        <w:t xml:space="preserve">. C’est la loi de Stefan. </w:t>
      </w:r>
    </w:p>
    <w:p w14:paraId="06FDF991" w14:textId="585BE95F" w:rsidR="00227333" w:rsidRPr="005C197A" w:rsidRDefault="00227333" w:rsidP="00A27ED0">
      <w:pPr>
        <w:pStyle w:val="ListParagraph"/>
        <w:numPr>
          <w:ilvl w:val="0"/>
          <w:numId w:val="0"/>
        </w:numPr>
        <w:ind w:left="720"/>
      </w:pPr>
    </w:p>
    <w:p w14:paraId="224ECEA6" w14:textId="77D1FC10" w:rsidR="00333D0D" w:rsidRDefault="00333D0D" w:rsidP="00A27ED0">
      <w:pPr>
        <w:pStyle w:val="Heading2"/>
      </w:pPr>
      <w:r>
        <w:t>Loi de Stefan</w:t>
      </w:r>
    </w:p>
    <w:p w14:paraId="4DBFEF2B" w14:textId="77844445" w:rsidR="00880986" w:rsidRPr="00880986" w:rsidRDefault="00880986" w:rsidP="00FD75E3">
      <w:pPr>
        <w:pStyle w:val="ListParagraph"/>
        <w:numPr>
          <w:ilvl w:val="0"/>
          <w:numId w:val="3"/>
        </w:numPr>
      </w:pPr>
      <w:r>
        <w:rPr>
          <w:rFonts w:eastAsiaTheme="minorEastAsia"/>
          <w:b/>
          <w:bCs/>
          <w:iCs/>
        </w:rPr>
        <w:t>Loi de Ste</w:t>
      </w:r>
      <w:r w:rsidR="00CC3B5D">
        <w:rPr>
          <w:rFonts w:eastAsiaTheme="minorEastAsia"/>
          <w:b/>
          <w:bCs/>
          <w:iCs/>
        </w:rPr>
        <w:t>f</w:t>
      </w:r>
      <w:r>
        <w:rPr>
          <w:rFonts w:eastAsiaTheme="minorEastAsia"/>
          <w:b/>
          <w:bCs/>
          <w:iCs/>
        </w:rPr>
        <w:t>an</w:t>
      </w:r>
      <w:r>
        <w:rPr>
          <w:rFonts w:eastAsiaTheme="minorEastAsia"/>
          <w:iCs/>
        </w:rPr>
        <w:t xml:space="preserve"> : </w:t>
      </w:r>
      <m:oMath>
        <m:r>
          <w:rPr>
            <w:rFonts w:ascii="Cambria Math" w:hAnsi="Cambria Math"/>
          </w:rPr>
          <m:t>ϕ</m:t>
        </m:r>
        <m:r>
          <m:rPr>
            <m:sty m:val="p"/>
          </m:rPr>
          <w:rPr>
            <w:rFonts w:ascii="Cambria Math" w:hAnsi="Cambria Math"/>
          </w:rPr>
          <m:t>=</m:t>
        </m:r>
        <m:r>
          <w:rPr>
            <w:rFonts w:ascii="Cambria Math" w:hAnsi="Cambria Math"/>
          </w:rPr>
          <m:t>σ</m:t>
        </m:r>
        <m:sSup>
          <m:sSupPr>
            <m:ctrlPr>
              <w:rPr>
                <w:rFonts w:ascii="Cambria Math" w:hAnsi="Cambria Math"/>
              </w:rPr>
            </m:ctrlPr>
          </m:sSupPr>
          <m:e>
            <m:r>
              <w:rPr>
                <w:rFonts w:ascii="Cambria Math" w:hAnsi="Cambria Math"/>
              </w:rPr>
              <m:t>T</m:t>
            </m:r>
          </m:e>
          <m:sup>
            <m:r>
              <m:rPr>
                <m:sty m:val="p"/>
              </m:rPr>
              <w:rPr>
                <w:rFonts w:ascii="Cambria Math" w:hAnsi="Cambria Math"/>
              </w:rPr>
              <m:t>4</m:t>
            </m:r>
          </m:sup>
        </m:sSup>
      </m:oMath>
      <w:r>
        <w:t xml:space="preserve"> avec </w:t>
      </w:r>
      <m:oMath>
        <m:r>
          <w:rPr>
            <w:rFonts w:ascii="Cambria Math" w:hAnsi="Cambria Math"/>
          </w:rPr>
          <m:t>σ</m:t>
        </m:r>
        <m:r>
          <m:rPr>
            <m:sty m:val="p"/>
          </m:rPr>
          <w:rPr>
            <w:rFonts w:ascii="Cambria Math" w:hAnsi="Cambria Math"/>
          </w:rPr>
          <m:t>=</m:t>
        </m:r>
        <m:f>
          <m:fPr>
            <m:ctrlPr>
              <w:rPr>
                <w:rFonts w:ascii="Cambria Math" w:hAnsi="Cambria Math"/>
              </w:rPr>
            </m:ctrlPr>
          </m:fPr>
          <m:num>
            <m:r>
              <m:rPr>
                <m:sty m:val="p"/>
              </m:rPr>
              <w:rPr>
                <w:rFonts w:ascii="Cambria Math" w:hAnsi="Cambria Math"/>
              </w:rPr>
              <m:t>2</m:t>
            </m:r>
            <m:sSup>
              <m:sSupPr>
                <m:ctrlPr>
                  <w:rPr>
                    <w:rFonts w:ascii="Cambria Math" w:hAnsi="Cambria Math"/>
                  </w:rPr>
                </m:ctrlPr>
              </m:sSupPr>
              <m:e>
                <m:r>
                  <w:rPr>
                    <w:rFonts w:ascii="Cambria Math" w:hAnsi="Cambria Math"/>
                  </w:rPr>
                  <m:t>π</m:t>
                </m:r>
              </m:e>
              <m:sup>
                <m:r>
                  <m:rPr>
                    <m:sty m:val="p"/>
                  </m:rPr>
                  <w:rPr>
                    <w:rFonts w:ascii="Cambria Math" w:hAnsi="Cambria Math"/>
                  </w:rPr>
                  <m:t>5</m:t>
                </m:r>
              </m:sup>
            </m:sSup>
            <m:sSup>
              <m:sSupPr>
                <m:ctrlPr>
                  <w:rPr>
                    <w:rFonts w:ascii="Cambria Math" w:hAnsi="Cambria Math"/>
                  </w:rPr>
                </m:ctrlPr>
              </m:sSupPr>
              <m:e>
                <m:r>
                  <w:rPr>
                    <w:rFonts w:ascii="Cambria Math" w:hAnsi="Cambria Math"/>
                  </w:rPr>
                  <m:t>k</m:t>
                </m:r>
              </m:e>
              <m:sup>
                <m:r>
                  <m:rPr>
                    <m:sty m:val="p"/>
                  </m:rPr>
                  <w:rPr>
                    <w:rFonts w:ascii="Cambria Math" w:hAnsi="Cambria Math"/>
                  </w:rPr>
                  <m:t>4</m:t>
                </m:r>
              </m:sup>
            </m:sSup>
          </m:num>
          <m:den>
            <m:r>
              <m:rPr>
                <m:sty m:val="p"/>
              </m:rPr>
              <w:rPr>
                <w:rFonts w:ascii="Cambria Math" w:hAnsi="Cambria Math"/>
              </w:rPr>
              <m:t>15</m:t>
            </m:r>
            <m:sSup>
              <m:sSupPr>
                <m:ctrlPr>
                  <w:rPr>
                    <w:rFonts w:ascii="Cambria Math" w:hAnsi="Cambria Math"/>
                  </w:rPr>
                </m:ctrlPr>
              </m:sSupPr>
              <m:e>
                <m:r>
                  <w:rPr>
                    <w:rFonts w:ascii="Cambria Math" w:hAnsi="Cambria Math"/>
                  </w:rPr>
                  <m:t>h</m:t>
                </m:r>
              </m:e>
              <m:sup>
                <m:r>
                  <m:rPr>
                    <m:sty m:val="p"/>
                  </m:rPr>
                  <w:rPr>
                    <w:rFonts w:ascii="Cambria Math" w:hAnsi="Cambria Math"/>
                  </w:rPr>
                  <m:t>3</m:t>
                </m:r>
              </m:sup>
            </m:sSup>
            <m:sSup>
              <m:sSupPr>
                <m:ctrlPr>
                  <w:rPr>
                    <w:rFonts w:ascii="Cambria Math" w:hAnsi="Cambria Math"/>
                  </w:rPr>
                </m:ctrlPr>
              </m:sSupPr>
              <m:e>
                <m:r>
                  <w:rPr>
                    <w:rFonts w:ascii="Cambria Math" w:hAnsi="Cambria Math"/>
                  </w:rPr>
                  <m:t>c</m:t>
                </m:r>
              </m:e>
              <m:sup>
                <m:r>
                  <m:rPr>
                    <m:sty m:val="p"/>
                  </m:rPr>
                  <w:rPr>
                    <w:rFonts w:ascii="Cambria Math" w:hAnsi="Cambria Math"/>
                  </w:rPr>
                  <m:t>2</m:t>
                </m:r>
              </m:sup>
            </m:sSup>
          </m:den>
        </m:f>
        <m:r>
          <m:rPr>
            <m:sty m:val="p"/>
          </m:rPr>
          <w:rPr>
            <w:rFonts w:ascii="Cambria Math" w:hAnsi="Cambria Math"/>
          </w:rPr>
          <m:t xml:space="preserve">=5.67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oMath>
      <w:r>
        <w:t>SI</w:t>
      </w:r>
    </w:p>
    <w:p w14:paraId="02E3B9E4" w14:textId="6F7169D5" w:rsidR="00C8083F" w:rsidRPr="00A87C7C" w:rsidRDefault="00B11CAF" w:rsidP="00FD75E3">
      <w:pPr>
        <w:pStyle w:val="ListParagraph"/>
        <w:numPr>
          <w:ilvl w:val="0"/>
          <w:numId w:val="3"/>
        </w:numPr>
      </w:pPr>
      <w:r w:rsidRPr="00B11CAF">
        <w:rPr>
          <w:b/>
          <w:bCs/>
        </w:rPr>
        <w:t>Définition de l’émittance radiative</w:t>
      </w:r>
      <w:r w:rsidR="00901F51">
        <w:rPr>
          <w:b/>
          <w:bCs/>
        </w:rPr>
        <w:t xml:space="preserve"> </w:t>
      </w:r>
      <m:oMath>
        <m:r>
          <m:rPr>
            <m:sty m:val="bi"/>
          </m:rPr>
          <w:rPr>
            <w:rFonts w:ascii="Cambria Math" w:hAnsi="Cambria Math"/>
          </w:rPr>
          <m:t>ϕ</m:t>
        </m:r>
      </m:oMath>
      <w:r>
        <w:t xml:space="preserve"> : </w:t>
      </w:r>
      <w:r w:rsidR="00901F51">
        <w:t>Quantité d’</w:t>
      </w:r>
      <w:r w:rsidR="00A87C7C">
        <w:t>é</w:t>
      </w:r>
      <w:r w:rsidR="00901F51">
        <w:t>nergie rayonnée par unité de temps et de surface</w:t>
      </w:r>
      <w:r w:rsidR="00EB197D">
        <w:t xml:space="preserve"> (sous-entendu surface du corps noir)</w:t>
      </w:r>
      <w:r w:rsidR="00901F51">
        <w:t xml:space="preserve">. Unité : </w:t>
      </w:r>
      <m:oMath>
        <m:r>
          <w:rPr>
            <w:rFonts w:ascii="Cambria Math" w:hAnsi="Cambria Math"/>
          </w:rPr>
          <m:t>W</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B0953">
        <w:rPr>
          <w:rFonts w:eastAsiaTheme="minorEastAsia"/>
        </w:rPr>
        <w:t>. Nous allons calculer cette grandeur.</w:t>
      </w:r>
    </w:p>
    <w:p w14:paraId="4964F765" w14:textId="6FC437DA" w:rsidR="00AF6885" w:rsidRDefault="00A87C7C" w:rsidP="00FD75E3">
      <w:pPr>
        <w:pStyle w:val="ListParagraph"/>
        <w:numPr>
          <w:ilvl w:val="0"/>
          <w:numId w:val="3"/>
        </w:numPr>
      </w:pPr>
      <w:r>
        <w:rPr>
          <w:b/>
          <w:bCs/>
        </w:rPr>
        <w:t>Démonstration</w:t>
      </w:r>
      <w:r w:rsidR="00880986">
        <w:rPr>
          <w:b/>
          <w:bCs/>
        </w:rPr>
        <w:t xml:space="preserve"> de la loi de Stefan</w:t>
      </w:r>
      <w:r>
        <w:rPr>
          <w:b/>
          <w:bCs/>
        </w:rPr>
        <w:t> </w:t>
      </w:r>
      <w:r w:rsidR="004F3328">
        <w:t xml:space="preserve">[voir Couture et </w:t>
      </w:r>
      <w:proofErr w:type="spellStart"/>
      <w:r w:rsidR="004F3328">
        <w:t>Zitoun</w:t>
      </w:r>
      <w:proofErr w:type="spellEnd"/>
      <w:r w:rsidR="004F3328">
        <w:t xml:space="preserve"> p201</w:t>
      </w:r>
      <w:r w:rsidR="00CE651E">
        <w:t xml:space="preserve"> </w:t>
      </w:r>
      <w:r w:rsidR="004F3328" w:rsidRPr="00A87C7C">
        <w:t>§</w:t>
      </w:r>
      <w:r w:rsidR="004F3328">
        <w:t>7.3.3</w:t>
      </w:r>
      <w:r w:rsidR="00CE651E">
        <w:t xml:space="preserve"> Les étapes du raisonnement sont décrites ci</w:t>
      </w:r>
      <w:r w:rsidR="009B5D9B">
        <w:t>-</w:t>
      </w:r>
      <w:r w:rsidR="00CE651E">
        <w:t>dessous</w:t>
      </w:r>
      <w:r w:rsidR="004F3328">
        <w:t>]</w:t>
      </w:r>
      <w:r>
        <w:t xml:space="preserve"> </w:t>
      </w:r>
    </w:p>
    <w:p w14:paraId="559F904B" w14:textId="25406834" w:rsidR="00F340B0" w:rsidRPr="00FC4359" w:rsidRDefault="00F340B0" w:rsidP="00FD75E3">
      <w:pPr>
        <w:pStyle w:val="ListParagraph"/>
        <w:numPr>
          <w:ilvl w:val="0"/>
          <w:numId w:val="9"/>
        </w:numPr>
      </w:pPr>
      <w:r>
        <w:t>Emittance spectrale par unité d’angle solide</w:t>
      </w:r>
      <w:r w:rsidR="00631372">
        <w:t xml:space="preserve"> (aussi appelé luminance)</w:t>
      </w:r>
      <w:r>
        <w:t xml:space="preserve"> : </w:t>
      </w:r>
      <m:oMath>
        <m:r>
          <w:rPr>
            <w:rFonts w:ascii="Cambria Math" w:hAnsi="Cambria Math"/>
          </w:rPr>
          <m:t>dϕ=</m:t>
        </m:r>
        <m:sSub>
          <m:sSubPr>
            <m:ctrlPr>
              <w:rPr>
                <w:rFonts w:ascii="Cambria Math" w:hAnsi="Cambria Math"/>
                <w:i/>
              </w:rPr>
            </m:ctrlPr>
          </m:sSubPr>
          <m:e>
            <m:r>
              <w:rPr>
                <w:rFonts w:ascii="Cambria Math" w:hAnsi="Cambria Math"/>
              </w:rPr>
              <m:t>ϕ</m:t>
            </m:r>
          </m:e>
          <m:sub>
            <m:r>
              <w:rPr>
                <w:rFonts w:ascii="Cambria Math" w:hAnsi="Cambria Math"/>
              </w:rPr>
              <m:t>ν,</m:t>
            </m:r>
            <m:r>
              <m:rPr>
                <m:sty m:val="p"/>
              </m:rPr>
              <w:rPr>
                <w:rFonts w:ascii="Cambria Math" w:hAnsi="Cambria Math"/>
              </w:rPr>
              <m:t>Ω</m:t>
            </m:r>
          </m:sub>
        </m:sSub>
        <m:r>
          <w:rPr>
            <w:rFonts w:ascii="Cambria Math" w:hAnsi="Cambria Math"/>
          </w:rPr>
          <m:t>dνd</m:t>
        </m:r>
        <m:r>
          <m:rPr>
            <m:sty m:val="p"/>
          </m:rPr>
          <w:rPr>
            <w:rFonts w:ascii="Cambria Math" w:hAnsi="Cambria Math"/>
          </w:rPr>
          <m:t>Ω</m:t>
        </m:r>
      </m:oMath>
      <w:r w:rsidR="00FC4359">
        <w:rPr>
          <w:rFonts w:eastAsiaTheme="minorEastAsia"/>
        </w:rPr>
        <w:t xml:space="preserve"> </w:t>
      </w:r>
    </w:p>
    <w:p w14:paraId="49BB3901" w14:textId="7378BEAA" w:rsidR="00631372" w:rsidRDefault="00BA53B6" w:rsidP="00631372">
      <w:pPr>
        <w:pStyle w:val="ListParagraph"/>
        <w:numPr>
          <w:ilvl w:val="0"/>
          <w:numId w:val="0"/>
        </w:numPr>
        <w:ind w:left="1428"/>
        <w:jc w:val="center"/>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ϕ</m:t>
            </m:r>
          </m:e>
          <m:sub>
            <m:r>
              <w:rPr>
                <w:rFonts w:ascii="Cambria Math" w:hAnsi="Cambria Math"/>
              </w:rPr>
              <m:t>ν,</m:t>
            </m:r>
            <m:r>
              <m:rPr>
                <m:sty m:val="p"/>
              </m:rPr>
              <w:rPr>
                <w:rFonts w:ascii="Cambria Math" w:hAnsi="Cambria Math"/>
              </w:rPr>
              <m:t>Ω</m:t>
            </m:r>
          </m:sub>
        </m:sSub>
        <m:r>
          <w:rPr>
            <w:rFonts w:ascii="Cambria Math" w:hAnsi="Cambria Math"/>
          </w:rPr>
          <m:t>=</m:t>
        </m:r>
        <m:f>
          <m:fPr>
            <m:ctrlPr>
              <w:rPr>
                <w:rFonts w:ascii="Cambria Math" w:hAnsi="Cambria Math"/>
                <w:i/>
              </w:rPr>
            </m:ctrlPr>
          </m:fPr>
          <m:num>
            <m:r>
              <w:rPr>
                <w:rFonts w:ascii="Cambria Math" w:hAnsi="Cambria Math"/>
              </w:rPr>
              <m:t xml:space="preserve">c </m:t>
            </m:r>
            <m:sSub>
              <m:sSubPr>
                <m:ctrlPr>
                  <w:rPr>
                    <w:rFonts w:ascii="Cambria Math" w:hAnsi="Cambria Math"/>
                    <w:i/>
                  </w:rPr>
                </m:ctrlPr>
              </m:sSubPr>
              <m:e>
                <m:r>
                  <w:rPr>
                    <w:rFonts w:ascii="Cambria Math" w:hAnsi="Cambria Math"/>
                  </w:rPr>
                  <m:t>u</m:t>
                </m:r>
              </m:e>
              <m:sub>
                <m:r>
                  <w:rPr>
                    <w:rFonts w:ascii="Cambria Math" w:hAnsi="Cambria Math"/>
                  </w:rPr>
                  <m:t xml:space="preserve">ν </m:t>
                </m:r>
              </m:sub>
            </m:sSub>
            <m:r>
              <w:rPr>
                <w:rFonts w:ascii="Cambria Math" w:hAnsi="Cambria Math"/>
              </w:rPr>
              <m:t xml:space="preserve"> </m:t>
            </m:r>
          </m:num>
          <m:den>
            <m:r>
              <w:rPr>
                <w:rFonts w:ascii="Cambria Math" w:hAnsi="Cambria Math"/>
              </w:rPr>
              <m:t>4π</m:t>
            </m:r>
          </m:den>
        </m:f>
      </m:oMath>
      <w:r>
        <w:rPr>
          <w:rFonts w:eastAsiaTheme="minorEastAsia"/>
        </w:rPr>
        <w:t xml:space="preserve">= </w:t>
      </w:r>
      <m:oMath>
        <m:f>
          <m:fPr>
            <m:ctrlPr>
              <w:rPr>
                <w:rFonts w:ascii="Cambria Math" w:hAnsi="Cambria Math"/>
              </w:rPr>
            </m:ctrlPr>
          </m:fPr>
          <m:num>
            <m:r>
              <w:rPr>
                <w:rFonts w:ascii="Cambria Math" w:hAnsi="Cambria Math"/>
              </w:rPr>
              <m:t>2</m:t>
            </m:r>
            <m:r>
              <w:rPr>
                <w:rFonts w:ascii="Cambria Math" w:hAnsi="Cambria Math"/>
              </w:rPr>
              <m:t>h</m:t>
            </m:r>
          </m:num>
          <m:den>
            <m:sSup>
              <m:sSupPr>
                <m:ctrlPr>
                  <w:rPr>
                    <w:rFonts w:ascii="Cambria Math" w:hAnsi="Cambria Math"/>
                  </w:rPr>
                </m:ctrlPr>
              </m:sSupPr>
              <m:e>
                <m:r>
                  <w:rPr>
                    <w:rFonts w:ascii="Cambria Math" w:hAnsi="Cambria Math"/>
                  </w:rPr>
                  <m:t>c</m:t>
                </m:r>
              </m:e>
              <m:sup>
                <m:r>
                  <m:rPr>
                    <m:sty m:val="p"/>
                  </m:rPr>
                  <w:rPr>
                    <w:rFonts w:ascii="Cambria Math" w:hAnsi="Cambria Math"/>
                  </w:rPr>
                  <m:t>2</m:t>
                </m:r>
              </m:sup>
            </m:sSup>
          </m:den>
        </m:f>
        <m:f>
          <m:fPr>
            <m:ctrlPr>
              <w:rPr>
                <w:rFonts w:ascii="Cambria Math" w:hAnsi="Cambria Math"/>
              </w:rPr>
            </m:ctrlPr>
          </m:fPr>
          <m:num>
            <m:sSup>
              <m:sSupPr>
                <m:ctrlPr>
                  <w:rPr>
                    <w:rFonts w:ascii="Cambria Math" w:hAnsi="Cambria Math"/>
                  </w:rPr>
                </m:ctrlPr>
              </m:sSupPr>
              <m:e>
                <m:r>
                  <w:rPr>
                    <w:rFonts w:ascii="Cambria Math" w:hAnsi="Cambria Math"/>
                  </w:rPr>
                  <m:t>ν</m:t>
                </m:r>
              </m:e>
              <m:sup>
                <m:r>
                  <m:rPr>
                    <m:sty m:val="p"/>
                  </m:rPr>
                  <w:rPr>
                    <w:rFonts w:ascii="Cambria Math" w:hAnsi="Cambria Math"/>
                  </w:rPr>
                  <m:t>3</m:t>
                </m:r>
              </m:sup>
            </m:sSup>
          </m:num>
          <m:den>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hν</m:t>
                    </m:r>
                  </m:num>
                  <m:den>
                    <m:r>
                      <w:rPr>
                        <w:rFonts w:ascii="Cambria Math" w:hAnsi="Cambria Math"/>
                      </w:rPr>
                      <m:t>kT</m:t>
                    </m:r>
                  </m:den>
                </m:f>
              </m:sup>
            </m:sSup>
            <m:r>
              <m:rPr>
                <m:sty m:val="p"/>
              </m:rPr>
              <w:rPr>
                <w:rFonts w:ascii="Cambria Math" w:hAnsi="Cambria Math"/>
              </w:rPr>
              <m:t>-1</m:t>
            </m:r>
          </m:den>
        </m:f>
      </m:oMath>
    </w:p>
    <w:p w14:paraId="79058503" w14:textId="1D1B5A8E" w:rsidR="00BA53B6" w:rsidRDefault="00BA53B6" w:rsidP="00BA53B6">
      <w:pPr>
        <w:pStyle w:val="ListParagraph"/>
        <w:numPr>
          <w:ilvl w:val="0"/>
          <w:numId w:val="0"/>
        </w:numPr>
        <w:ind w:left="1428"/>
        <w:rPr>
          <w:rFonts w:eastAsiaTheme="minorEastAsia"/>
          <w:sz w:val="18"/>
          <w:szCs w:val="18"/>
        </w:rPr>
      </w:pPr>
      <w:r w:rsidRPr="00BA53B6">
        <w:t>Ou de manière équivalente en longueur d’onde</w:t>
      </w:r>
      <w:r>
        <w:rPr>
          <w:rFonts w:eastAsiaTheme="minorEastAsia"/>
          <w:sz w:val="18"/>
          <w:szCs w:val="18"/>
        </w:rPr>
        <w:t xml:space="preserve"> : </w:t>
      </w:r>
      <m:oMath>
        <m:sSub>
          <m:sSubPr>
            <m:ctrlPr>
              <w:rPr>
                <w:rFonts w:ascii="Cambria Math" w:hAnsi="Cambria Math"/>
                <w:i/>
              </w:rPr>
            </m:ctrlPr>
          </m:sSubPr>
          <m:e>
            <m:r>
              <w:rPr>
                <w:rFonts w:ascii="Cambria Math" w:hAnsi="Cambria Math"/>
              </w:rPr>
              <m:t>ϕ</m:t>
            </m:r>
          </m:e>
          <m:sub>
            <m:r>
              <w:rPr>
                <w:rFonts w:ascii="Cambria Math" w:hAnsi="Cambria Math"/>
              </w:rPr>
              <m:t>λ,</m:t>
            </m:r>
            <m:r>
              <m:rPr>
                <m:sty m:val="p"/>
              </m:rPr>
              <w:rPr>
                <w:rFonts w:ascii="Cambria Math" w:hAnsi="Cambria Math"/>
              </w:rPr>
              <m:t>Ω</m:t>
            </m:r>
          </m:sub>
        </m:sSub>
        <m:r>
          <w:rPr>
            <w:rFonts w:ascii="Cambria Math" w:hAnsi="Cambria Math"/>
          </w:rPr>
          <m:t>=</m:t>
        </m:r>
        <m:f>
          <m:fPr>
            <m:ctrlPr>
              <w:rPr>
                <w:rFonts w:ascii="Cambria Math" w:hAnsi="Cambria Math"/>
                <w:i/>
              </w:rPr>
            </m:ctrlPr>
          </m:fPr>
          <m:num>
            <m:r>
              <w:rPr>
                <w:rFonts w:ascii="Cambria Math" w:hAnsi="Cambria Math"/>
              </w:rPr>
              <m:t xml:space="preserve">c </m:t>
            </m:r>
            <m:sSub>
              <m:sSubPr>
                <m:ctrlPr>
                  <w:rPr>
                    <w:rFonts w:ascii="Cambria Math" w:hAnsi="Cambria Math"/>
                    <w:i/>
                  </w:rPr>
                </m:ctrlPr>
              </m:sSubPr>
              <m:e>
                <m:r>
                  <w:rPr>
                    <w:rFonts w:ascii="Cambria Math" w:hAnsi="Cambria Math"/>
                  </w:rPr>
                  <m:t>u</m:t>
                </m:r>
              </m:e>
              <m:sub>
                <m:r>
                  <w:rPr>
                    <w:rFonts w:ascii="Cambria Math" w:hAnsi="Cambria Math"/>
                  </w:rPr>
                  <m:t>λ</m:t>
                </m:r>
              </m:sub>
            </m:sSub>
            <m:r>
              <w:rPr>
                <w:rFonts w:ascii="Cambria Math" w:hAnsi="Cambria Math"/>
              </w:rPr>
              <m:t xml:space="preserve"> </m:t>
            </m:r>
          </m:num>
          <m:den>
            <m:r>
              <w:rPr>
                <w:rFonts w:ascii="Cambria Math" w:hAnsi="Cambria Math"/>
              </w:rPr>
              <m:t>4π</m:t>
            </m:r>
          </m:den>
        </m:f>
      </m:oMath>
      <w:r>
        <w:rPr>
          <w:rFonts w:eastAsiaTheme="minorEastAsia"/>
        </w:rPr>
        <w:t xml:space="preserve">= </w:t>
      </w:r>
      <m:oMath>
        <m:f>
          <m:fPr>
            <m:ctrlPr>
              <w:rPr>
                <w:rFonts w:ascii="Cambria Math" w:hAnsi="Cambria Math"/>
              </w:rPr>
            </m:ctrlPr>
          </m:fPr>
          <m:num>
            <m:r>
              <m:rPr>
                <m:sty m:val="p"/>
              </m:rPr>
              <w:rPr>
                <w:rFonts w:ascii="Cambria Math" w:hAnsi="Cambria Math"/>
              </w:rPr>
              <m:t>2</m:t>
            </m:r>
            <m:r>
              <w:rPr>
                <w:rFonts w:ascii="Cambria Math" w:hAnsi="Cambria Math"/>
              </w:rPr>
              <m:t>h</m:t>
            </m:r>
            <m:sSup>
              <m:sSupPr>
                <m:ctrlPr>
                  <w:rPr>
                    <w:rFonts w:ascii="Cambria Math" w:hAnsi="Cambria Math"/>
                    <w:i/>
                    <w:iCs/>
                  </w:rPr>
                </m:ctrlPr>
              </m:sSupPr>
              <m:e>
                <m:r>
                  <w:rPr>
                    <w:rFonts w:ascii="Cambria Math" w:hAnsi="Cambria Math"/>
                  </w:rPr>
                  <m:t>c</m:t>
                </m:r>
              </m:e>
              <m:sup>
                <m:r>
                  <w:rPr>
                    <w:rFonts w:ascii="Cambria Math" w:hAnsi="Cambria Math"/>
                  </w:rPr>
                  <m:t>2</m:t>
                </m:r>
              </m:sup>
            </m:sSup>
          </m:num>
          <m:den>
            <m:sSup>
              <m:sSupPr>
                <m:ctrlPr>
                  <w:rPr>
                    <w:rFonts w:ascii="Cambria Math" w:hAnsi="Cambria Math"/>
                  </w:rPr>
                </m:ctrlPr>
              </m:sSupPr>
              <m:e>
                <m:r>
                  <w:rPr>
                    <w:rFonts w:ascii="Cambria Math" w:hAnsi="Cambria Math"/>
                  </w:rPr>
                  <m:t>λ</m:t>
                </m:r>
              </m:e>
              <m:sup>
                <m:r>
                  <m:rPr>
                    <m:sty m:val="p"/>
                  </m:rPr>
                  <w:rPr>
                    <w:rFonts w:ascii="Cambria Math" w:hAnsi="Cambria Math"/>
                  </w:rPr>
                  <m:t>5</m:t>
                </m:r>
              </m:sup>
            </m:sSup>
          </m:den>
        </m:f>
        <m:f>
          <m:fPr>
            <m:ctrlPr>
              <w:rPr>
                <w:rFonts w:ascii="Cambria Math" w:hAnsi="Cambria Math"/>
              </w:rPr>
            </m:ctrlPr>
          </m:fPr>
          <m:num>
            <m:r>
              <m:rPr>
                <m:sty m:val="p"/>
              </m:rPr>
              <w:rPr>
                <w:rFonts w:ascii="Cambria Math" w:hAnsi="Cambria Math"/>
              </w:rPr>
              <m:t>1</m:t>
            </m:r>
          </m:num>
          <m:den>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r>
                          <w:rPr>
                            <w:rFonts w:ascii="Cambria Math" w:hAnsi="Cambria Math"/>
                          </w:rPr>
                          <m:t>hc</m:t>
                        </m:r>
                      </m:num>
                      <m:den>
                        <m:r>
                          <w:rPr>
                            <w:rFonts w:ascii="Cambria Math" w:hAnsi="Cambria Math"/>
                          </w:rPr>
                          <m:t>λkT</m:t>
                        </m:r>
                      </m:den>
                    </m:f>
                  </m:e>
                </m:d>
              </m:e>
            </m:func>
            <m:r>
              <m:rPr>
                <m:sty m:val="p"/>
              </m:rPr>
              <w:rPr>
                <w:rFonts w:ascii="Cambria Math" w:hAnsi="Cambria Math"/>
              </w:rPr>
              <m:t>-1</m:t>
            </m:r>
          </m:den>
        </m:f>
      </m:oMath>
    </w:p>
    <w:p w14:paraId="095A220F" w14:textId="34F020C0" w:rsidR="00FC4359" w:rsidRDefault="00631372" w:rsidP="00FC4359">
      <w:pPr>
        <w:pStyle w:val="ListParagraph"/>
        <w:numPr>
          <w:ilvl w:val="0"/>
          <w:numId w:val="0"/>
        </w:numPr>
        <w:ind w:left="1428"/>
      </w:pPr>
      <w:r w:rsidRPr="00AF6885">
        <w:rPr>
          <w:rFonts w:eastAsiaTheme="minorEastAsia"/>
          <w:sz w:val="18"/>
          <w:szCs w:val="18"/>
        </w:rPr>
        <w:t xml:space="preserve">Cette relation est importante car elle montre que </w:t>
      </w:r>
      <w:r>
        <w:rPr>
          <w:rFonts w:eastAsiaTheme="minorEastAsia"/>
          <w:sz w:val="18"/>
          <w:szCs w:val="18"/>
        </w:rPr>
        <w:t>la luminance</w:t>
      </w:r>
      <w:r w:rsidRPr="00AF6885">
        <w:rPr>
          <w:rFonts w:eastAsiaTheme="minorEastAsia"/>
          <w:sz w:val="18"/>
          <w:szCs w:val="18"/>
        </w:rPr>
        <w:t xml:space="preserve"> s’identifie à la loi de Planck à un facteur multiplicatif (</w:t>
      </w:r>
      <m:oMath>
        <m:f>
          <m:fPr>
            <m:ctrlPr>
              <w:rPr>
                <w:rFonts w:ascii="Cambria Math" w:eastAsiaTheme="minorEastAsia" w:hAnsi="Cambria Math"/>
                <w:i/>
                <w:sz w:val="18"/>
                <w:szCs w:val="18"/>
              </w:rPr>
            </m:ctrlPr>
          </m:fPr>
          <m:num>
            <m:r>
              <w:rPr>
                <w:rFonts w:ascii="Cambria Math" w:eastAsiaTheme="minorEastAsia" w:hAnsi="Cambria Math"/>
                <w:sz w:val="18"/>
                <w:szCs w:val="18"/>
              </w:rPr>
              <m:t>c</m:t>
            </m:r>
          </m:num>
          <m:den>
            <m:r>
              <w:rPr>
                <w:rFonts w:ascii="Cambria Math" w:eastAsiaTheme="minorEastAsia" w:hAnsi="Cambria Math"/>
                <w:sz w:val="18"/>
                <w:szCs w:val="18"/>
              </w:rPr>
              <m:t>4π</m:t>
            </m:r>
          </m:den>
        </m:f>
      </m:oMath>
      <w:r w:rsidRPr="00AF6885">
        <w:rPr>
          <w:rFonts w:eastAsiaTheme="minorEastAsia"/>
          <w:sz w:val="18"/>
          <w:szCs w:val="18"/>
        </w:rPr>
        <w:t>) près. C’est pour cela que dans certain</w:t>
      </w:r>
      <w:r>
        <w:rPr>
          <w:rFonts w:eastAsiaTheme="minorEastAsia"/>
          <w:sz w:val="18"/>
          <w:szCs w:val="18"/>
        </w:rPr>
        <w:t>s</w:t>
      </w:r>
      <w:r w:rsidRPr="00AF6885">
        <w:rPr>
          <w:rFonts w:eastAsiaTheme="minorEastAsia"/>
          <w:sz w:val="18"/>
          <w:szCs w:val="18"/>
        </w:rPr>
        <w:t xml:space="preserve"> livre</w:t>
      </w:r>
      <w:r>
        <w:rPr>
          <w:rFonts w:eastAsiaTheme="minorEastAsia"/>
          <w:sz w:val="18"/>
          <w:szCs w:val="18"/>
        </w:rPr>
        <w:t>s</w:t>
      </w:r>
      <w:r w:rsidRPr="00AF6885">
        <w:rPr>
          <w:rFonts w:eastAsiaTheme="minorEastAsia"/>
          <w:sz w:val="18"/>
          <w:szCs w:val="18"/>
        </w:rPr>
        <w:t xml:space="preserve"> on </w:t>
      </w:r>
      <w:r>
        <w:rPr>
          <w:rFonts w:eastAsiaTheme="minorEastAsia"/>
          <w:sz w:val="18"/>
          <w:szCs w:val="18"/>
        </w:rPr>
        <w:t xml:space="preserve">dit que la loi de </w:t>
      </w:r>
      <w:r w:rsidR="00E835A4">
        <w:rPr>
          <w:rFonts w:eastAsiaTheme="minorEastAsia"/>
          <w:sz w:val="18"/>
          <w:szCs w:val="18"/>
        </w:rPr>
        <w:t>P</w:t>
      </w:r>
      <w:r>
        <w:rPr>
          <w:rFonts w:eastAsiaTheme="minorEastAsia"/>
          <w:sz w:val="18"/>
          <w:szCs w:val="18"/>
        </w:rPr>
        <w:t>lanck, c’est la luminance.</w:t>
      </w:r>
    </w:p>
    <w:p w14:paraId="1DB728DC" w14:textId="2ECD6E7A" w:rsidR="00C934C0" w:rsidRDefault="009575C3" w:rsidP="00FD75E3">
      <w:pPr>
        <w:pStyle w:val="ListParagraph"/>
        <w:numPr>
          <w:ilvl w:val="0"/>
          <w:numId w:val="9"/>
        </w:numPr>
      </w:pPr>
      <w:r>
        <w:t>On calcul</w:t>
      </w:r>
      <w:r w:rsidR="004F3328">
        <w:t>e</w:t>
      </w:r>
      <w:r>
        <w:t xml:space="preserve"> l’émittance</w:t>
      </w:r>
      <w:r w:rsidR="004F3328">
        <w:t xml:space="preserve"> spectrale en intégrant sur l’angle solide</w:t>
      </w:r>
      <w:r w:rsidR="00C934C0">
        <w:t> :</w:t>
      </w:r>
    </w:p>
    <w:p w14:paraId="7EB17DAA" w14:textId="1CBB7B05" w:rsidR="00C934C0" w:rsidRPr="00AF6885" w:rsidRDefault="008B4A57" w:rsidP="00AF6885">
      <w:pPr>
        <w:pStyle w:val="ListParagraph"/>
        <w:numPr>
          <w:ilvl w:val="0"/>
          <w:numId w:val="0"/>
        </w:numPr>
        <w:ind w:left="1416"/>
        <w:rPr>
          <w:sz w:val="18"/>
          <w:szCs w:val="18"/>
        </w:rPr>
      </w:pPr>
      <w:r>
        <w:t xml:space="preserve">On obtient : </w:t>
      </w:r>
      <m:oMath>
        <m:sSub>
          <m:sSubPr>
            <m:ctrlPr>
              <w:rPr>
                <w:rFonts w:ascii="Cambria Math" w:hAnsi="Cambria Math"/>
                <w:i/>
              </w:rPr>
            </m:ctrlPr>
          </m:sSubPr>
          <m:e>
            <m:r>
              <w:rPr>
                <w:rFonts w:ascii="Cambria Math" w:hAnsi="Cambria Math"/>
              </w:rPr>
              <m:t>ϕ</m:t>
            </m:r>
          </m:e>
          <m:sub>
            <m:r>
              <w:rPr>
                <w:rFonts w:ascii="Cambria Math" w:hAnsi="Cambria Math"/>
              </w:rPr>
              <m:t xml:space="preserve"> ν</m:t>
            </m:r>
          </m:sub>
        </m:sSub>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4</m:t>
            </m:r>
          </m:den>
        </m:f>
        <m:sSub>
          <m:sSubPr>
            <m:ctrlPr>
              <w:rPr>
                <w:rFonts w:ascii="Cambria Math" w:hAnsi="Cambria Math"/>
                <w:i/>
              </w:rPr>
            </m:ctrlPr>
          </m:sSubPr>
          <m:e>
            <m:r>
              <w:rPr>
                <w:rFonts w:ascii="Cambria Math" w:hAnsi="Cambria Math"/>
              </w:rPr>
              <m:t>u</m:t>
            </m:r>
          </m:e>
          <m:sub>
            <m:r>
              <w:rPr>
                <w:rFonts w:ascii="Cambria Math" w:hAnsi="Cambria Math"/>
              </w:rPr>
              <m:t>ν</m:t>
            </m:r>
          </m:sub>
        </m:sSub>
      </m:oMath>
      <w:r>
        <w:rPr>
          <w:rFonts w:eastAsiaTheme="minorEastAsia"/>
        </w:rPr>
        <w:t xml:space="preserve">. </w:t>
      </w:r>
    </w:p>
    <w:p w14:paraId="396260E6" w14:textId="1A140462" w:rsidR="00A87C7C" w:rsidRDefault="004F3328" w:rsidP="00FD75E3">
      <w:pPr>
        <w:pStyle w:val="ListParagraph"/>
        <w:numPr>
          <w:ilvl w:val="0"/>
          <w:numId w:val="9"/>
        </w:numPr>
      </w:pPr>
      <w:r>
        <w:t xml:space="preserve">Puis on intègre sur l’ensemble des fréquences pour retrouver la </w:t>
      </w:r>
      <w:r w:rsidRPr="00AF6885">
        <w:rPr>
          <w:i/>
          <w:iCs/>
        </w:rPr>
        <w:t xml:space="preserve">loi de </w:t>
      </w:r>
      <w:r w:rsidR="00AF6885">
        <w:rPr>
          <w:i/>
          <w:iCs/>
        </w:rPr>
        <w:t>Stefan</w:t>
      </w:r>
      <w:r>
        <w:t xml:space="preserve">. Cette dernière étape nécessite d’avoir précédemment calculé l’énergie interne volumique </w:t>
      </w:r>
      <m:oMath>
        <m:r>
          <w:rPr>
            <w:rFonts w:ascii="Cambria Math" w:hAnsi="Cambria Math"/>
          </w:rPr>
          <m:t>u</m:t>
        </m:r>
      </m:oMath>
      <w:r>
        <w:t xml:space="preserve"> ce qui ne po</w:t>
      </w:r>
      <w:proofErr w:type="spellStart"/>
      <w:r>
        <w:t>urra</w:t>
      </w:r>
      <w:proofErr w:type="spellEnd"/>
      <w:r>
        <w:t xml:space="preserve"> pas être présenté en détail. On dira juste que la fonction de partition </w:t>
      </w:r>
      <m:oMath>
        <m:r>
          <w:rPr>
            <w:rFonts w:ascii="Cambria Math" w:hAnsi="Cambria Math"/>
          </w:rPr>
          <m:t xml:space="preserve">Z= </m:t>
        </m:r>
        <m:nary>
          <m:naryPr>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m:rPr>
                    <m:sty m:val="bi"/>
                  </m:rPr>
                  <w:rPr>
                    <w:rFonts w:ascii="Cambria Math" w:hAnsi="Cambria Math"/>
                  </w:rPr>
                  <m:t>r</m:t>
                </m:r>
                <m:sSup>
                  <m:sSupPr>
                    <m:ctrlPr>
                      <w:rPr>
                        <w:rFonts w:ascii="Cambria Math" w:hAnsi="Cambria Math"/>
                        <w:i/>
                      </w:rPr>
                    </m:ctrlPr>
                  </m:sSupPr>
                  <m:e>
                    <m:r>
                      <w:rPr>
                        <w:rFonts w:ascii="Cambria Math" w:hAnsi="Cambria Math"/>
                      </w:rPr>
                      <m:t>d</m:t>
                    </m:r>
                  </m:e>
                  <m:sup>
                    <m:r>
                      <w:rPr>
                        <w:rFonts w:ascii="Cambria Math" w:hAnsi="Cambria Math"/>
                      </w:rPr>
                      <m:t>3</m:t>
                    </m:r>
                  </m:sup>
                </m:sSup>
                <m:r>
                  <m:rPr>
                    <m:sty m:val="bi"/>
                  </m:rPr>
                  <w:rPr>
                    <w:rFonts w:ascii="Cambria Math" w:hAnsi="Cambria Math"/>
                  </w:rPr>
                  <m:t>p</m:t>
                </m:r>
              </m:num>
              <m:den>
                <m:sSup>
                  <m:sSupPr>
                    <m:ctrlPr>
                      <w:rPr>
                        <w:rFonts w:ascii="Cambria Math" w:hAnsi="Cambria Math"/>
                        <w:i/>
                      </w:rPr>
                    </m:ctrlPr>
                  </m:sSupPr>
                  <m:e>
                    <m:r>
                      <w:rPr>
                        <w:rFonts w:ascii="Cambria Math" w:hAnsi="Cambria Math"/>
                      </w:rPr>
                      <m:t>h</m:t>
                    </m:r>
                  </m:e>
                  <m:sup>
                    <m:r>
                      <w:rPr>
                        <w:rFonts w:ascii="Cambria Math" w:hAnsi="Cambria Math"/>
                      </w:rPr>
                      <m:t>3</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-βhν</m:t>
                    </m:r>
                  </m:sup>
                </m:sSup>
                <m:r>
                  <w:rPr>
                    <w:rFonts w:ascii="Cambria Math" w:hAnsi="Cambria Math"/>
                  </w:rPr>
                  <m:t>-1</m:t>
                </m:r>
              </m:den>
            </m:f>
          </m:e>
        </m:nary>
      </m:oMath>
      <w:r>
        <w:t xml:space="preserve"> nous permet d’exprimer l’énergie libre </w:t>
      </w:r>
      <m:oMath>
        <m:r>
          <w:rPr>
            <w:rFonts w:ascii="Cambria Math" w:hAnsi="Cambria Math"/>
          </w:rPr>
          <m:t>F=-kTln(Z)</m:t>
        </m:r>
      </m:oMath>
      <w:r>
        <w:t xml:space="preserve"> puis l’entropie </w:t>
      </w:r>
      <m:oMath>
        <m:r>
          <w:rPr>
            <w:rFonts w:ascii="Cambria Math" w:hAnsi="Cambria Math"/>
          </w:rPr>
          <m:t>S= -</m:t>
        </m:r>
        <m:f>
          <m:fPr>
            <m:ctrlPr>
              <w:rPr>
                <w:rFonts w:ascii="Cambria Math" w:hAnsi="Cambria Math"/>
                <w:i/>
              </w:rPr>
            </m:ctrlPr>
          </m:fPr>
          <m:num>
            <m:r>
              <w:rPr>
                <w:rFonts w:ascii="Cambria Math" w:hAnsi="Cambria Math"/>
              </w:rPr>
              <m:t>∂F</m:t>
            </m:r>
          </m:num>
          <m:den>
            <m:r>
              <w:rPr>
                <w:rFonts w:ascii="Cambria Math" w:hAnsi="Cambria Math"/>
              </w:rPr>
              <m:t>∂T</m:t>
            </m:r>
          </m:den>
        </m:f>
      </m:oMath>
      <w:r>
        <w:t xml:space="preserve"> et enfin de remonter à </w:t>
      </w:r>
      <m:oMath>
        <m:r>
          <w:rPr>
            <w:rFonts w:ascii="Cambria Math" w:hAnsi="Cambria Math"/>
          </w:rPr>
          <m:t>u</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 TS</m:t>
            </m:r>
          </m:num>
          <m:den>
            <m:r>
              <w:rPr>
                <w:rFonts w:ascii="Cambria Math" w:eastAsiaTheme="minorEastAsia" w:hAnsi="Cambria Math"/>
              </w:rPr>
              <m:t>V</m:t>
            </m:r>
          </m:den>
        </m:f>
      </m:oMath>
      <w:r>
        <w:t xml:space="preserve">.  </w:t>
      </w:r>
      <w:r w:rsidR="00A87C7C">
        <w:t xml:space="preserve"> </w:t>
      </w:r>
    </w:p>
    <w:p w14:paraId="68F61C76" w14:textId="44A21E63" w:rsidR="00852727" w:rsidRPr="00852727" w:rsidRDefault="00852727" w:rsidP="00FD75E3">
      <w:pPr>
        <w:pStyle w:val="ListParagraph"/>
        <w:numPr>
          <w:ilvl w:val="0"/>
          <w:numId w:val="3"/>
        </w:numPr>
      </w:pPr>
      <w:r>
        <w:rPr>
          <w:b/>
          <w:bCs/>
        </w:rPr>
        <w:t xml:space="preserve">Petit exercice d’application [Couture et </w:t>
      </w:r>
      <w:proofErr w:type="spellStart"/>
      <w:r>
        <w:rPr>
          <w:b/>
          <w:bCs/>
        </w:rPr>
        <w:t>Zitoun</w:t>
      </w:r>
      <w:proofErr w:type="spellEnd"/>
      <w:r>
        <w:rPr>
          <w:b/>
          <w:bCs/>
        </w:rPr>
        <w:t xml:space="preserve"> §7.4 p205]</w:t>
      </w:r>
      <w:r w:rsidR="001B7D9A">
        <w:rPr>
          <w:b/>
          <w:bCs/>
        </w:rPr>
        <w:t xml:space="preserve"> </w:t>
      </w:r>
      <w:r>
        <w:rPr>
          <w:b/>
          <w:bCs/>
        </w:rPr>
        <w:t>:</w:t>
      </w:r>
      <w:r w:rsidRPr="00852727">
        <w:rPr>
          <w:b/>
          <w:bCs/>
        </w:rPr>
        <w:t xml:space="preserve"> </w:t>
      </w:r>
    </w:p>
    <w:p w14:paraId="60BC95F3" w14:textId="3540F9ED" w:rsidR="00413C8D" w:rsidRPr="00852727" w:rsidRDefault="00852727" w:rsidP="00852727">
      <w:pPr>
        <w:pStyle w:val="ListParagraph"/>
        <w:numPr>
          <w:ilvl w:val="0"/>
          <w:numId w:val="0"/>
        </w:numPr>
        <w:ind w:left="1068"/>
      </w:pPr>
      <w:r>
        <w:t xml:space="preserve">Cet exercice permet de calculer la puissance surfacique du rayonnement solaire reçu en dehors de l’atmosphère terrestre. </w:t>
      </w:r>
      <w:r>
        <w:rPr>
          <w:b/>
          <w:bCs/>
        </w:rPr>
        <w:t xml:space="preserve"> </w:t>
      </w:r>
      <w:r>
        <w:t xml:space="preserve">Données : Température photosphère (5950K). L’angle sous lequel le soleil est vu de la terre </w:t>
      </w:r>
      <m:oMath>
        <m:r>
          <w:rPr>
            <w:rFonts w:ascii="Cambria Math" w:hAnsi="Cambria Math"/>
          </w:rPr>
          <m:t>α=32'</m:t>
        </m:r>
      </m:oMath>
      <w:r w:rsidR="001B7D9A">
        <w:rPr>
          <w:rFonts w:eastAsiaTheme="minorEastAsia"/>
        </w:rPr>
        <w:t>. On trouve que la puissance</w:t>
      </w:r>
      <w:r w:rsidR="009F3223">
        <w:rPr>
          <w:rFonts w:eastAsiaTheme="minorEastAsia"/>
        </w:rPr>
        <w:t xml:space="preserve"> surfacique</w:t>
      </w:r>
      <w:r w:rsidR="001B7D9A">
        <w:rPr>
          <w:rFonts w:eastAsiaTheme="minorEastAsia"/>
        </w:rPr>
        <w:t xml:space="preserve"> reçue est </w:t>
      </w:r>
      <m:oMath>
        <m:r>
          <w:rPr>
            <w:rFonts w:ascii="Cambria Math" w:eastAsiaTheme="minorEastAsia" w:hAnsi="Cambria Math"/>
          </w:rPr>
          <m:t>p=1540W</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 xml:space="preserve"> </m:t>
        </m:r>
      </m:oMath>
      <w:r w:rsidR="009F3223">
        <w:rPr>
          <w:rFonts w:eastAsiaTheme="minorEastAsia"/>
        </w:rPr>
        <w:t>. En considérant que l’atmosphère absorbe la moitié de l’énergie, que les rayons sont inclinés (facteur ½), et que l’ensoleillement dure 2500 heure</w:t>
      </w:r>
      <w:r w:rsidR="000A00B1">
        <w:rPr>
          <w:rFonts w:eastAsiaTheme="minorEastAsia"/>
        </w:rPr>
        <w:t>s</w:t>
      </w:r>
      <w:r w:rsidR="009F3223">
        <w:rPr>
          <w:rFonts w:eastAsiaTheme="minorEastAsia"/>
        </w:rPr>
        <w:t xml:space="preserve"> par an, on trouve que 1m^2 reçoit une énergie de 1000kWh en 1 an. </w:t>
      </w:r>
      <w:r w:rsidR="00B40639">
        <w:rPr>
          <w:rFonts w:eastAsiaTheme="minorEastAsia"/>
        </w:rPr>
        <w:t xml:space="preserve">C’est l’énergie correspondant à la chaleur de combustion de 85 kg de pétrole. </w:t>
      </w:r>
      <w:r w:rsidR="009F3223">
        <w:rPr>
          <w:rFonts w:eastAsiaTheme="minorEastAsia"/>
        </w:rPr>
        <w:t xml:space="preserve"> </w:t>
      </w:r>
    </w:p>
    <w:p w14:paraId="42D6D9C0" w14:textId="77777777" w:rsidR="00FC3989" w:rsidRDefault="00FC3989" w:rsidP="00CD76BE">
      <w:pPr>
        <w:pStyle w:val="ListParagraph"/>
        <w:numPr>
          <w:ilvl w:val="0"/>
          <w:numId w:val="0"/>
        </w:numPr>
        <w:ind w:left="1428"/>
      </w:pPr>
    </w:p>
    <w:p w14:paraId="0A9AE11E" w14:textId="70A33F52" w:rsidR="00ED7267" w:rsidRDefault="005141E7" w:rsidP="00A27ED0">
      <w:pPr>
        <w:pStyle w:val="Heading1"/>
      </w:pPr>
      <w:r>
        <w:t xml:space="preserve">Une </w:t>
      </w:r>
      <w:r w:rsidR="00ED7267">
        <w:t>Application</w:t>
      </w:r>
      <w:r w:rsidR="00FC3989">
        <w:t> : Pyromètre à disparition de filament</w:t>
      </w:r>
    </w:p>
    <w:p w14:paraId="3B0C745A" w14:textId="43CD589E" w:rsidR="00BA0A97" w:rsidRPr="00BA0A97" w:rsidRDefault="00BA0A97" w:rsidP="00BA0A97">
      <w:r>
        <w:t xml:space="preserve">Le </w:t>
      </w:r>
      <w:r w:rsidRPr="00676A73">
        <w:rPr>
          <w:b/>
          <w:bCs/>
        </w:rPr>
        <w:t>pyromètre à disparition de filament</w:t>
      </w:r>
      <w:r>
        <w:t xml:space="preserve"> permet de mesurer des températures de corps très chaud</w:t>
      </w:r>
      <w:r w:rsidR="009A49DF">
        <w:t>s</w:t>
      </w:r>
      <w:r>
        <w:t xml:space="preserve"> (</w:t>
      </w:r>
      <m:oMath>
        <m:r>
          <w:rPr>
            <w:rFonts w:ascii="Cambria Math" w:hAnsi="Cambria Math"/>
          </w:rPr>
          <m:t>T~3000K</m:t>
        </m:r>
      </m:oMath>
      <w:r>
        <w:rPr>
          <w:rFonts w:eastAsiaTheme="minorEastAsia"/>
        </w:rPr>
        <w:t xml:space="preserve">). Pour une longueur d’onde donnée, on compare la luminance du corps étudié avec celle d’un corps de référence (filament) dont on peut régler la température en faisant varier l’intensité du courant électrique y circulant. </w:t>
      </w:r>
    </w:p>
    <w:p w14:paraId="7B56EDA7" w14:textId="20FD282F" w:rsidR="001659ED" w:rsidRDefault="00D7755E" w:rsidP="008D11BA">
      <w:r>
        <w:rPr>
          <w:b/>
          <w:bCs/>
        </w:rPr>
        <w:t xml:space="preserve">Support Vidéo : </w:t>
      </w:r>
      <w:r w:rsidR="002F254C">
        <w:t xml:space="preserve">La vidéo </w:t>
      </w:r>
      <w:hyperlink r:id="rId11" w:history="1">
        <w:r w:rsidR="002F254C">
          <w:rPr>
            <w:rStyle w:val="Hyperlink"/>
          </w:rPr>
          <w:t>https://www.youtube.com/watch?v=xepA7qOVoxM</w:t>
        </w:r>
      </w:hyperlink>
      <w:r w:rsidR="002F254C">
        <w:t xml:space="preserve"> est un excellent support</w:t>
      </w:r>
      <w:r>
        <w:t xml:space="preserve"> pour expliquer simplement le principe</w:t>
      </w:r>
      <w:r w:rsidR="002F254C">
        <w:t xml:space="preserve">. </w:t>
      </w:r>
    </w:p>
    <w:p w14:paraId="71D6E56B" w14:textId="61DFB1D3" w:rsidR="001659ED" w:rsidRDefault="00D7755E" w:rsidP="00BA0A97">
      <w:r>
        <w:rPr>
          <w:b/>
          <w:bCs/>
        </w:rPr>
        <w:t xml:space="preserve">Ajustement de la température du filament : </w:t>
      </w:r>
      <w:r w:rsidR="00BA0A97">
        <w:t>Si le filament est « plus rouge », cela veut dire que sa température est inférieur</w:t>
      </w:r>
      <w:r w:rsidR="00352993">
        <w:t>e</w:t>
      </w:r>
      <w:r w:rsidR="00BA0A97">
        <w:t xml:space="preserve"> à la </w:t>
      </w:r>
      <w:r w:rsidR="00BA0A97" w:rsidRPr="00352993">
        <w:rPr>
          <w:i/>
          <w:iCs/>
        </w:rPr>
        <w:t>température de luminance</w:t>
      </w:r>
      <w:r w:rsidR="00352993">
        <w:rPr>
          <w:i/>
          <w:iCs/>
        </w:rPr>
        <w:t xml:space="preserve"> </w:t>
      </w:r>
      <w:r w:rsidR="00352993" w:rsidRPr="00352993">
        <w:t>(cf.ci après)</w:t>
      </w:r>
      <w:r w:rsidR="00BA0A97" w:rsidRPr="00352993">
        <w:t xml:space="preserve"> </w:t>
      </w:r>
      <w:r w:rsidR="00BA0A97">
        <w:t>du corps étudié</w:t>
      </w:r>
      <w:r w:rsidR="00352993">
        <w:t xml:space="preserve"> (et réciproquement)</w:t>
      </w:r>
      <w:r w:rsidR="00BA0A97">
        <w:t>.</w:t>
      </w:r>
      <w:r w:rsidR="00352993">
        <w:t xml:space="preserve"> On ajuste le courant</w:t>
      </w:r>
      <w:r>
        <w:t xml:space="preserve"> du filament</w:t>
      </w:r>
      <w:r w:rsidR="00352993">
        <w:t xml:space="preserve"> jusqu’à ce qu’on ne distingue </w:t>
      </w:r>
      <w:r w:rsidR="00352993">
        <w:lastRenderedPageBreak/>
        <w:t>plus le filament du corps étudié</w:t>
      </w:r>
      <w:r w:rsidR="00A62E2F">
        <w:t xml:space="preserve"> (disparition du filament)</w:t>
      </w:r>
      <w:r w:rsidR="00352993">
        <w:t xml:space="preserve">. </w:t>
      </w:r>
      <w:r w:rsidR="00BA0A97">
        <w:t xml:space="preserve"> </w:t>
      </w:r>
      <w:r w:rsidR="00352993">
        <w:t>L’appareil a</w:t>
      </w:r>
      <w:r>
        <w:t>yant</w:t>
      </w:r>
      <w:r w:rsidR="00352993">
        <w:t xml:space="preserve"> précédemmen</w:t>
      </w:r>
      <w:r w:rsidR="00751B49">
        <w:t>t</w:t>
      </w:r>
      <w:r>
        <w:t xml:space="preserve"> été</w:t>
      </w:r>
      <w:r w:rsidR="00751B49">
        <w:t xml:space="preserve"> étalonné par un corps noir</w:t>
      </w:r>
      <w:r w:rsidR="00D67784">
        <w:t>,</w:t>
      </w:r>
      <w:r w:rsidR="00751B49">
        <w:t xml:space="preserve"> </w:t>
      </w:r>
      <w:r>
        <w:t>on remonte ainsi à</w:t>
      </w:r>
      <w:r w:rsidR="00751B49">
        <w:t xml:space="preserve"> la température de luminance du filament.</w:t>
      </w:r>
    </w:p>
    <w:p w14:paraId="26D3E734" w14:textId="323040AB" w:rsidR="001659ED" w:rsidRDefault="00FA451D" w:rsidP="008D11BA">
      <w:r>
        <w:rPr>
          <w:b/>
          <w:bCs/>
        </w:rPr>
        <w:t xml:space="preserve">Différence entre température de luminance et température réelle : </w:t>
      </w:r>
      <w:r>
        <w:t>Les corps réels ne sont pas des corps noirs. En effet, ils n’absorbent pas la totalité du rayonnement mais en transmettent ou réfléchissent une partie.</w:t>
      </w:r>
      <w:r w:rsidR="00643DDC">
        <w:t xml:space="preserve"> La température de luminance est la température qu’aurait le corps noir pour une luminance donnée. </w:t>
      </w:r>
      <w:r>
        <w:t xml:space="preserve"> </w:t>
      </w:r>
      <w:r w:rsidR="00643DDC">
        <w:t xml:space="preserve">Or, </w:t>
      </w:r>
      <w:r>
        <w:t xml:space="preserve">La luminance d’un corps réel </w:t>
      </w:r>
      <m:oMath>
        <m:sSub>
          <m:sSubPr>
            <m:ctrlPr>
              <w:rPr>
                <w:rFonts w:ascii="Cambria Math" w:hAnsi="Cambria Math"/>
                <w:i/>
              </w:rPr>
            </m:ctrlPr>
          </m:sSubPr>
          <m:e>
            <m:r>
              <w:rPr>
                <w:rFonts w:ascii="Cambria Math" w:hAnsi="Cambria Math"/>
              </w:rPr>
              <m:t>L</m:t>
            </m:r>
          </m:e>
          <m:sub>
            <m:r>
              <m:rPr>
                <m:sty m:val="p"/>
              </m:rPr>
              <w:rPr>
                <w:rFonts w:ascii="Cambria Math" w:hAnsi="Cambria Math"/>
              </w:rPr>
              <m:t>Ω,λ</m:t>
            </m:r>
          </m:sub>
        </m:sSub>
        <m:d>
          <m:dPr>
            <m:ctrlPr>
              <w:rPr>
                <w:rFonts w:ascii="Cambria Math" w:hAnsi="Cambria Math"/>
                <w:i/>
              </w:rPr>
            </m:ctrlPr>
          </m:dPr>
          <m:e>
            <m:r>
              <w:rPr>
                <w:rFonts w:ascii="Cambria Math" w:hAnsi="Cambria Math"/>
              </w:rPr>
              <m:t>T</m:t>
            </m:r>
          </m:e>
        </m:d>
      </m:oMath>
      <w:r>
        <w:t xml:space="preserve"> à une température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est inférieure à la luminance du corps noir </w:t>
      </w:r>
      <m:oMath>
        <m:sSubSup>
          <m:sSubSupPr>
            <m:ctrlPr>
              <w:rPr>
                <w:rFonts w:ascii="Cambria Math" w:hAnsi="Cambria Math"/>
                <w:i/>
              </w:rPr>
            </m:ctrlPr>
          </m:sSubSupPr>
          <m:e>
            <m:r>
              <w:rPr>
                <w:rFonts w:ascii="Cambria Math" w:hAnsi="Cambria Math"/>
              </w:rPr>
              <m:t>L</m:t>
            </m:r>
          </m:e>
          <m:sub>
            <m:r>
              <m:rPr>
                <m:sty m:val="p"/>
              </m:rPr>
              <w:rPr>
                <w:rFonts w:ascii="Cambria Math" w:hAnsi="Cambria Math"/>
              </w:rPr>
              <m:t>Ω,λ</m:t>
            </m:r>
            <m:ctrlPr>
              <w:rPr>
                <w:rFonts w:ascii="Cambria Math" w:hAnsi="Cambria Math"/>
              </w:rPr>
            </m:ctrlPr>
          </m:sub>
          <m:sup>
            <m:r>
              <w:rPr>
                <w:rFonts w:ascii="Cambria Math" w:hAnsi="Cambria Math"/>
              </w:rPr>
              <m:t>°</m:t>
            </m:r>
          </m:sup>
        </m:sSubSup>
        <m:r>
          <w:rPr>
            <w:rFonts w:ascii="Cambria Math" w:hAnsi="Cambria Math"/>
          </w:rPr>
          <m:t>(T)</m:t>
        </m:r>
      </m:oMath>
      <w:r>
        <w:t xml:space="preserve"> à la même température. Le rapport des deux luminances permet de définir l’émissivité spectrale : </w:t>
      </w:r>
    </w:p>
    <w:p w14:paraId="4379A954" w14:textId="24747193" w:rsidR="001659ED" w:rsidRDefault="00200B28" w:rsidP="002709FF">
      <w:pPr>
        <w:numPr>
          <w:ilvl w:val="0"/>
          <w:numId w:val="0"/>
        </w:numPr>
        <w:ind w:left="1068"/>
        <w:rPr>
          <w:rFonts w:eastAsiaTheme="minorEastAsia"/>
        </w:rPr>
      </w:pPr>
      <m:oMath>
        <m:sSub>
          <m:sSubPr>
            <m:ctrlPr>
              <w:rPr>
                <w:rFonts w:ascii="Cambria Math" w:hAnsi="Cambria Math"/>
                <w:i/>
              </w:rPr>
            </m:ctrlPr>
          </m:sSubPr>
          <m:e>
            <m:r>
              <w:rPr>
                <w:rFonts w:ascii="Cambria Math" w:hAnsi="Cambria Math"/>
              </w:rPr>
              <m:t>ϵ</m:t>
            </m:r>
          </m:e>
          <m:sub>
            <m:r>
              <w:rPr>
                <w:rFonts w:ascii="Cambria Math" w:hAnsi="Cambria Math"/>
              </w:rPr>
              <m:t>λ</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m:rPr>
                    <m:sty m:val="p"/>
                  </m:rPr>
                  <w:rPr>
                    <w:rFonts w:ascii="Cambria Math" w:hAnsi="Cambria Math"/>
                  </w:rPr>
                  <m:t>Ω,λ</m:t>
                </m:r>
              </m:sub>
            </m:sSub>
            <m:ctrlPr>
              <w:rPr>
                <w:rFonts w:ascii="Cambria Math" w:eastAsiaTheme="minorEastAsia" w:hAnsi="Cambria Math"/>
                <w:i/>
              </w:rPr>
            </m:ctrlPr>
          </m:num>
          <m:den>
            <m:sSubSup>
              <m:sSubSupPr>
                <m:ctrlPr>
                  <w:rPr>
                    <w:rFonts w:ascii="Cambria Math" w:hAnsi="Cambria Math"/>
                    <w:i/>
                  </w:rPr>
                </m:ctrlPr>
              </m:sSubSupPr>
              <m:e>
                <m:r>
                  <w:rPr>
                    <w:rFonts w:ascii="Cambria Math" w:hAnsi="Cambria Math"/>
                  </w:rPr>
                  <m:t>L</m:t>
                </m:r>
              </m:e>
              <m:sub>
                <m:r>
                  <m:rPr>
                    <m:sty m:val="p"/>
                  </m:rPr>
                  <w:rPr>
                    <w:rFonts w:ascii="Cambria Math" w:hAnsi="Cambria Math"/>
                  </w:rPr>
                  <m:t>Ω,λ</m:t>
                </m:r>
                <m:ctrlPr>
                  <w:rPr>
                    <w:rFonts w:ascii="Cambria Math" w:hAnsi="Cambria Math"/>
                  </w:rPr>
                </m:ctrlPr>
              </m:sub>
              <m:sup>
                <m:r>
                  <w:rPr>
                    <w:rFonts w:ascii="Cambria Math" w:hAnsi="Cambria Math"/>
                  </w:rPr>
                  <m:t>°</m:t>
                </m:r>
              </m:sup>
            </m:sSubSup>
          </m:den>
        </m:f>
        <m:r>
          <w:rPr>
            <w:rFonts w:ascii="Cambria Math" w:hAnsi="Cambria Math"/>
          </w:rPr>
          <m:t xml:space="preserve"> </m:t>
        </m:r>
      </m:oMath>
      <w:r w:rsidR="00643DDC">
        <w:rPr>
          <w:rFonts w:eastAsiaTheme="minorEastAsia"/>
        </w:rPr>
        <w:t>. Si l’on connait l’émissivité du corps étudié, on peut remonter à la température réelle.</w:t>
      </w:r>
      <w:r w:rsidR="002709FF">
        <w:rPr>
          <w:rFonts w:eastAsiaTheme="minorEastAsia"/>
        </w:rPr>
        <w:t xml:space="preserve"> </w:t>
      </w:r>
    </w:p>
    <w:p w14:paraId="225A25A7" w14:textId="35B7F52B" w:rsidR="001659ED" w:rsidRDefault="001659ED" w:rsidP="001659ED">
      <w:pPr>
        <w:numPr>
          <w:ilvl w:val="0"/>
          <w:numId w:val="0"/>
        </w:numPr>
        <w:ind w:left="1068" w:hanging="360"/>
      </w:pPr>
    </w:p>
    <w:p w14:paraId="6D4535AE" w14:textId="132943DB" w:rsidR="00E23439" w:rsidRDefault="00E23439" w:rsidP="001659ED">
      <w:pPr>
        <w:numPr>
          <w:ilvl w:val="0"/>
          <w:numId w:val="0"/>
        </w:numPr>
        <w:ind w:left="1068" w:hanging="360"/>
      </w:pPr>
    </w:p>
    <w:p w14:paraId="311CF4E9" w14:textId="5431C34A" w:rsidR="00E23439" w:rsidRDefault="00E23439" w:rsidP="00E23439">
      <w:pPr>
        <w:pStyle w:val="Heading1"/>
        <w:numPr>
          <w:ilvl w:val="0"/>
          <w:numId w:val="0"/>
        </w:numPr>
        <w:ind w:left="1080"/>
      </w:pPr>
      <w:r>
        <w:t>Conclusion </w:t>
      </w:r>
    </w:p>
    <w:p w14:paraId="141DCC4C" w14:textId="29D11EDE" w:rsidR="00E23439" w:rsidRDefault="006430C7" w:rsidP="00E23439">
      <w:pPr>
        <w:numPr>
          <w:ilvl w:val="0"/>
          <w:numId w:val="0"/>
        </w:numPr>
        <w:ind w:left="1068"/>
      </w:pPr>
      <w:r>
        <w:rPr>
          <w:b/>
          <w:bCs/>
        </w:rPr>
        <w:t xml:space="preserve">Résumé : </w:t>
      </w:r>
      <w:r w:rsidR="00114C03">
        <w:t xml:space="preserve">A partir du modèle du corps noir nous avons pu obtenir l’allure du spectre du rayonnement thermique. Ce dernier ne dépend que de la température du corps considéré et pas de sa composition. L’étude de la luminance des objets permet ainsi de remonter à leur température, c’est ce que nous avons montré avec l’application du pyromètre à disparition de filament. </w:t>
      </w:r>
    </w:p>
    <w:p w14:paraId="6B17082D" w14:textId="73526FE9" w:rsidR="008C2184" w:rsidRDefault="006430C7" w:rsidP="00E23439">
      <w:pPr>
        <w:numPr>
          <w:ilvl w:val="0"/>
          <w:numId w:val="0"/>
        </w:numPr>
        <w:ind w:left="1068"/>
      </w:pPr>
      <w:r>
        <w:rPr>
          <w:b/>
          <w:bCs/>
        </w:rPr>
        <w:t xml:space="preserve">Ouverture : </w:t>
      </w:r>
      <w:r>
        <w:t>Le modèle du corps noir peut aussi permettre d’expliquer le phénomène de l’effet de serre.</w:t>
      </w:r>
      <w:r w:rsidR="00D103B9">
        <w:t xml:space="preserve"> </w:t>
      </w:r>
    </w:p>
    <w:p w14:paraId="6A436637" w14:textId="77777777" w:rsidR="008C2184" w:rsidRDefault="008C2184" w:rsidP="00E23439">
      <w:pPr>
        <w:numPr>
          <w:ilvl w:val="0"/>
          <w:numId w:val="0"/>
        </w:numPr>
        <w:ind w:left="1068"/>
      </w:pPr>
    </w:p>
    <w:p w14:paraId="5F19B3B8" w14:textId="77777777" w:rsidR="008C2184" w:rsidRDefault="008C2184" w:rsidP="00E23439">
      <w:pPr>
        <w:numPr>
          <w:ilvl w:val="0"/>
          <w:numId w:val="0"/>
        </w:numPr>
        <w:ind w:left="1068"/>
      </w:pPr>
    </w:p>
    <w:p w14:paraId="2A0A940F" w14:textId="77777777" w:rsidR="008C2184" w:rsidRDefault="008C2184" w:rsidP="00E23439">
      <w:pPr>
        <w:numPr>
          <w:ilvl w:val="0"/>
          <w:numId w:val="0"/>
        </w:numPr>
        <w:ind w:left="1068"/>
      </w:pPr>
    </w:p>
    <w:p w14:paraId="22644BB4" w14:textId="781072A1" w:rsidR="006430C7" w:rsidRPr="006430C7" w:rsidRDefault="006430C7" w:rsidP="00E23439">
      <w:pPr>
        <w:numPr>
          <w:ilvl w:val="0"/>
          <w:numId w:val="0"/>
        </w:numPr>
        <w:ind w:left="1068"/>
      </w:pPr>
      <w:r>
        <w:t xml:space="preserve"> </w:t>
      </w:r>
    </w:p>
    <w:sectPr w:rsidR="006430C7" w:rsidRPr="006430C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37B28" w14:textId="77777777" w:rsidR="00200B28" w:rsidRDefault="00200B28" w:rsidP="00A27ED0">
      <w:r>
        <w:separator/>
      </w:r>
    </w:p>
  </w:endnote>
  <w:endnote w:type="continuationSeparator" w:id="0">
    <w:p w14:paraId="2DA745BB" w14:textId="77777777" w:rsidR="00200B28" w:rsidRDefault="00200B28" w:rsidP="00A27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10-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4195A" w14:textId="77777777" w:rsidR="00200B28" w:rsidRDefault="00200B28" w:rsidP="00A27ED0">
      <w:r>
        <w:separator/>
      </w:r>
    </w:p>
  </w:footnote>
  <w:footnote w:type="continuationSeparator" w:id="0">
    <w:p w14:paraId="36E70CD2" w14:textId="77777777" w:rsidR="00200B28" w:rsidRDefault="00200B28" w:rsidP="00A27ED0">
      <w:r>
        <w:continuationSeparator/>
      </w:r>
    </w:p>
  </w:footnote>
  <w:footnote w:id="1">
    <w:p w14:paraId="001B579C" w14:textId="65A5060A" w:rsidR="00797849" w:rsidRDefault="00797849" w:rsidP="00B408A5">
      <w:pPr>
        <w:numPr>
          <w:ilvl w:val="0"/>
          <w:numId w:val="0"/>
        </w:numPr>
        <w:autoSpaceDE w:val="0"/>
        <w:autoSpaceDN w:val="0"/>
        <w:adjustRightInd w:val="0"/>
        <w:spacing w:after="0" w:line="240" w:lineRule="auto"/>
        <w:contextualSpacing w:val="0"/>
        <w:jc w:val="left"/>
      </w:pPr>
      <w:r w:rsidRPr="00922709">
        <w:rPr>
          <w:rStyle w:val="FootnoteReference"/>
          <w:i/>
          <w:iCs/>
          <w:sz w:val="20"/>
          <w:szCs w:val="20"/>
        </w:rPr>
        <w:footnoteRef/>
      </w:r>
      <w:r w:rsidRPr="00922709">
        <w:rPr>
          <w:i/>
          <w:iCs/>
          <w:sz w:val="20"/>
          <w:szCs w:val="20"/>
        </w:rPr>
        <w:t xml:space="preserve"> </w:t>
      </w:r>
      <w:r>
        <w:rPr>
          <w:i/>
          <w:iCs/>
          <w:sz w:val="20"/>
          <w:szCs w:val="20"/>
        </w:rPr>
        <w:t xml:space="preserve">Rapport Du Jury : </w:t>
      </w:r>
      <w:r w:rsidRPr="00922709">
        <w:rPr>
          <w:rFonts w:ascii="LMRoman10-Regular" w:hAnsi="LMRoman10-Regular" w:cs="LMRoman10-Regular"/>
          <w:i/>
          <w:iCs/>
          <w:sz w:val="20"/>
          <w:szCs w:val="20"/>
        </w:rPr>
        <w:t>L’intérêt de la notion de corps noir, et son lien avec celle de rayonnement d’équilibre, doivent apparaître</w:t>
      </w:r>
      <w:r>
        <w:rPr>
          <w:rFonts w:ascii="LMRoman10-Regular" w:hAnsi="LMRoman10-Regular" w:cs="LMRoman10-Regular"/>
          <w:i/>
          <w:iCs/>
          <w:sz w:val="20"/>
          <w:szCs w:val="20"/>
        </w:rPr>
        <w:t xml:space="preserve"> </w:t>
      </w:r>
      <w:r w:rsidRPr="00B408A5">
        <w:rPr>
          <w:rFonts w:ascii="LMRoman10-Regular" w:hAnsi="LMRoman10-Regular" w:cs="LMRoman10-Regular"/>
          <w:i/>
          <w:iCs/>
          <w:sz w:val="20"/>
          <w:szCs w:val="20"/>
        </w:rPr>
        <w:t xml:space="preserve">clairement. </w:t>
      </w:r>
      <w:r w:rsidRPr="00B408A5">
        <w:rPr>
          <w:rFonts w:ascii="LMRoman10-Regular" w:hAnsi="LMRoman10-Regular" w:cs="LMRoman10-Regular"/>
          <w:b/>
          <w:bCs/>
          <w:i/>
          <w:iCs/>
          <w:color w:val="FF0000"/>
          <w:sz w:val="20"/>
          <w:szCs w:val="20"/>
        </w:rPr>
        <w:t>Des bilans radiatifs dans des situations concrètes permettent alors de mettre en oeuvre cette notion.</w:t>
      </w:r>
      <w:r w:rsidRPr="00922709">
        <w:rPr>
          <w:rFonts w:ascii="LMRoman10-Regular" w:hAnsi="LMRoman10-Regular" w:cs="LMRoman10-Regular"/>
          <w:b/>
          <w:bCs/>
          <w:i/>
          <w:iCs/>
          <w:color w:val="FF0000"/>
          <w:sz w:val="20"/>
          <w:szCs w:val="20"/>
        </w:rPr>
        <w:t> ????</w:t>
      </w:r>
      <w:r w:rsidRPr="00922709">
        <w:rPr>
          <w:rFonts w:ascii="LMRoman10-Regular" w:hAnsi="LMRoman10-Regular" w:cs="LMRoman10-Regular"/>
          <w:i/>
          <w:iCs/>
          <w:sz w:val="20"/>
          <w:szCs w:val="20"/>
        </w:rPr>
        <w:t xml:space="preserve"> </w:t>
      </w:r>
      <w:r w:rsidRPr="00B408A5">
        <w:rPr>
          <w:rFonts w:ascii="LMRoman10-Regular" w:hAnsi="LMRoman10-Regular" w:cs="LMRoman10-Regular"/>
          <w:i/>
          <w:iCs/>
          <w:sz w:val="20"/>
          <w:szCs w:val="20"/>
        </w:rPr>
        <w:t>Les lois de base du rayonnement thermique sont établies en situation d’équilibre ; il convient de s’interroger sur</w:t>
      </w:r>
      <w:r w:rsidRPr="00922709">
        <w:rPr>
          <w:rFonts w:ascii="LMRoman10-Regular" w:hAnsi="LMRoman10-Regular" w:cs="LMRoman10-Regular"/>
          <w:i/>
          <w:iCs/>
          <w:sz w:val="20"/>
          <w:szCs w:val="20"/>
        </w:rPr>
        <w:t xml:space="preserve"> la validité de leur application à des situations hors-équilibre.</w:t>
      </w:r>
    </w:p>
  </w:footnote>
  <w:footnote w:id="2">
    <w:p w14:paraId="4963F0D8" w14:textId="69588421" w:rsidR="00797849" w:rsidRPr="00D32B49" w:rsidRDefault="00797849" w:rsidP="00D32B49">
      <w:pPr>
        <w:numPr>
          <w:ilvl w:val="0"/>
          <w:numId w:val="0"/>
        </w:numPr>
        <w:autoSpaceDE w:val="0"/>
        <w:autoSpaceDN w:val="0"/>
        <w:adjustRightInd w:val="0"/>
        <w:spacing w:after="0" w:line="240" w:lineRule="auto"/>
        <w:contextualSpacing w:val="0"/>
        <w:jc w:val="left"/>
        <w:rPr>
          <w:rFonts w:ascii="LMRoman10-Regular" w:hAnsi="LMRoman10-Regular" w:cs="LMRoman10-Regular"/>
          <w:i/>
          <w:iCs/>
          <w:sz w:val="20"/>
          <w:szCs w:val="20"/>
        </w:rPr>
      </w:pPr>
      <w:r>
        <w:rPr>
          <w:rStyle w:val="FootnoteReference"/>
        </w:rPr>
        <w:footnoteRef/>
      </w:r>
      <w:r>
        <w:t xml:space="preserve"> RDJ : </w:t>
      </w:r>
      <w:r w:rsidRPr="00D32B49">
        <w:rPr>
          <w:rFonts w:ascii="LMRoman10-Regular" w:hAnsi="LMRoman10-Regular" w:cs="LMRoman10-Regular"/>
          <w:i/>
          <w:iCs/>
          <w:sz w:val="20"/>
          <w:szCs w:val="20"/>
        </w:rPr>
        <w:t>S’il/elle choisit de ne pas en faire la démonstration, le/la candidat(e)doit être capable de donner l’origine des différents termes de la loi de Planck et savoir l’énoncer correctement en fonction de la fréquence et de la longueur d’onde.</w:t>
      </w:r>
    </w:p>
  </w:footnote>
  <w:footnote w:id="3">
    <w:p w14:paraId="034EED25" w14:textId="02DE795D" w:rsidR="00797849" w:rsidRDefault="00797849" w:rsidP="00B408A5">
      <w:pPr>
        <w:numPr>
          <w:ilvl w:val="0"/>
          <w:numId w:val="0"/>
        </w:numPr>
        <w:ind w:left="708"/>
        <w:jc w:val="left"/>
      </w:pPr>
      <w:r>
        <w:rPr>
          <w:rStyle w:val="FootnoteReference"/>
        </w:rPr>
        <w:footnoteRef/>
      </w:r>
      <w:r>
        <w:t xml:space="preserve"> Attention : Le changement de variable pour passer de la densité spectrale en fréquence à celle en longueur d’onde n’est pas </w:t>
      </w:r>
      <m:oMath>
        <m:r>
          <w:rPr>
            <w:rFonts w:ascii="Cambria Math" w:hAnsi="Cambria Math"/>
          </w:rPr>
          <m:t>ν=</m:t>
        </m:r>
        <m:f>
          <m:fPr>
            <m:ctrlPr>
              <w:rPr>
                <w:rFonts w:ascii="Cambria Math" w:hAnsi="Cambria Math"/>
                <w:i/>
              </w:rPr>
            </m:ctrlPr>
          </m:fPr>
          <m:num>
            <m:r>
              <w:rPr>
                <w:rFonts w:ascii="Cambria Math" w:hAnsi="Cambria Math"/>
              </w:rPr>
              <m:t>λ</m:t>
            </m:r>
          </m:num>
          <m:den>
            <m:r>
              <w:rPr>
                <w:rFonts w:ascii="Cambria Math" w:hAnsi="Cambria Math"/>
              </w:rPr>
              <m:t>c</m:t>
            </m:r>
          </m:den>
        </m:f>
      </m:oMath>
      <w:r>
        <w:rPr>
          <w:rFonts w:eastAsiaTheme="minorEastAsia"/>
        </w:rPr>
        <w:t xml:space="preserve"> !   </w:t>
      </w:r>
      <m:oMath>
        <m:r>
          <w:rPr>
            <w:rFonts w:ascii="Cambria Math" w:eastAsiaTheme="minorEastAsia" w:hAnsi="Cambria Math"/>
          </w:rPr>
          <m:t>dν= -d</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λ</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den>
        </m:f>
        <m:r>
          <w:rPr>
            <w:rFonts w:ascii="Cambria Math" w:eastAsiaTheme="minorEastAsia" w:hAnsi="Cambria Math"/>
          </w:rPr>
          <m:t xml:space="preserve">dλ </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λ</m:t>
            </m:r>
          </m:sub>
        </m:sSub>
        <m:r>
          <w:rPr>
            <w:rFonts w:ascii="Cambria Math" w:eastAsiaTheme="minorEastAsia" w:hAnsi="Cambria Math"/>
          </w:rPr>
          <m:t>dλ=</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ν</m:t>
            </m:r>
          </m:sub>
        </m:sSub>
        <m:r>
          <w:rPr>
            <w:rFonts w:ascii="Cambria Math" w:eastAsiaTheme="minorEastAsia" w:hAnsi="Cambria Math"/>
          </w:rPr>
          <m:t>dν</m:t>
        </m:r>
      </m:oMath>
      <w:r>
        <w:rPr>
          <w:rFonts w:eastAsiaTheme="minorEastAsia"/>
        </w:rPr>
        <w:t>[Cf. Chapitre 4 2.1.c du Sanz].</w:t>
      </w:r>
    </w:p>
  </w:footnote>
  <w:footnote w:id="4">
    <w:p w14:paraId="73243994" w14:textId="61D3B39C" w:rsidR="00797849" w:rsidRPr="00FC3D7A" w:rsidRDefault="00797849" w:rsidP="00B408A5">
      <w:pPr>
        <w:numPr>
          <w:ilvl w:val="0"/>
          <w:numId w:val="0"/>
        </w:numPr>
        <w:ind w:left="1068" w:hanging="360"/>
        <w:jc w:val="left"/>
      </w:pPr>
      <w:r>
        <w:rPr>
          <w:rStyle w:val="FootnoteReference"/>
        </w:rPr>
        <w:footnoteRef/>
      </w:r>
      <w:r>
        <w:t xml:space="preserve"> Ne pas confondre loi de Wien et loi de </w:t>
      </w:r>
      <w:r>
        <w:rPr>
          <w:i/>
          <w:iCs/>
        </w:rPr>
        <w:t xml:space="preserve">déplacement </w:t>
      </w:r>
      <w:r>
        <w:t>de Wien (cf ci après)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7946"/>
    <w:multiLevelType w:val="hybridMultilevel"/>
    <w:tmpl w:val="230CEF94"/>
    <w:lvl w:ilvl="0" w:tplc="9D2C2E7C">
      <w:start w:val="1"/>
      <w:numFmt w:val="upperLetter"/>
      <w:pStyle w:val="Heading2"/>
      <w:lvlText w:val="%1-"/>
      <w:lvlJc w:val="left"/>
      <w:pPr>
        <w:ind w:left="1069"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D307555"/>
    <w:multiLevelType w:val="hybridMultilevel"/>
    <w:tmpl w:val="D4D6CAA0"/>
    <w:lvl w:ilvl="0" w:tplc="76DAE30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208E2C18"/>
    <w:multiLevelType w:val="hybridMultilevel"/>
    <w:tmpl w:val="BBE8430A"/>
    <w:lvl w:ilvl="0" w:tplc="535E9B48">
      <w:start w:val="2009"/>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21032B1C"/>
    <w:multiLevelType w:val="hybridMultilevel"/>
    <w:tmpl w:val="E9342E5C"/>
    <w:lvl w:ilvl="0" w:tplc="F16C4AB8">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1994DB5"/>
    <w:multiLevelType w:val="hybridMultilevel"/>
    <w:tmpl w:val="1EAAAAAA"/>
    <w:lvl w:ilvl="0" w:tplc="D44639D2">
      <w:start w:val="3"/>
      <w:numFmt w:val="bullet"/>
      <w:pStyle w:val="Normal"/>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10757B1"/>
    <w:multiLevelType w:val="hybridMultilevel"/>
    <w:tmpl w:val="230ABF02"/>
    <w:lvl w:ilvl="0" w:tplc="416C3AD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 w15:restartNumberingAfterBreak="0">
    <w:nsid w:val="760D2D88"/>
    <w:multiLevelType w:val="hybridMultilevel"/>
    <w:tmpl w:val="6246B37A"/>
    <w:lvl w:ilvl="0" w:tplc="C19C39B6">
      <w:start w:val="1"/>
      <w:numFmt w:val="lowerLetter"/>
      <w:pStyle w:val="Heading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AF671C2"/>
    <w:multiLevelType w:val="hybridMultilevel"/>
    <w:tmpl w:val="A0A210DE"/>
    <w:lvl w:ilvl="0" w:tplc="7E4232B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7C911830"/>
    <w:multiLevelType w:val="hybridMultilevel"/>
    <w:tmpl w:val="169CD8F2"/>
    <w:lvl w:ilvl="0" w:tplc="4B5443E4">
      <w:start w:val="2009"/>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6"/>
  </w:num>
  <w:num w:numId="2">
    <w:abstractNumId w:val="4"/>
  </w:num>
  <w:num w:numId="3">
    <w:abstractNumId w:val="9"/>
  </w:num>
  <w:num w:numId="4">
    <w:abstractNumId w:val="1"/>
  </w:num>
  <w:num w:numId="5">
    <w:abstractNumId w:val="8"/>
  </w:num>
  <w:num w:numId="6">
    <w:abstractNumId w:val="5"/>
  </w:num>
  <w:num w:numId="7">
    <w:abstractNumId w:val="8"/>
    <w:lvlOverride w:ilvl="0">
      <w:startOverride w:val="1"/>
    </w:lvlOverride>
  </w:num>
  <w:num w:numId="8">
    <w:abstractNumId w:val="0"/>
    <w:lvlOverride w:ilvl="0">
      <w:startOverride w:val="1"/>
    </w:lvlOverride>
  </w:num>
  <w:num w:numId="9">
    <w:abstractNumId w:val="10"/>
  </w:num>
  <w:num w:numId="10">
    <w:abstractNumId w:val="0"/>
  </w:num>
  <w:num w:numId="11">
    <w:abstractNumId w:val="2"/>
  </w:num>
  <w:num w:numId="12">
    <w:abstractNumId w:val="3"/>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0A90"/>
    <w:rsid w:val="000074EF"/>
    <w:rsid w:val="00012DED"/>
    <w:rsid w:val="00023E3B"/>
    <w:rsid w:val="00034E69"/>
    <w:rsid w:val="00040005"/>
    <w:rsid w:val="000426C6"/>
    <w:rsid w:val="0005201C"/>
    <w:rsid w:val="00054031"/>
    <w:rsid w:val="000543CF"/>
    <w:rsid w:val="00062CEC"/>
    <w:rsid w:val="000669A3"/>
    <w:rsid w:val="00070FED"/>
    <w:rsid w:val="0008063F"/>
    <w:rsid w:val="000808E6"/>
    <w:rsid w:val="00086628"/>
    <w:rsid w:val="00090E3F"/>
    <w:rsid w:val="000A00B1"/>
    <w:rsid w:val="000A7BF2"/>
    <w:rsid w:val="000C64F0"/>
    <w:rsid w:val="000E269E"/>
    <w:rsid w:val="000E3286"/>
    <w:rsid w:val="000E3547"/>
    <w:rsid w:val="000E3568"/>
    <w:rsid w:val="000F0B1C"/>
    <w:rsid w:val="000F3E94"/>
    <w:rsid w:val="00103845"/>
    <w:rsid w:val="00106BF1"/>
    <w:rsid w:val="00112123"/>
    <w:rsid w:val="00114C03"/>
    <w:rsid w:val="00115C26"/>
    <w:rsid w:val="0012231E"/>
    <w:rsid w:val="001245F7"/>
    <w:rsid w:val="001372A6"/>
    <w:rsid w:val="001423FA"/>
    <w:rsid w:val="00147CC6"/>
    <w:rsid w:val="00150D8C"/>
    <w:rsid w:val="001518B5"/>
    <w:rsid w:val="001536B7"/>
    <w:rsid w:val="00155448"/>
    <w:rsid w:val="00155919"/>
    <w:rsid w:val="001616F2"/>
    <w:rsid w:val="001659ED"/>
    <w:rsid w:val="001735C3"/>
    <w:rsid w:val="001806D6"/>
    <w:rsid w:val="00191476"/>
    <w:rsid w:val="00195422"/>
    <w:rsid w:val="001A21B9"/>
    <w:rsid w:val="001B3F89"/>
    <w:rsid w:val="001B456F"/>
    <w:rsid w:val="001B7569"/>
    <w:rsid w:val="001B7D9A"/>
    <w:rsid w:val="001C286F"/>
    <w:rsid w:val="001D19AD"/>
    <w:rsid w:val="001D1D93"/>
    <w:rsid w:val="001D378E"/>
    <w:rsid w:val="001D40F8"/>
    <w:rsid w:val="001D6522"/>
    <w:rsid w:val="001E119E"/>
    <w:rsid w:val="001E56B6"/>
    <w:rsid w:val="001F11E5"/>
    <w:rsid w:val="001F4BB3"/>
    <w:rsid w:val="001F5376"/>
    <w:rsid w:val="001F53DB"/>
    <w:rsid w:val="00200B28"/>
    <w:rsid w:val="0021584E"/>
    <w:rsid w:val="00215C57"/>
    <w:rsid w:val="00216670"/>
    <w:rsid w:val="00217980"/>
    <w:rsid w:val="00225D6F"/>
    <w:rsid w:val="00227333"/>
    <w:rsid w:val="00231625"/>
    <w:rsid w:val="00232EBF"/>
    <w:rsid w:val="00245991"/>
    <w:rsid w:val="00255939"/>
    <w:rsid w:val="00256A93"/>
    <w:rsid w:val="00264A8F"/>
    <w:rsid w:val="00266C9F"/>
    <w:rsid w:val="002709FF"/>
    <w:rsid w:val="00285793"/>
    <w:rsid w:val="00293EC0"/>
    <w:rsid w:val="00295EF7"/>
    <w:rsid w:val="00296C97"/>
    <w:rsid w:val="00297919"/>
    <w:rsid w:val="002A643A"/>
    <w:rsid w:val="002A7461"/>
    <w:rsid w:val="002A7EAA"/>
    <w:rsid w:val="002B2A94"/>
    <w:rsid w:val="002B60E5"/>
    <w:rsid w:val="002B6916"/>
    <w:rsid w:val="002B70CC"/>
    <w:rsid w:val="002D0B5E"/>
    <w:rsid w:val="002D1CCB"/>
    <w:rsid w:val="002D2B05"/>
    <w:rsid w:val="002D3FBF"/>
    <w:rsid w:val="002E7B24"/>
    <w:rsid w:val="002F1756"/>
    <w:rsid w:val="002F254C"/>
    <w:rsid w:val="002F4D06"/>
    <w:rsid w:val="002F6A5A"/>
    <w:rsid w:val="002F6ED4"/>
    <w:rsid w:val="00302156"/>
    <w:rsid w:val="00306CA3"/>
    <w:rsid w:val="0030725F"/>
    <w:rsid w:val="00327969"/>
    <w:rsid w:val="00330ACD"/>
    <w:rsid w:val="003325D4"/>
    <w:rsid w:val="00332F15"/>
    <w:rsid w:val="00333D0D"/>
    <w:rsid w:val="00340323"/>
    <w:rsid w:val="0034567B"/>
    <w:rsid w:val="003518D3"/>
    <w:rsid w:val="00351AB2"/>
    <w:rsid w:val="00352993"/>
    <w:rsid w:val="00356756"/>
    <w:rsid w:val="00356E1D"/>
    <w:rsid w:val="00366B86"/>
    <w:rsid w:val="00366C1C"/>
    <w:rsid w:val="00372931"/>
    <w:rsid w:val="00377560"/>
    <w:rsid w:val="00377F28"/>
    <w:rsid w:val="0038103C"/>
    <w:rsid w:val="003818C5"/>
    <w:rsid w:val="00384F95"/>
    <w:rsid w:val="003878DC"/>
    <w:rsid w:val="00396E4E"/>
    <w:rsid w:val="003A444B"/>
    <w:rsid w:val="003A752E"/>
    <w:rsid w:val="003B1D75"/>
    <w:rsid w:val="003B57F3"/>
    <w:rsid w:val="003B6488"/>
    <w:rsid w:val="003C373A"/>
    <w:rsid w:val="003C42E3"/>
    <w:rsid w:val="003C64F8"/>
    <w:rsid w:val="003D0198"/>
    <w:rsid w:val="003E1E5C"/>
    <w:rsid w:val="003E4FD3"/>
    <w:rsid w:val="003E7DDE"/>
    <w:rsid w:val="003E7F8D"/>
    <w:rsid w:val="003F5D4D"/>
    <w:rsid w:val="003F6B40"/>
    <w:rsid w:val="004032B4"/>
    <w:rsid w:val="00406F7D"/>
    <w:rsid w:val="00413C8D"/>
    <w:rsid w:val="00415878"/>
    <w:rsid w:val="00420A04"/>
    <w:rsid w:val="00422AF3"/>
    <w:rsid w:val="00422AF8"/>
    <w:rsid w:val="00430E11"/>
    <w:rsid w:val="00440E83"/>
    <w:rsid w:val="00447027"/>
    <w:rsid w:val="004645CB"/>
    <w:rsid w:val="00465A32"/>
    <w:rsid w:val="004718DE"/>
    <w:rsid w:val="00483592"/>
    <w:rsid w:val="00492870"/>
    <w:rsid w:val="00492BCB"/>
    <w:rsid w:val="004933EE"/>
    <w:rsid w:val="004A2411"/>
    <w:rsid w:val="004A2ECA"/>
    <w:rsid w:val="004A78F7"/>
    <w:rsid w:val="004B0953"/>
    <w:rsid w:val="004B24BF"/>
    <w:rsid w:val="004B2B4E"/>
    <w:rsid w:val="004B4067"/>
    <w:rsid w:val="004B5F69"/>
    <w:rsid w:val="004D621C"/>
    <w:rsid w:val="004F021F"/>
    <w:rsid w:val="004F3328"/>
    <w:rsid w:val="004F47DC"/>
    <w:rsid w:val="004F5F5D"/>
    <w:rsid w:val="004F62D6"/>
    <w:rsid w:val="004F677E"/>
    <w:rsid w:val="00501C46"/>
    <w:rsid w:val="00504F61"/>
    <w:rsid w:val="005117CA"/>
    <w:rsid w:val="005141E7"/>
    <w:rsid w:val="00520FF1"/>
    <w:rsid w:val="00530C17"/>
    <w:rsid w:val="005332C5"/>
    <w:rsid w:val="00540641"/>
    <w:rsid w:val="0054171D"/>
    <w:rsid w:val="00544BF5"/>
    <w:rsid w:val="00547568"/>
    <w:rsid w:val="00552504"/>
    <w:rsid w:val="005528CB"/>
    <w:rsid w:val="00553957"/>
    <w:rsid w:val="00582FB9"/>
    <w:rsid w:val="00583B69"/>
    <w:rsid w:val="00596260"/>
    <w:rsid w:val="005968A7"/>
    <w:rsid w:val="005A1D65"/>
    <w:rsid w:val="005A2F18"/>
    <w:rsid w:val="005A524E"/>
    <w:rsid w:val="005A5B44"/>
    <w:rsid w:val="005B0842"/>
    <w:rsid w:val="005B4DC6"/>
    <w:rsid w:val="005C197A"/>
    <w:rsid w:val="005C1E4B"/>
    <w:rsid w:val="005C2909"/>
    <w:rsid w:val="005C4D61"/>
    <w:rsid w:val="005C5837"/>
    <w:rsid w:val="005D50E2"/>
    <w:rsid w:val="005D76FE"/>
    <w:rsid w:val="005E2692"/>
    <w:rsid w:val="005E3844"/>
    <w:rsid w:val="005E5124"/>
    <w:rsid w:val="0060298B"/>
    <w:rsid w:val="00612E45"/>
    <w:rsid w:val="00613212"/>
    <w:rsid w:val="00627DBA"/>
    <w:rsid w:val="00631082"/>
    <w:rsid w:val="00631372"/>
    <w:rsid w:val="00632184"/>
    <w:rsid w:val="006430C7"/>
    <w:rsid w:val="00643DDC"/>
    <w:rsid w:val="00645613"/>
    <w:rsid w:val="00645F88"/>
    <w:rsid w:val="0065585D"/>
    <w:rsid w:val="006578BF"/>
    <w:rsid w:val="00660DD9"/>
    <w:rsid w:val="0066183C"/>
    <w:rsid w:val="006625BA"/>
    <w:rsid w:val="00664297"/>
    <w:rsid w:val="0066565B"/>
    <w:rsid w:val="00676A73"/>
    <w:rsid w:val="006850BC"/>
    <w:rsid w:val="00685942"/>
    <w:rsid w:val="0069281F"/>
    <w:rsid w:val="006A3ADC"/>
    <w:rsid w:val="006B5513"/>
    <w:rsid w:val="006B5C5F"/>
    <w:rsid w:val="006C37E3"/>
    <w:rsid w:val="006C56FD"/>
    <w:rsid w:val="006D1486"/>
    <w:rsid w:val="006D4F64"/>
    <w:rsid w:val="006D613D"/>
    <w:rsid w:val="006D7C08"/>
    <w:rsid w:val="006E3E4D"/>
    <w:rsid w:val="006E74B5"/>
    <w:rsid w:val="006F3130"/>
    <w:rsid w:val="006F5D14"/>
    <w:rsid w:val="00701FB6"/>
    <w:rsid w:val="007101F2"/>
    <w:rsid w:val="00713E1C"/>
    <w:rsid w:val="0072209B"/>
    <w:rsid w:val="00725A42"/>
    <w:rsid w:val="007308A5"/>
    <w:rsid w:val="007326DF"/>
    <w:rsid w:val="00735DA6"/>
    <w:rsid w:val="0074113F"/>
    <w:rsid w:val="00745105"/>
    <w:rsid w:val="007519A3"/>
    <w:rsid w:val="00751B49"/>
    <w:rsid w:val="00754036"/>
    <w:rsid w:val="00763A7F"/>
    <w:rsid w:val="00763CA4"/>
    <w:rsid w:val="00771BCA"/>
    <w:rsid w:val="007769A6"/>
    <w:rsid w:val="00781C80"/>
    <w:rsid w:val="00790C3A"/>
    <w:rsid w:val="00797849"/>
    <w:rsid w:val="007A2A1D"/>
    <w:rsid w:val="007B2C3C"/>
    <w:rsid w:val="007B4129"/>
    <w:rsid w:val="007C3A23"/>
    <w:rsid w:val="007C7C23"/>
    <w:rsid w:val="007D0352"/>
    <w:rsid w:val="007D0E2C"/>
    <w:rsid w:val="007D1989"/>
    <w:rsid w:val="007D41AC"/>
    <w:rsid w:val="007E59CD"/>
    <w:rsid w:val="007E653D"/>
    <w:rsid w:val="007F41DD"/>
    <w:rsid w:val="007F4C6F"/>
    <w:rsid w:val="007F50B0"/>
    <w:rsid w:val="00801F2C"/>
    <w:rsid w:val="00810C2E"/>
    <w:rsid w:val="00814C51"/>
    <w:rsid w:val="00820A6F"/>
    <w:rsid w:val="0082133B"/>
    <w:rsid w:val="00823959"/>
    <w:rsid w:val="0082399D"/>
    <w:rsid w:val="00841858"/>
    <w:rsid w:val="00843136"/>
    <w:rsid w:val="008438B7"/>
    <w:rsid w:val="008460E1"/>
    <w:rsid w:val="0085219B"/>
    <w:rsid w:val="00852727"/>
    <w:rsid w:val="008557A0"/>
    <w:rsid w:val="00861322"/>
    <w:rsid w:val="008633C4"/>
    <w:rsid w:val="00865D3D"/>
    <w:rsid w:val="00866A9A"/>
    <w:rsid w:val="00866EE9"/>
    <w:rsid w:val="008754D1"/>
    <w:rsid w:val="008774F8"/>
    <w:rsid w:val="00880986"/>
    <w:rsid w:val="00892B14"/>
    <w:rsid w:val="00893F12"/>
    <w:rsid w:val="008A319A"/>
    <w:rsid w:val="008A446E"/>
    <w:rsid w:val="008A6170"/>
    <w:rsid w:val="008B1180"/>
    <w:rsid w:val="008B4A57"/>
    <w:rsid w:val="008C0A08"/>
    <w:rsid w:val="008C2184"/>
    <w:rsid w:val="008C5E9D"/>
    <w:rsid w:val="008D11BA"/>
    <w:rsid w:val="008D171E"/>
    <w:rsid w:val="008D69AE"/>
    <w:rsid w:val="0090066B"/>
    <w:rsid w:val="00901F51"/>
    <w:rsid w:val="009023DF"/>
    <w:rsid w:val="0090523B"/>
    <w:rsid w:val="00915976"/>
    <w:rsid w:val="009174AD"/>
    <w:rsid w:val="0091788A"/>
    <w:rsid w:val="00922709"/>
    <w:rsid w:val="009275E5"/>
    <w:rsid w:val="009411A4"/>
    <w:rsid w:val="0094228D"/>
    <w:rsid w:val="00944160"/>
    <w:rsid w:val="00946173"/>
    <w:rsid w:val="00946ABB"/>
    <w:rsid w:val="00950852"/>
    <w:rsid w:val="00952C4A"/>
    <w:rsid w:val="009575C3"/>
    <w:rsid w:val="0096142A"/>
    <w:rsid w:val="00962583"/>
    <w:rsid w:val="00985C66"/>
    <w:rsid w:val="009A0385"/>
    <w:rsid w:val="009A0F00"/>
    <w:rsid w:val="009A1172"/>
    <w:rsid w:val="009A3FF7"/>
    <w:rsid w:val="009A49DF"/>
    <w:rsid w:val="009B03C5"/>
    <w:rsid w:val="009B5D9B"/>
    <w:rsid w:val="009C4257"/>
    <w:rsid w:val="009C7BF0"/>
    <w:rsid w:val="009D71E6"/>
    <w:rsid w:val="009D7AB0"/>
    <w:rsid w:val="009E641C"/>
    <w:rsid w:val="009F12CD"/>
    <w:rsid w:val="009F3223"/>
    <w:rsid w:val="009F4D92"/>
    <w:rsid w:val="009F67A1"/>
    <w:rsid w:val="00A0248A"/>
    <w:rsid w:val="00A04687"/>
    <w:rsid w:val="00A05655"/>
    <w:rsid w:val="00A068F2"/>
    <w:rsid w:val="00A170CB"/>
    <w:rsid w:val="00A21AC6"/>
    <w:rsid w:val="00A2415A"/>
    <w:rsid w:val="00A27ED0"/>
    <w:rsid w:val="00A30101"/>
    <w:rsid w:val="00A3198C"/>
    <w:rsid w:val="00A369F0"/>
    <w:rsid w:val="00A44144"/>
    <w:rsid w:val="00A46D7B"/>
    <w:rsid w:val="00A51C83"/>
    <w:rsid w:val="00A5317C"/>
    <w:rsid w:val="00A53BB8"/>
    <w:rsid w:val="00A56687"/>
    <w:rsid w:val="00A6074A"/>
    <w:rsid w:val="00A609D1"/>
    <w:rsid w:val="00A6270C"/>
    <w:rsid w:val="00A62E2F"/>
    <w:rsid w:val="00A67E6B"/>
    <w:rsid w:val="00A7474A"/>
    <w:rsid w:val="00A75D31"/>
    <w:rsid w:val="00A8427C"/>
    <w:rsid w:val="00A855E2"/>
    <w:rsid w:val="00A87C7C"/>
    <w:rsid w:val="00A97E61"/>
    <w:rsid w:val="00AA371F"/>
    <w:rsid w:val="00AB7E59"/>
    <w:rsid w:val="00AC1D00"/>
    <w:rsid w:val="00AC5848"/>
    <w:rsid w:val="00AD1988"/>
    <w:rsid w:val="00AD3F58"/>
    <w:rsid w:val="00AD67B0"/>
    <w:rsid w:val="00AE0606"/>
    <w:rsid w:val="00AF46FF"/>
    <w:rsid w:val="00AF6885"/>
    <w:rsid w:val="00B0146C"/>
    <w:rsid w:val="00B0642B"/>
    <w:rsid w:val="00B11CAF"/>
    <w:rsid w:val="00B13C8A"/>
    <w:rsid w:val="00B40639"/>
    <w:rsid w:val="00B408A5"/>
    <w:rsid w:val="00B41401"/>
    <w:rsid w:val="00B42D9E"/>
    <w:rsid w:val="00B44D4C"/>
    <w:rsid w:val="00B4545A"/>
    <w:rsid w:val="00B523ED"/>
    <w:rsid w:val="00B631E5"/>
    <w:rsid w:val="00B710BB"/>
    <w:rsid w:val="00B82AE3"/>
    <w:rsid w:val="00BA0A97"/>
    <w:rsid w:val="00BA53B6"/>
    <w:rsid w:val="00BA7380"/>
    <w:rsid w:val="00BB58F9"/>
    <w:rsid w:val="00BD561C"/>
    <w:rsid w:val="00BE4CA1"/>
    <w:rsid w:val="00BF1F37"/>
    <w:rsid w:val="00C0293C"/>
    <w:rsid w:val="00C050CF"/>
    <w:rsid w:val="00C1042F"/>
    <w:rsid w:val="00C31AA8"/>
    <w:rsid w:val="00C3512A"/>
    <w:rsid w:val="00C45A73"/>
    <w:rsid w:val="00C52FC3"/>
    <w:rsid w:val="00C574FB"/>
    <w:rsid w:val="00C5783B"/>
    <w:rsid w:val="00C63D82"/>
    <w:rsid w:val="00C73FD0"/>
    <w:rsid w:val="00C8083F"/>
    <w:rsid w:val="00C82B9A"/>
    <w:rsid w:val="00C92763"/>
    <w:rsid w:val="00C934C0"/>
    <w:rsid w:val="00CA35D9"/>
    <w:rsid w:val="00CA675B"/>
    <w:rsid w:val="00CA7C6D"/>
    <w:rsid w:val="00CB5191"/>
    <w:rsid w:val="00CB7E86"/>
    <w:rsid w:val="00CC3B5D"/>
    <w:rsid w:val="00CC5ACA"/>
    <w:rsid w:val="00CC7A9C"/>
    <w:rsid w:val="00CD03DB"/>
    <w:rsid w:val="00CD4C56"/>
    <w:rsid w:val="00CD5DA8"/>
    <w:rsid w:val="00CD70ED"/>
    <w:rsid w:val="00CD76BE"/>
    <w:rsid w:val="00CE159E"/>
    <w:rsid w:val="00CE440F"/>
    <w:rsid w:val="00CE651E"/>
    <w:rsid w:val="00CF5FBB"/>
    <w:rsid w:val="00CF7E05"/>
    <w:rsid w:val="00CF7FF6"/>
    <w:rsid w:val="00D103B9"/>
    <w:rsid w:val="00D10B8B"/>
    <w:rsid w:val="00D13453"/>
    <w:rsid w:val="00D1596A"/>
    <w:rsid w:val="00D16361"/>
    <w:rsid w:val="00D21409"/>
    <w:rsid w:val="00D21D29"/>
    <w:rsid w:val="00D273E5"/>
    <w:rsid w:val="00D32B49"/>
    <w:rsid w:val="00D32CA1"/>
    <w:rsid w:val="00D461BC"/>
    <w:rsid w:val="00D5240D"/>
    <w:rsid w:val="00D52DBC"/>
    <w:rsid w:val="00D53850"/>
    <w:rsid w:val="00D60918"/>
    <w:rsid w:val="00D61CAD"/>
    <w:rsid w:val="00D62C0C"/>
    <w:rsid w:val="00D63643"/>
    <w:rsid w:val="00D65B55"/>
    <w:rsid w:val="00D67784"/>
    <w:rsid w:val="00D76E78"/>
    <w:rsid w:val="00D7755E"/>
    <w:rsid w:val="00D77D35"/>
    <w:rsid w:val="00D82FAF"/>
    <w:rsid w:val="00D833B8"/>
    <w:rsid w:val="00D8388A"/>
    <w:rsid w:val="00D9145B"/>
    <w:rsid w:val="00D923D2"/>
    <w:rsid w:val="00D9401F"/>
    <w:rsid w:val="00D95631"/>
    <w:rsid w:val="00DA093B"/>
    <w:rsid w:val="00DA0B78"/>
    <w:rsid w:val="00DA6B59"/>
    <w:rsid w:val="00DB1D87"/>
    <w:rsid w:val="00DB55D9"/>
    <w:rsid w:val="00DB64A3"/>
    <w:rsid w:val="00DC4534"/>
    <w:rsid w:val="00DD0394"/>
    <w:rsid w:val="00DD1AEC"/>
    <w:rsid w:val="00DD7DA0"/>
    <w:rsid w:val="00DE1493"/>
    <w:rsid w:val="00DE5B4B"/>
    <w:rsid w:val="00DE7A48"/>
    <w:rsid w:val="00DF37C5"/>
    <w:rsid w:val="00DF3A4F"/>
    <w:rsid w:val="00E007FE"/>
    <w:rsid w:val="00E037B6"/>
    <w:rsid w:val="00E12E30"/>
    <w:rsid w:val="00E23439"/>
    <w:rsid w:val="00E23DB0"/>
    <w:rsid w:val="00E24820"/>
    <w:rsid w:val="00E340C6"/>
    <w:rsid w:val="00E410ED"/>
    <w:rsid w:val="00E425CB"/>
    <w:rsid w:val="00E473D0"/>
    <w:rsid w:val="00E55676"/>
    <w:rsid w:val="00E67F9C"/>
    <w:rsid w:val="00E70242"/>
    <w:rsid w:val="00E74AF9"/>
    <w:rsid w:val="00E835A4"/>
    <w:rsid w:val="00E8747D"/>
    <w:rsid w:val="00E93747"/>
    <w:rsid w:val="00EB197D"/>
    <w:rsid w:val="00EB4136"/>
    <w:rsid w:val="00EC134D"/>
    <w:rsid w:val="00EC155C"/>
    <w:rsid w:val="00EC682D"/>
    <w:rsid w:val="00ED7267"/>
    <w:rsid w:val="00EF1190"/>
    <w:rsid w:val="00EF1740"/>
    <w:rsid w:val="00EF1BD6"/>
    <w:rsid w:val="00EF6D6B"/>
    <w:rsid w:val="00F01C26"/>
    <w:rsid w:val="00F02FA9"/>
    <w:rsid w:val="00F0501C"/>
    <w:rsid w:val="00F114C1"/>
    <w:rsid w:val="00F14F51"/>
    <w:rsid w:val="00F1670E"/>
    <w:rsid w:val="00F340B0"/>
    <w:rsid w:val="00F355FD"/>
    <w:rsid w:val="00F36B63"/>
    <w:rsid w:val="00F40A44"/>
    <w:rsid w:val="00F461E8"/>
    <w:rsid w:val="00F47E42"/>
    <w:rsid w:val="00F65C84"/>
    <w:rsid w:val="00F719EB"/>
    <w:rsid w:val="00F762DE"/>
    <w:rsid w:val="00F83D5A"/>
    <w:rsid w:val="00F846D1"/>
    <w:rsid w:val="00F9084E"/>
    <w:rsid w:val="00F96BBA"/>
    <w:rsid w:val="00FA3F96"/>
    <w:rsid w:val="00FA451D"/>
    <w:rsid w:val="00FC3989"/>
    <w:rsid w:val="00FC3D7A"/>
    <w:rsid w:val="00FC4359"/>
    <w:rsid w:val="00FC6F32"/>
    <w:rsid w:val="00FC6FD0"/>
    <w:rsid w:val="00FD0848"/>
    <w:rsid w:val="00FD1BED"/>
    <w:rsid w:val="00FD75E3"/>
    <w:rsid w:val="00FE5DE0"/>
    <w:rsid w:val="00FE6855"/>
    <w:rsid w:val="00FF12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7ED0"/>
    <w:pPr>
      <w:numPr>
        <w:numId w:val="6"/>
      </w:numPr>
      <w:contextualSpacing/>
      <w:jc w:val="both"/>
    </w:pPr>
  </w:style>
  <w:style w:type="paragraph" w:styleId="Heading1">
    <w:name w:val="heading 1"/>
    <w:basedOn w:val="Normal"/>
    <w:next w:val="Normal"/>
    <w:link w:val="Heading1Char"/>
    <w:uiPriority w:val="9"/>
    <w:qFormat/>
    <w:rsid w:val="000074E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39"/>
    <w:pPr>
      <w:keepNext/>
      <w:keepLines/>
      <w:numPr>
        <w:numId w:val="10"/>
      </w:numPr>
      <w:spacing w:before="4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2"/>
      </w:numPr>
      <w:spacing w:before="40" w:after="0"/>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E410ED"/>
    <w:pPr>
      <w:keepNext/>
      <w:keepLines/>
      <w:numPr>
        <w:numId w:val="5"/>
      </w:numPr>
      <w:spacing w:before="40" w:after="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pPr>
  </w:style>
  <w:style w:type="paragraph" w:styleId="FootnoteText">
    <w:name w:val="footnote text"/>
    <w:basedOn w:val="Normal"/>
    <w:link w:val="FootnoteTextChar"/>
    <w:uiPriority w:val="99"/>
    <w:unhideWhenUsed/>
    <w:rsid w:val="002F6A5A"/>
    <w:pPr>
      <w:spacing w:after="0" w:line="240" w:lineRule="auto"/>
    </w:pPr>
    <w:rPr>
      <w:sz w:val="20"/>
      <w:szCs w:val="20"/>
    </w:rPr>
  </w:style>
  <w:style w:type="character" w:customStyle="1" w:styleId="FootnoteTextChar">
    <w:name w:val="Footnote Text Char"/>
    <w:basedOn w:val="DefaultParagraphFont"/>
    <w:link w:val="FootnoteText"/>
    <w:uiPriority w:val="99"/>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25593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semiHidden/>
    <w:unhideWhenUsed/>
    <w:rsid w:val="006578BF"/>
    <w:rPr>
      <w:color w:val="0000FF"/>
      <w:u w:val="single"/>
    </w:rPr>
  </w:style>
  <w:style w:type="paragraph" w:styleId="EndnoteText">
    <w:name w:val="endnote text"/>
    <w:basedOn w:val="Normal"/>
    <w:link w:val="EndnoteTextChar"/>
    <w:uiPriority w:val="99"/>
    <w:semiHidden/>
    <w:unhideWhenUsed/>
    <w:rsid w:val="00D914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 w:type="paragraph" w:customStyle="1" w:styleId="Default">
    <w:name w:val="Default"/>
    <w:rsid w:val="00504F61"/>
    <w:pPr>
      <w:autoSpaceDE w:val="0"/>
      <w:autoSpaceDN w:val="0"/>
      <w:adjustRightInd w:val="0"/>
      <w:spacing w:after="0" w:line="240" w:lineRule="auto"/>
    </w:pPr>
    <w:rPr>
      <w:rFonts w:ascii="Cambria Math" w:hAnsi="Cambria Math" w:cs="Cambria Math"/>
      <w:color w:val="000000"/>
      <w:sz w:val="24"/>
      <w:szCs w:val="24"/>
    </w:rPr>
  </w:style>
  <w:style w:type="character" w:customStyle="1" w:styleId="Heading4Char">
    <w:name w:val="Heading 4 Char"/>
    <w:basedOn w:val="DefaultParagraphFont"/>
    <w:link w:val="Heading4"/>
    <w:uiPriority w:val="9"/>
    <w:rsid w:val="00E410ED"/>
    <w:rPr>
      <w:rFonts w:asciiTheme="majorHAnsi" w:eastAsiaTheme="majorEastAsia" w:hAnsiTheme="majorHAnsi" w:cstheme="majorBidi"/>
      <w:b/>
      <w:bCs/>
      <w:i/>
      <w:iCs/>
      <w:color w:val="2F5496" w:themeColor="accent1" w:themeShade="BF"/>
    </w:rPr>
  </w:style>
  <w:style w:type="paragraph" w:styleId="NoSpacing">
    <w:name w:val="No Spacing"/>
    <w:uiPriority w:val="1"/>
    <w:qFormat/>
    <w:rsid w:val="00E410ED"/>
    <w:pPr>
      <w:spacing w:after="0" w:line="240" w:lineRule="auto"/>
    </w:pPr>
  </w:style>
  <w:style w:type="paragraph" w:styleId="Title">
    <w:name w:val="Title"/>
    <w:basedOn w:val="Normal"/>
    <w:next w:val="Normal"/>
    <w:link w:val="TitleChar"/>
    <w:uiPriority w:val="10"/>
    <w:qFormat/>
    <w:rsid w:val="00E23439"/>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43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574F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51A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xepA7qOVoxM" TargetMode="External"/><Relationship Id="rId5" Type="http://schemas.openxmlformats.org/officeDocument/2006/relationships/webSettings" Target="webSettings.xml"/><Relationship Id="rId10" Type="http://schemas.openxmlformats.org/officeDocument/2006/relationships/hyperlink" Target="https://phet.colorado.edu/sims/html/blackbody-spectrum/latest/blackbody-spectrum_fr.html" TargetMode="Externa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914B8-71C7-4E76-874C-43267A32E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2648</TotalTime>
  <Pages>1</Pages>
  <Words>2496</Words>
  <Characters>13728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331</cp:revision>
  <cp:lastPrinted>2020-04-20T17:22:00Z</cp:lastPrinted>
  <dcterms:created xsi:type="dcterms:W3CDTF">2020-03-28T14:25:00Z</dcterms:created>
  <dcterms:modified xsi:type="dcterms:W3CDTF">2020-04-20T18:35:00Z</dcterms:modified>
</cp:coreProperties>
</file>