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EC659" w14:textId="22E247D5" w:rsidR="00D9177F" w:rsidRDefault="006A26D5" w:rsidP="006A26D5">
      <w:pPr>
        <w:pStyle w:val="Title"/>
      </w:pPr>
      <w:r>
        <w:t>LP18- Phénomène de Transport</w:t>
      </w:r>
    </w:p>
    <w:p w14:paraId="5DEA8521" w14:textId="0C53B030" w:rsidR="006A26D5" w:rsidRDefault="00144D4D" w:rsidP="00144D4D">
      <w:r w:rsidRPr="00073395">
        <w:rPr>
          <w:b/>
          <w:bCs/>
        </w:rPr>
        <w:t xml:space="preserve">Notion d’équilibre Thermique local : </w:t>
      </w:r>
      <w:r w:rsidR="00073395">
        <w:t>p462,3,4 Diu Thermo</w:t>
      </w:r>
      <w:r w:rsidR="00527334">
        <w:t xml:space="preserve"> OG gaz</w:t>
      </w:r>
      <w:r w:rsidR="00512D16">
        <w:t xml:space="preserve"> : </w:t>
      </w:r>
    </w:p>
    <w:p w14:paraId="019ADB10" w14:textId="4FED1FE8" w:rsidR="00D43777" w:rsidRDefault="00D43777" w:rsidP="00D43777">
      <w:pPr>
        <w:pStyle w:val="ListParagraph"/>
        <w:numPr>
          <w:ilvl w:val="0"/>
          <w:numId w:val="18"/>
        </w:numPr>
      </w:pPr>
      <w:r>
        <w:rPr>
          <w:b/>
          <w:bCs/>
        </w:rPr>
        <w:t>Distance entre molécule :</w:t>
      </w:r>
      <w:r>
        <w:t xml:space="preserve"> </w:t>
      </w:r>
      <w:r w:rsidR="00355D4B">
        <w:t>1nm</w:t>
      </w:r>
    </w:p>
    <w:p w14:paraId="56EDFA85" w14:textId="54BC79B3" w:rsidR="00355D4B" w:rsidRPr="003B4E30" w:rsidRDefault="00355D4B" w:rsidP="00D43777">
      <w:pPr>
        <w:pStyle w:val="ListParagraph"/>
        <w:numPr>
          <w:ilvl w:val="0"/>
          <w:numId w:val="18"/>
        </w:numPr>
      </w:pPr>
      <w:r>
        <w:rPr>
          <w:b/>
          <w:bCs/>
        </w:rPr>
        <w:t>Temps entre 2 collisions 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  <m:r>
          <w:rPr>
            <w:rFonts w:ascii="Cambria Math" w:hAnsi="Cambria Math"/>
          </w:rPr>
          <m:t>s</m:t>
        </m:r>
      </m:oMath>
    </w:p>
    <w:p w14:paraId="5D95B4D2" w14:textId="0732E24D" w:rsidR="003B4E30" w:rsidRPr="008951A0" w:rsidRDefault="00094778" w:rsidP="00D43777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Libre parcourt moyen : </w:t>
      </w:r>
      <m:oMath>
        <m:r>
          <w:rPr>
            <w:rFonts w:ascii="Cambria Math" w:hAnsi="Cambria Math"/>
          </w:rPr>
          <m:t>100 nm</m:t>
        </m:r>
      </m:oMath>
    </w:p>
    <w:p w14:paraId="462054AD" w14:textId="67C9E4EB" w:rsidR="008951A0" w:rsidRDefault="000343BE" w:rsidP="00A671D4">
      <w:pPr>
        <w:pStyle w:val="ListParagraph"/>
        <w:numPr>
          <w:ilvl w:val="0"/>
          <w:numId w:val="0"/>
        </w:numPr>
        <w:ind w:left="1428"/>
        <w:rPr>
          <w:rFonts w:eastAsiaTheme="minorEastAsia"/>
          <w:b/>
          <w:bCs/>
        </w:rPr>
      </w:pPr>
      <w:r>
        <w:rPr>
          <w:b/>
          <w:bCs/>
        </w:rPr>
        <w:t xml:space="preserve">Volume </w:t>
      </w:r>
      <w:proofErr w:type="spellStart"/>
      <w:r>
        <w:rPr>
          <w:b/>
          <w:bCs/>
        </w:rPr>
        <w:t>mésoscopique</w:t>
      </w:r>
      <w:proofErr w:type="spellEnd"/>
      <w:r>
        <w:rPr>
          <w:b/>
          <w:bCs/>
        </w:rPr>
        <w:t xml:space="preserve"> de </w:t>
      </w:r>
      <m:oMath>
        <m:r>
          <m:rPr>
            <m:sty m:val="bi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-6</m:t>
            </m:r>
          </m:sup>
        </m:sSup>
        <m:r>
          <m:rPr>
            <m:sty m:val="bi"/>
          </m:rPr>
          <w:rPr>
            <w:rFonts w:ascii="Cambria Math" w:hAnsi="Cambria Math"/>
          </w:rPr>
          <m:t>m→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-18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-27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</w:rPr>
          <m:t>=1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bi"/>
          </m:rPr>
          <w:rPr>
            <w:rFonts w:ascii="Cambria Math" w:hAnsi="Cambria Math"/>
          </w:rPr>
          <m:t>particules</m:t>
        </m:r>
      </m:oMath>
    </w:p>
    <w:p w14:paraId="475FF385" w14:textId="25B55F67" w:rsidR="003E661D" w:rsidRDefault="001A75A9" w:rsidP="00A671D4">
      <w:pPr>
        <w:pStyle w:val="ListParagraph"/>
        <w:numPr>
          <w:ilvl w:val="0"/>
          <w:numId w:val="0"/>
        </w:numPr>
        <w:ind w:left="1428"/>
        <w:rPr>
          <w:rFonts w:eastAsiaTheme="minorEastAsia"/>
          <w:b/>
          <w:bCs/>
        </w:rPr>
      </w:pPr>
      <w:r>
        <w:rPr>
          <w:b/>
          <w:bCs/>
        </w:rPr>
        <w:t xml:space="preserve">Nombre de collision en </w:t>
      </w:r>
      <m:oMath>
        <m:r>
          <m:rPr>
            <m:sty m:val="bi"/>
          </m:rPr>
          <w:rPr>
            <w:rFonts w:ascii="Cambria Math" w:hAnsi="Cambria Math"/>
          </w:rPr>
          <m:t>1ns→</m:t>
        </m:r>
        <m:r>
          <m:rPr>
            <m:sty m:val="bi"/>
          </m:rPr>
          <w:rPr>
            <w:rFonts w:ascii="Cambria Math" w:eastAsiaTheme="minorEastAsia" w:hAnsi="Cambria Math"/>
          </w:rPr>
          <m:t>10 par particules</m:t>
        </m:r>
      </m:oMath>
      <w:r>
        <w:rPr>
          <w:rFonts w:eastAsiaTheme="minorEastAsia"/>
          <w:b/>
          <w:bCs/>
        </w:rPr>
        <w:t xml:space="preserve"> suffisant pour rétablir l’équilibre. Il faut que le temps d’évolution des variables primitives (Energie et nombre de particules dans le volume défini) évolue avec un temps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ev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≫1</m:t>
        </m:r>
        <m:r>
          <m:rPr>
            <m:sty m:val="bi"/>
          </m:rPr>
          <w:rPr>
            <w:rFonts w:ascii="Cambria Math" w:eastAsiaTheme="minorEastAsia" w:hAnsi="Cambria Math"/>
          </w:rPr>
          <m:t>ns</m:t>
        </m:r>
      </m:oMath>
    </w:p>
    <w:p w14:paraId="10A38505" w14:textId="0FB69563" w:rsidR="00C94921" w:rsidRDefault="00C94921" w:rsidP="00C94921">
      <w:pPr>
        <w:numPr>
          <w:ilvl w:val="0"/>
          <w:numId w:val="0"/>
        </w:numPr>
        <w:ind w:left="1068" w:hanging="360"/>
      </w:pPr>
      <w:r>
        <w:t xml:space="preserve">Il faut une échelle spatiale (grand nombre de particules) et une échelle temporelle temps d’évolution grand devant le temps de retour à l’équilibre. </w:t>
      </w:r>
    </w:p>
    <w:p w14:paraId="6A8DBC45" w14:textId="336AA480" w:rsidR="00B53D5B" w:rsidRDefault="00B53D5B" w:rsidP="00B53D5B">
      <w:r>
        <w:rPr>
          <w:b/>
          <w:bCs/>
        </w:rPr>
        <w:t xml:space="preserve">Introduire les équations de conservation : </w:t>
      </w:r>
      <w:r w:rsidR="00DD7F49">
        <w:t>Attention à comprendre</w:t>
      </w:r>
      <w:r w:rsidR="00CD579C">
        <w:t xml:space="preserve"> bien les vecteurs surfacique</w:t>
      </w:r>
      <w:r w:rsidR="00215661">
        <w:t>s</w:t>
      </w:r>
      <w:r w:rsidR="00CD579C">
        <w:t xml:space="preserve"> et vitesse. On prend le produit scalaire pour trouver la hauteur du cylindre délimitant les particules traversant la paroi. </w:t>
      </w:r>
      <w:r w:rsidR="00366806">
        <w:t xml:space="preserve">Les équations de conservations sont valables pour la masse, la charge, </w:t>
      </w:r>
      <w:r w:rsidR="00E97989">
        <w:t>l’énergie</w:t>
      </w:r>
    </w:p>
    <w:p w14:paraId="1D359945" w14:textId="2B0B06BE" w:rsidR="00F80A63" w:rsidRPr="00321FB9" w:rsidRDefault="00C15F88" w:rsidP="00B53D5B">
      <w:r>
        <w:rPr>
          <w:b/>
          <w:bCs/>
        </w:rPr>
        <w:t xml:space="preserve">Passage </w:t>
      </w:r>
      <m:oMath>
        <m:r>
          <m:rPr>
            <m:sty m:val="bi"/>
          </m:rPr>
          <w:rPr>
            <w:rFonts w:ascii="Cambria Math" w:hAnsi="Cambria Math"/>
          </w:rPr>
          <m:t>dU=</m:t>
        </m:r>
        <m:r>
          <m:rPr>
            <m:sty m:val="bi"/>
          </m:rP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</w:rPr>
          <m:t>dT</m:t>
        </m:r>
      </m:oMath>
      <w:r>
        <w:rPr>
          <w:rFonts w:eastAsiaTheme="minorEastAsia"/>
          <w:b/>
          <w:bCs/>
        </w:rPr>
        <w:t xml:space="preserve"> : </w:t>
      </w:r>
      <w:r>
        <w:rPr>
          <w:rFonts w:eastAsiaTheme="minorEastAsia"/>
        </w:rPr>
        <w:t>hypothèse isochore</w:t>
      </w:r>
      <w:r w:rsidR="00C723A9">
        <w:rPr>
          <w:rFonts w:eastAsiaTheme="minorEastAsia"/>
        </w:rPr>
        <w:t xml:space="preserve">. </w:t>
      </w:r>
      <w:r w:rsidR="00952DED">
        <w:rPr>
          <w:rFonts w:eastAsiaTheme="minorEastAsia"/>
        </w:rPr>
        <w:t>(acceptable dans le cas d’un fluide ou d’un solide dont les volumes varient peut avec la température. Moins évident pour un gaz (il faut travailler avec un gaz confiné [</w:t>
      </w:r>
      <w:proofErr w:type="spellStart"/>
      <w:r w:rsidR="00952DED">
        <w:rPr>
          <w:rFonts w:eastAsiaTheme="minorEastAsia"/>
        </w:rPr>
        <w:t>ie</w:t>
      </w:r>
      <w:proofErr w:type="spellEnd"/>
      <w:r w:rsidR="00952DED">
        <w:rPr>
          <w:rFonts w:eastAsiaTheme="minorEastAsia"/>
        </w:rPr>
        <w:t xml:space="preserve"> dont le volume ne varie pas ex : gaz entre les 2 parois d’un double vitrage] ou passer sur l’enthalpie et la capacité thermique à pression constante. </w:t>
      </w:r>
    </w:p>
    <w:p w14:paraId="610E66B6" w14:textId="4FE2AE10" w:rsidR="00321FB9" w:rsidRPr="00690218" w:rsidRDefault="00321FB9" w:rsidP="00B53D5B">
      <w:r>
        <w:rPr>
          <w:b/>
          <w:bCs/>
        </w:rPr>
        <w:t xml:space="preserve">Interprétation de la conductivité : </w:t>
      </w:r>
      <w:bookmarkStart w:id="0" w:name="_GoBack"/>
      <w:bookmarkEnd w:id="0"/>
      <w:r w:rsidRPr="00321FB9">
        <w:t>Un matériau a une conductivité thermique de 1 watt par mètre-kelvin si un gradient thermique de 1 kelvin par mètre induit (par conduction thermique) un flux thermique de 1 watt par mètre carré (de sens opposé au gradient).</w:t>
      </w:r>
    </w:p>
    <w:p w14:paraId="6F58D41F" w14:textId="1745318B" w:rsidR="00690218" w:rsidRPr="00A30832" w:rsidRDefault="00E74BD0" w:rsidP="00B53D5B">
      <w:r>
        <w:rPr>
          <w:b/>
          <w:bCs/>
        </w:rPr>
        <w:t>Point sur le phénomène de transport de quantité de mouvement</w:t>
      </w:r>
      <w:r w:rsidR="00657C05">
        <w:rPr>
          <w:b/>
          <w:bCs/>
        </w:rPr>
        <w:t xml:space="preserve"> : </w:t>
      </w:r>
      <w:r w:rsidR="00A63CF0">
        <w:t xml:space="preserve">Comment démontrer que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.gra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dτ</m:t>
        </m:r>
      </m:oMath>
      <w:r w:rsidR="00A63CF0">
        <w:rPr>
          <w:rFonts w:eastAsiaTheme="minorEastAsia"/>
        </w:rPr>
        <w:t xml:space="preserve"> est le débit de quantité de mouvement sortant d’un volume élémentaire </w:t>
      </w:r>
      <m:oMath>
        <m:r>
          <w:rPr>
            <w:rFonts w:ascii="Cambria Math" w:eastAsiaTheme="minorEastAsia" w:hAnsi="Cambria Math"/>
          </w:rPr>
          <m:t>dτ</m:t>
        </m:r>
      </m:oMath>
      <w:r w:rsidR="00A63CF0">
        <w:rPr>
          <w:rFonts w:eastAsiaTheme="minorEastAsia"/>
        </w:rPr>
        <w:t xml:space="preserve"> fixe dans le référentiel d’étude. </w:t>
      </w:r>
    </w:p>
    <w:p w14:paraId="548A4F34" w14:textId="386C8CDF" w:rsidR="00A30832" w:rsidRDefault="00A30832" w:rsidP="00A30832">
      <w:pPr>
        <w:numPr>
          <w:ilvl w:val="0"/>
          <w:numId w:val="0"/>
        </w:numPr>
        <w:ind w:left="106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w:rPr>
            <w:rFonts w:ascii="Cambria Math" w:hAnsi="Cambria Math"/>
          </w:rPr>
          <m:t>=∫∫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A30832">
        <w:rPr>
          <w:rFonts w:eastAsiaTheme="minorEastAsia"/>
        </w:rPr>
        <w:t xml:space="preserve"> (On t</w:t>
      </w:r>
      <w:r>
        <w:rPr>
          <w:rFonts w:eastAsiaTheme="minorEastAsia"/>
        </w:rPr>
        <w:t>ravaille sur la composante x et après on généralise sur l’ensemble des composantes)</w:t>
      </w:r>
    </w:p>
    <w:p w14:paraId="38DB8FB0" w14:textId="77777777" w:rsidR="007B010D" w:rsidRDefault="00BB3591" w:rsidP="00A30832">
      <w:pPr>
        <w:numPr>
          <w:ilvl w:val="0"/>
          <w:numId w:val="0"/>
        </w:numPr>
        <w:ind w:left="1068"/>
        <w:rPr>
          <w:rFonts w:eastAsiaTheme="minorEastAsia"/>
          <w:lang w:val="en-US"/>
        </w:rPr>
      </w:pPr>
      <w:r w:rsidRPr="007B010D">
        <w:rPr>
          <w:lang w:val="en-US"/>
        </w:rPr>
        <w:t>Green-</w:t>
      </w:r>
      <w:proofErr w:type="spellStart"/>
      <w:r w:rsidRPr="007B010D">
        <w:rPr>
          <w:lang w:val="en-US"/>
        </w:rPr>
        <w:t>Ostrogradski</w:t>
      </w:r>
      <w:proofErr w:type="spellEnd"/>
      <w:r w:rsidRPr="007B010D">
        <w:rPr>
          <w:lang w:val="en-US"/>
        </w:rPr>
        <w:t xml:space="preserve"> 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lang w:val="en-US"/>
          </w:rPr>
          <m:t>=∫∫∫div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  <m:r>
          <w:rPr>
            <w:rFonts w:ascii="Cambria Math" w:hAnsi="Cambria Math"/>
            <w:lang w:val="en-US"/>
          </w:rPr>
          <m:t>dτ</m:t>
        </m:r>
      </m:oMath>
    </w:p>
    <w:p w14:paraId="37652738" w14:textId="62545814" w:rsidR="00A30832" w:rsidRDefault="007B010D" w:rsidP="00A30832">
      <w:pPr>
        <w:numPr>
          <w:ilvl w:val="0"/>
          <w:numId w:val="0"/>
        </w:numPr>
        <w:ind w:left="1068"/>
      </w:pPr>
      <w:r w:rsidRPr="007B010D">
        <w:rPr>
          <w:rFonts w:eastAsiaTheme="minorEastAsia"/>
        </w:rPr>
        <w:t xml:space="preserve">Cette intégrale signifie que </w:t>
      </w:r>
      <m:oMath>
        <m:r>
          <w:rPr>
            <w:rFonts w:ascii="Cambria Math" w:eastAsiaTheme="minorEastAsia" w:hAnsi="Cambria Math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</m:e>
        </m:d>
        <m:r>
          <w:rPr>
            <w:rFonts w:ascii="Cambria Math" w:eastAsiaTheme="minorEastAsia" w:hAnsi="Cambria Math"/>
          </w:rPr>
          <m:t>dτ</m:t>
        </m:r>
      </m:oMath>
      <w:r>
        <w:rPr>
          <w:rFonts w:eastAsiaTheme="minorEastAsia"/>
        </w:rPr>
        <w:t xml:space="preserve"> est le débit de la composante x de quantité de mouvement sortant de </w:t>
      </w:r>
      <m:oMath>
        <m:r>
          <w:rPr>
            <w:rFonts w:ascii="Cambria Math" w:eastAsiaTheme="minorEastAsia" w:hAnsi="Cambria Math"/>
          </w:rPr>
          <m:t>dτ</m:t>
        </m:r>
      </m:oMath>
      <w:r w:rsidR="00222ACF"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</m:e>
        </m:d>
        <m:r>
          <w:rPr>
            <w:rFonts w:ascii="Cambria Math" w:eastAsiaTheme="minorEastAsia" w:hAnsi="Cambria Math"/>
          </w:rPr>
          <m:t>dτ</m:t>
        </m:r>
        <m:r>
          <w:rPr>
            <w:rFonts w:ascii="Cambria Math" w:eastAsiaTheme="minorEastAsia" w:hAnsi="Cambria Math"/>
          </w:rPr>
          <m:t xml:space="preserve"> </m:t>
        </m:r>
      </m:oMath>
      <w:r w:rsidR="00222ACF">
        <w:rPr>
          <w:rFonts w:eastAsiaTheme="minorEastAsia"/>
        </w:rPr>
        <w:t>.</w:t>
      </w:r>
      <w:r w:rsidR="00BB3591" w:rsidRPr="007B010D">
        <w:t xml:space="preserve"> </w:t>
      </w:r>
    </w:p>
    <w:p w14:paraId="58C3F55E" w14:textId="1B4A82EC" w:rsidR="00F27AFF" w:rsidRDefault="00F27AFF" w:rsidP="00A30832">
      <w:pPr>
        <w:numPr>
          <w:ilvl w:val="0"/>
          <w:numId w:val="0"/>
        </w:numPr>
        <w:ind w:left="1068"/>
        <w:rPr>
          <w:rFonts w:eastAsiaTheme="minorEastAsia"/>
        </w:rPr>
      </w:pPr>
      <w:r>
        <w:t>En appli</w:t>
      </w:r>
      <w:r w:rsidR="007D00F7">
        <w:t>qu</w:t>
      </w:r>
      <w:r>
        <w:t xml:space="preserve">ant la formule de d’analyse vectorielle 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=fdiv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.gra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</w:p>
    <w:p w14:paraId="56CF2098" w14:textId="0FFB563A" w:rsidR="007D00F7" w:rsidRDefault="007D00F7" w:rsidP="00A30832">
      <w:pPr>
        <w:numPr>
          <w:ilvl w:val="0"/>
          <w:numId w:val="0"/>
        </w:numPr>
        <w:ind w:left="1068"/>
        <w:rPr>
          <w:rFonts w:eastAsiaTheme="minorEastAsia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dτ</m:t>
        </m:r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gra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</w:rPr>
          <m:t>dτ</m:t>
        </m:r>
      </m:oMath>
      <w:r w:rsidRPr="007D00F7">
        <w:rPr>
          <w:rFonts w:eastAsiaTheme="minorEastAsia"/>
        </w:rPr>
        <w:t xml:space="preserve"> po</w:t>
      </w:r>
      <w:r>
        <w:rPr>
          <w:rFonts w:eastAsiaTheme="minorEastAsia"/>
        </w:rPr>
        <w:t xml:space="preserve">ur un écoulement incompressible </w:t>
      </w:r>
      <m:oMath>
        <m:r>
          <w:rPr>
            <w:rFonts w:ascii="Cambria Math" w:eastAsiaTheme="minorEastAsia" w:hAnsi="Cambria Math"/>
          </w:rPr>
          <m:t>div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827A5D8" w14:textId="6CAF3D66" w:rsidR="007D00F7" w:rsidRDefault="00980602" w:rsidP="00A30832">
      <w:pPr>
        <w:numPr>
          <w:ilvl w:val="0"/>
          <w:numId w:val="0"/>
        </w:numPr>
        <w:ind w:left="1068"/>
        <w:rPr>
          <w:rFonts w:eastAsiaTheme="minorEastAsia"/>
        </w:rPr>
      </w:pPr>
      <w:r>
        <w:t xml:space="preserve">Dans le cas où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est uniforme : on peut le sortir du </w:t>
      </w:r>
      <w:proofErr w:type="spellStart"/>
      <w:r>
        <w:rPr>
          <w:rFonts w:eastAsiaTheme="minorEastAsia"/>
        </w:rPr>
        <w:t>grad</w:t>
      </w:r>
      <w:proofErr w:type="spellEnd"/>
      <w:r>
        <w:rPr>
          <w:rFonts w:eastAsiaTheme="minorEastAsia"/>
        </w:rPr>
        <w:t xml:space="preserve"> et réécrire :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>.gra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dτ</m:t>
        </m:r>
      </m:oMath>
      <w:r>
        <w:rPr>
          <w:rFonts w:eastAsiaTheme="minorEastAsia"/>
        </w:rPr>
        <w:t>. En généralisant sur les composante</w:t>
      </w:r>
      <w:r w:rsidR="00C8661B">
        <w:rPr>
          <w:rFonts w:eastAsiaTheme="minorEastAsia"/>
        </w:rPr>
        <w:t>s</w:t>
      </w:r>
      <w:r>
        <w:rPr>
          <w:rFonts w:eastAsiaTheme="minorEastAsia"/>
        </w:rPr>
        <w:t xml:space="preserve"> y et z, on trouve que le débit de quantité de mouvement sortant d’un volume </w:t>
      </w:r>
      <m:oMath>
        <m:r>
          <w:rPr>
            <w:rFonts w:ascii="Cambria Math" w:eastAsiaTheme="minorEastAsia" w:hAnsi="Cambria Math"/>
          </w:rPr>
          <m:t>dτ</m:t>
        </m:r>
      </m:oMath>
      <w:r>
        <w:rPr>
          <w:rFonts w:eastAsiaTheme="minorEastAsia"/>
        </w:rPr>
        <w:t xml:space="preserve"> est :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sub>
        </m:sSub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>.gra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dτ</m:t>
        </m:r>
      </m:oMath>
      <w:r w:rsidR="00C8661B">
        <w:rPr>
          <w:rFonts w:eastAsiaTheme="minorEastAsia"/>
        </w:rPr>
        <w:t xml:space="preserve">. </w:t>
      </w:r>
    </w:p>
    <w:p w14:paraId="19D36479" w14:textId="07CA3CE8" w:rsidR="008834A2" w:rsidRDefault="008834A2" w:rsidP="00A30832">
      <w:pPr>
        <w:numPr>
          <w:ilvl w:val="0"/>
          <w:numId w:val="0"/>
        </w:numPr>
        <w:ind w:left="1068"/>
        <w:rPr>
          <w:rFonts w:eastAsiaTheme="minorEastAsia"/>
        </w:rPr>
      </w:pPr>
      <w:r>
        <w:rPr>
          <w:rFonts w:eastAsiaTheme="minorEastAsia"/>
        </w:rPr>
        <w:t>L’équation de Navier-Stokes se réécrit en supposant la stationnarité de la masse volumique : 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>=-gra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P+ρgz</m:t>
            </m:r>
          </m:e>
        </m:d>
        <m:r>
          <w:rPr>
            <w:rFonts w:ascii="Cambria Math" w:eastAsiaTheme="minorEastAsia" w:hAnsi="Cambria Math"/>
          </w:rPr>
          <m:t>dτ+η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dτ-ρ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>.gra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dτ </m:t>
        </m:r>
      </m:oMath>
    </w:p>
    <w:p w14:paraId="748F45A1" w14:textId="5287D475" w:rsidR="0071702D" w:rsidRPr="007D00F7" w:rsidRDefault="0071702D" w:rsidP="00A30832">
      <w:pPr>
        <w:numPr>
          <w:ilvl w:val="0"/>
          <w:numId w:val="0"/>
        </w:numPr>
        <w:ind w:left="1068"/>
      </w:pPr>
      <w:r>
        <w:rPr>
          <w:rFonts w:eastAsiaTheme="minorEastAsia"/>
        </w:rPr>
        <w:t xml:space="preserve">Le terme de gauche est le taux de variation de la quantité de mouvement dans un volume </w:t>
      </w:r>
      <m:oMath>
        <m:r>
          <w:rPr>
            <w:rFonts w:ascii="Cambria Math" w:eastAsiaTheme="minorEastAsia" w:hAnsi="Cambria Math"/>
          </w:rPr>
          <m:t>dτ</m:t>
        </m:r>
      </m:oMath>
      <w:r>
        <w:rPr>
          <w:rFonts w:eastAsiaTheme="minorEastAsia"/>
        </w:rPr>
        <w:t xml:space="preserve"> FIXE ! car dérivé partielle. </w:t>
      </w:r>
      <w:r w:rsidR="00002E06">
        <w:rPr>
          <w:rFonts w:eastAsiaTheme="minorEastAsia"/>
        </w:rPr>
        <w:t xml:space="preserve">Les termes du membre de droite correspond aux différentes causes de variation de cette quantité de mouvement. </w:t>
      </w:r>
      <w:r w:rsidR="00352DE5">
        <w:rPr>
          <w:rFonts w:eastAsiaTheme="minorEastAsia"/>
        </w:rPr>
        <w:t xml:space="preserve">Terme de transport diffusif vs </w:t>
      </w:r>
      <w:proofErr w:type="spellStart"/>
      <w:r w:rsidR="00352DE5">
        <w:rPr>
          <w:rFonts w:eastAsiaTheme="minorEastAsia"/>
        </w:rPr>
        <w:t>advectif</w:t>
      </w:r>
      <w:proofErr w:type="spellEnd"/>
      <w:r w:rsidR="00352DE5">
        <w:rPr>
          <w:rFonts w:eastAsiaTheme="minorEastAsia"/>
        </w:rPr>
        <w:t xml:space="preserve"> ! </w:t>
      </w:r>
    </w:p>
    <w:sectPr w:rsidR="0071702D" w:rsidRPr="007D0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22B1" w14:textId="77777777" w:rsidR="00D97669" w:rsidRDefault="00D97669" w:rsidP="00A27ED0">
      <w:r>
        <w:separator/>
      </w:r>
    </w:p>
  </w:endnote>
  <w:endnote w:type="continuationSeparator" w:id="0">
    <w:p w14:paraId="61FEB319" w14:textId="77777777" w:rsidR="00D97669" w:rsidRDefault="00D97669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65756" w14:textId="77777777" w:rsidR="00D97669" w:rsidRDefault="00D97669" w:rsidP="00A27ED0">
      <w:r>
        <w:separator/>
      </w:r>
    </w:p>
  </w:footnote>
  <w:footnote w:type="continuationSeparator" w:id="0">
    <w:p w14:paraId="510FEE74" w14:textId="77777777" w:rsidR="00D97669" w:rsidRDefault="00D97669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2031F"/>
    <w:multiLevelType w:val="hybridMultilevel"/>
    <w:tmpl w:val="7A9A07E0"/>
    <w:lvl w:ilvl="0" w:tplc="32984264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28F0184"/>
    <w:multiLevelType w:val="multilevel"/>
    <w:tmpl w:val="1EAAAAAA"/>
    <w:lvl w:ilvl="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94DB5"/>
    <w:multiLevelType w:val="hybridMultilevel"/>
    <w:tmpl w:val="2ABCD30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3CF1F08"/>
    <w:multiLevelType w:val="hybridMultilevel"/>
    <w:tmpl w:val="E51E6C14"/>
    <w:lvl w:ilvl="0" w:tplc="FB581D7E"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"/>
  </w:num>
  <w:num w:numId="5">
    <w:abstractNumId w:val="11"/>
  </w:num>
  <w:num w:numId="6">
    <w:abstractNumId w:val="7"/>
  </w:num>
  <w:num w:numId="7">
    <w:abstractNumId w:val="1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3"/>
  </w:num>
  <w:num w:numId="10">
    <w:abstractNumId w:val="0"/>
  </w:num>
  <w:num w:numId="11">
    <w:abstractNumId w:val="3"/>
  </w:num>
  <w:num w:numId="12">
    <w:abstractNumId w:val="4"/>
  </w:num>
  <w:num w:numId="13">
    <w:abstractNumId w:val="10"/>
  </w:num>
  <w:num w:numId="14">
    <w:abstractNumId w:val="0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0BD"/>
    <w:rsid w:val="00000A90"/>
    <w:rsid w:val="00002E06"/>
    <w:rsid w:val="000074EF"/>
    <w:rsid w:val="00007FFA"/>
    <w:rsid w:val="00012DED"/>
    <w:rsid w:val="000149EF"/>
    <w:rsid w:val="00023E3B"/>
    <w:rsid w:val="000258EC"/>
    <w:rsid w:val="000343BE"/>
    <w:rsid w:val="00034E69"/>
    <w:rsid w:val="00040005"/>
    <w:rsid w:val="000426C6"/>
    <w:rsid w:val="00042F19"/>
    <w:rsid w:val="00045900"/>
    <w:rsid w:val="0005201C"/>
    <w:rsid w:val="00054031"/>
    <w:rsid w:val="000543CF"/>
    <w:rsid w:val="000613A8"/>
    <w:rsid w:val="00062CEC"/>
    <w:rsid w:val="000661B0"/>
    <w:rsid w:val="000669A3"/>
    <w:rsid w:val="00070FED"/>
    <w:rsid w:val="00073395"/>
    <w:rsid w:val="00074BC1"/>
    <w:rsid w:val="00076716"/>
    <w:rsid w:val="00077749"/>
    <w:rsid w:val="00077FCA"/>
    <w:rsid w:val="0008063F"/>
    <w:rsid w:val="000808E6"/>
    <w:rsid w:val="00086628"/>
    <w:rsid w:val="00090E3F"/>
    <w:rsid w:val="00094365"/>
    <w:rsid w:val="00094778"/>
    <w:rsid w:val="000A00B1"/>
    <w:rsid w:val="000A57D0"/>
    <w:rsid w:val="000A7BF2"/>
    <w:rsid w:val="000C10AC"/>
    <w:rsid w:val="000C64F0"/>
    <w:rsid w:val="000D1730"/>
    <w:rsid w:val="000E269E"/>
    <w:rsid w:val="000E3286"/>
    <w:rsid w:val="000E3547"/>
    <w:rsid w:val="000E3568"/>
    <w:rsid w:val="000F0B1C"/>
    <w:rsid w:val="000F14F3"/>
    <w:rsid w:val="000F3E94"/>
    <w:rsid w:val="00103845"/>
    <w:rsid w:val="0010635F"/>
    <w:rsid w:val="00106BF1"/>
    <w:rsid w:val="00112123"/>
    <w:rsid w:val="00114C03"/>
    <w:rsid w:val="00115C26"/>
    <w:rsid w:val="00121261"/>
    <w:rsid w:val="00121FF4"/>
    <w:rsid w:val="0012231E"/>
    <w:rsid w:val="001243AB"/>
    <w:rsid w:val="001245F7"/>
    <w:rsid w:val="001247EA"/>
    <w:rsid w:val="00130CC8"/>
    <w:rsid w:val="00131D4A"/>
    <w:rsid w:val="001372A6"/>
    <w:rsid w:val="0014164C"/>
    <w:rsid w:val="001423FA"/>
    <w:rsid w:val="001429D1"/>
    <w:rsid w:val="00144D4D"/>
    <w:rsid w:val="0014776F"/>
    <w:rsid w:val="00147BAD"/>
    <w:rsid w:val="00147CC6"/>
    <w:rsid w:val="00150D8C"/>
    <w:rsid w:val="001518B5"/>
    <w:rsid w:val="00152776"/>
    <w:rsid w:val="001536B7"/>
    <w:rsid w:val="0015452D"/>
    <w:rsid w:val="00155448"/>
    <w:rsid w:val="00155919"/>
    <w:rsid w:val="001616F2"/>
    <w:rsid w:val="001659ED"/>
    <w:rsid w:val="001720E5"/>
    <w:rsid w:val="001735C3"/>
    <w:rsid w:val="0017675B"/>
    <w:rsid w:val="001774DE"/>
    <w:rsid w:val="001806D6"/>
    <w:rsid w:val="00191476"/>
    <w:rsid w:val="00195422"/>
    <w:rsid w:val="00196D0A"/>
    <w:rsid w:val="001A0404"/>
    <w:rsid w:val="001A21B9"/>
    <w:rsid w:val="001A2203"/>
    <w:rsid w:val="001A5AD1"/>
    <w:rsid w:val="001A75A9"/>
    <w:rsid w:val="001B3F89"/>
    <w:rsid w:val="001B456F"/>
    <w:rsid w:val="001B7569"/>
    <w:rsid w:val="001B7D9A"/>
    <w:rsid w:val="001C0AD2"/>
    <w:rsid w:val="001C286F"/>
    <w:rsid w:val="001D19AD"/>
    <w:rsid w:val="001D1D93"/>
    <w:rsid w:val="001D378E"/>
    <w:rsid w:val="001D40F8"/>
    <w:rsid w:val="001D4B80"/>
    <w:rsid w:val="001D6522"/>
    <w:rsid w:val="001E119E"/>
    <w:rsid w:val="001E43A6"/>
    <w:rsid w:val="001E4BCF"/>
    <w:rsid w:val="001E56B6"/>
    <w:rsid w:val="001F11E5"/>
    <w:rsid w:val="001F4BB3"/>
    <w:rsid w:val="001F5376"/>
    <w:rsid w:val="001F53DB"/>
    <w:rsid w:val="00200B28"/>
    <w:rsid w:val="00203B84"/>
    <w:rsid w:val="00204FFE"/>
    <w:rsid w:val="002072C9"/>
    <w:rsid w:val="0020740E"/>
    <w:rsid w:val="00212BFF"/>
    <w:rsid w:val="00215661"/>
    <w:rsid w:val="0021584E"/>
    <w:rsid w:val="00215C57"/>
    <w:rsid w:val="00216670"/>
    <w:rsid w:val="00217020"/>
    <w:rsid w:val="00217980"/>
    <w:rsid w:val="00220547"/>
    <w:rsid w:val="002208A3"/>
    <w:rsid w:val="00222513"/>
    <w:rsid w:val="00222ACF"/>
    <w:rsid w:val="00225D6F"/>
    <w:rsid w:val="00226FE9"/>
    <w:rsid w:val="00227333"/>
    <w:rsid w:val="002303B2"/>
    <w:rsid w:val="00231625"/>
    <w:rsid w:val="00232EBF"/>
    <w:rsid w:val="00233828"/>
    <w:rsid w:val="00235DB9"/>
    <w:rsid w:val="00240D33"/>
    <w:rsid w:val="00245991"/>
    <w:rsid w:val="00251AF5"/>
    <w:rsid w:val="00252093"/>
    <w:rsid w:val="0025563C"/>
    <w:rsid w:val="00255939"/>
    <w:rsid w:val="00256A93"/>
    <w:rsid w:val="00257449"/>
    <w:rsid w:val="00264A8F"/>
    <w:rsid w:val="00266C9F"/>
    <w:rsid w:val="002709FF"/>
    <w:rsid w:val="00271E5A"/>
    <w:rsid w:val="00275424"/>
    <w:rsid w:val="002826F3"/>
    <w:rsid w:val="0028312D"/>
    <w:rsid w:val="0028480D"/>
    <w:rsid w:val="00284CB7"/>
    <w:rsid w:val="00285793"/>
    <w:rsid w:val="00293EC0"/>
    <w:rsid w:val="00295EF7"/>
    <w:rsid w:val="00296C97"/>
    <w:rsid w:val="00297919"/>
    <w:rsid w:val="002A028F"/>
    <w:rsid w:val="002A4302"/>
    <w:rsid w:val="002A5FF8"/>
    <w:rsid w:val="002A643A"/>
    <w:rsid w:val="002A67F2"/>
    <w:rsid w:val="002A7461"/>
    <w:rsid w:val="002A7EAA"/>
    <w:rsid w:val="002B2A94"/>
    <w:rsid w:val="002B60E5"/>
    <w:rsid w:val="002B6916"/>
    <w:rsid w:val="002B70CC"/>
    <w:rsid w:val="002C67C1"/>
    <w:rsid w:val="002C6E4A"/>
    <w:rsid w:val="002D0B5E"/>
    <w:rsid w:val="002D1CCB"/>
    <w:rsid w:val="002D2B05"/>
    <w:rsid w:val="002D3FBF"/>
    <w:rsid w:val="002E46A8"/>
    <w:rsid w:val="002E6798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1415D"/>
    <w:rsid w:val="00315084"/>
    <w:rsid w:val="00320CCD"/>
    <w:rsid w:val="00321FB9"/>
    <w:rsid w:val="00322865"/>
    <w:rsid w:val="00324F93"/>
    <w:rsid w:val="00325021"/>
    <w:rsid w:val="00327634"/>
    <w:rsid w:val="00327969"/>
    <w:rsid w:val="00330ACD"/>
    <w:rsid w:val="003325D4"/>
    <w:rsid w:val="00332F15"/>
    <w:rsid w:val="0033344E"/>
    <w:rsid w:val="00333D0D"/>
    <w:rsid w:val="00340323"/>
    <w:rsid w:val="00344B18"/>
    <w:rsid w:val="0034567B"/>
    <w:rsid w:val="003518D3"/>
    <w:rsid w:val="00351AB2"/>
    <w:rsid w:val="00352993"/>
    <w:rsid w:val="00352DE5"/>
    <w:rsid w:val="00355D4B"/>
    <w:rsid w:val="00356756"/>
    <w:rsid w:val="00356E1D"/>
    <w:rsid w:val="00357540"/>
    <w:rsid w:val="00361FAE"/>
    <w:rsid w:val="00365657"/>
    <w:rsid w:val="00366806"/>
    <w:rsid w:val="00366B86"/>
    <w:rsid w:val="00366C1C"/>
    <w:rsid w:val="00367903"/>
    <w:rsid w:val="0037255A"/>
    <w:rsid w:val="00372931"/>
    <w:rsid w:val="0037697B"/>
    <w:rsid w:val="00377560"/>
    <w:rsid w:val="00377A8D"/>
    <w:rsid w:val="00377F28"/>
    <w:rsid w:val="0038103C"/>
    <w:rsid w:val="003818C5"/>
    <w:rsid w:val="00384F95"/>
    <w:rsid w:val="003878DC"/>
    <w:rsid w:val="00392B67"/>
    <w:rsid w:val="00396E4E"/>
    <w:rsid w:val="003A444B"/>
    <w:rsid w:val="003A56F8"/>
    <w:rsid w:val="003A752E"/>
    <w:rsid w:val="003B1D75"/>
    <w:rsid w:val="003B2D6D"/>
    <w:rsid w:val="003B4E30"/>
    <w:rsid w:val="003B57F3"/>
    <w:rsid w:val="003B61CA"/>
    <w:rsid w:val="003B6488"/>
    <w:rsid w:val="003C1EDE"/>
    <w:rsid w:val="003C344C"/>
    <w:rsid w:val="003C3558"/>
    <w:rsid w:val="003C373A"/>
    <w:rsid w:val="003C42E3"/>
    <w:rsid w:val="003C64F8"/>
    <w:rsid w:val="003D0198"/>
    <w:rsid w:val="003D3040"/>
    <w:rsid w:val="003D37E2"/>
    <w:rsid w:val="003D78E2"/>
    <w:rsid w:val="003D7E6C"/>
    <w:rsid w:val="003E0602"/>
    <w:rsid w:val="003E160F"/>
    <w:rsid w:val="003E1E5C"/>
    <w:rsid w:val="003E4FD3"/>
    <w:rsid w:val="003E661D"/>
    <w:rsid w:val="003E7DDE"/>
    <w:rsid w:val="003E7F8D"/>
    <w:rsid w:val="003F5D4D"/>
    <w:rsid w:val="003F6B40"/>
    <w:rsid w:val="004032B4"/>
    <w:rsid w:val="0040639B"/>
    <w:rsid w:val="00406F7D"/>
    <w:rsid w:val="0041187E"/>
    <w:rsid w:val="00411A30"/>
    <w:rsid w:val="00413C8D"/>
    <w:rsid w:val="00415878"/>
    <w:rsid w:val="00420A04"/>
    <w:rsid w:val="00420FF0"/>
    <w:rsid w:val="0042255E"/>
    <w:rsid w:val="00422AF3"/>
    <w:rsid w:val="00422AF8"/>
    <w:rsid w:val="00430E11"/>
    <w:rsid w:val="00432ECD"/>
    <w:rsid w:val="00436FCB"/>
    <w:rsid w:val="00440E83"/>
    <w:rsid w:val="00447027"/>
    <w:rsid w:val="004540F0"/>
    <w:rsid w:val="00454FDB"/>
    <w:rsid w:val="0045635F"/>
    <w:rsid w:val="0046364E"/>
    <w:rsid w:val="004645CB"/>
    <w:rsid w:val="00465A32"/>
    <w:rsid w:val="00467276"/>
    <w:rsid w:val="004718DE"/>
    <w:rsid w:val="00483592"/>
    <w:rsid w:val="00490F5C"/>
    <w:rsid w:val="00492870"/>
    <w:rsid w:val="00492BCB"/>
    <w:rsid w:val="004933EE"/>
    <w:rsid w:val="004966B0"/>
    <w:rsid w:val="00496F97"/>
    <w:rsid w:val="004A1ACD"/>
    <w:rsid w:val="004A20C2"/>
    <w:rsid w:val="004A21B3"/>
    <w:rsid w:val="004A2411"/>
    <w:rsid w:val="004A2ECA"/>
    <w:rsid w:val="004A78F7"/>
    <w:rsid w:val="004B0953"/>
    <w:rsid w:val="004B24BF"/>
    <w:rsid w:val="004B2B4E"/>
    <w:rsid w:val="004B4067"/>
    <w:rsid w:val="004B5F69"/>
    <w:rsid w:val="004C2307"/>
    <w:rsid w:val="004C276C"/>
    <w:rsid w:val="004C4E2A"/>
    <w:rsid w:val="004C7543"/>
    <w:rsid w:val="004D60D6"/>
    <w:rsid w:val="004D621C"/>
    <w:rsid w:val="004D73F1"/>
    <w:rsid w:val="004E107D"/>
    <w:rsid w:val="004E1C56"/>
    <w:rsid w:val="004F021F"/>
    <w:rsid w:val="004F3328"/>
    <w:rsid w:val="004F47DC"/>
    <w:rsid w:val="004F5D4F"/>
    <w:rsid w:val="004F5F5D"/>
    <w:rsid w:val="004F62D6"/>
    <w:rsid w:val="004F677E"/>
    <w:rsid w:val="00500AE5"/>
    <w:rsid w:val="00501A9C"/>
    <w:rsid w:val="00501C46"/>
    <w:rsid w:val="00504F61"/>
    <w:rsid w:val="005117CA"/>
    <w:rsid w:val="00512339"/>
    <w:rsid w:val="00512D16"/>
    <w:rsid w:val="005141E7"/>
    <w:rsid w:val="00520FF1"/>
    <w:rsid w:val="00521256"/>
    <w:rsid w:val="00527334"/>
    <w:rsid w:val="00530C17"/>
    <w:rsid w:val="005332C5"/>
    <w:rsid w:val="00540641"/>
    <w:rsid w:val="0054171D"/>
    <w:rsid w:val="00544BF5"/>
    <w:rsid w:val="00545A53"/>
    <w:rsid w:val="00547568"/>
    <w:rsid w:val="00552504"/>
    <w:rsid w:val="005528CB"/>
    <w:rsid w:val="005536E1"/>
    <w:rsid w:val="00553957"/>
    <w:rsid w:val="00563D48"/>
    <w:rsid w:val="005665A5"/>
    <w:rsid w:val="005672D2"/>
    <w:rsid w:val="0057302E"/>
    <w:rsid w:val="00573624"/>
    <w:rsid w:val="00577651"/>
    <w:rsid w:val="0057770A"/>
    <w:rsid w:val="005823B8"/>
    <w:rsid w:val="00582FB9"/>
    <w:rsid w:val="00583B69"/>
    <w:rsid w:val="00586177"/>
    <w:rsid w:val="00595BBE"/>
    <w:rsid w:val="00596260"/>
    <w:rsid w:val="005968A7"/>
    <w:rsid w:val="005A101E"/>
    <w:rsid w:val="005A1D65"/>
    <w:rsid w:val="005A1DE2"/>
    <w:rsid w:val="005A2AEC"/>
    <w:rsid w:val="005A2F18"/>
    <w:rsid w:val="005A524E"/>
    <w:rsid w:val="005A5B44"/>
    <w:rsid w:val="005B0842"/>
    <w:rsid w:val="005B4DC6"/>
    <w:rsid w:val="005B5188"/>
    <w:rsid w:val="005B6443"/>
    <w:rsid w:val="005B7CE1"/>
    <w:rsid w:val="005C0E38"/>
    <w:rsid w:val="005C160C"/>
    <w:rsid w:val="005C197A"/>
    <w:rsid w:val="005C1E4B"/>
    <w:rsid w:val="005C2909"/>
    <w:rsid w:val="005C4D61"/>
    <w:rsid w:val="005C5837"/>
    <w:rsid w:val="005D50E2"/>
    <w:rsid w:val="005D6B9A"/>
    <w:rsid w:val="005D7631"/>
    <w:rsid w:val="005D76FE"/>
    <w:rsid w:val="005E2692"/>
    <w:rsid w:val="005E26E6"/>
    <w:rsid w:val="005E3844"/>
    <w:rsid w:val="005E5124"/>
    <w:rsid w:val="005E72D1"/>
    <w:rsid w:val="005F1370"/>
    <w:rsid w:val="005F4726"/>
    <w:rsid w:val="00601107"/>
    <w:rsid w:val="00602643"/>
    <w:rsid w:val="0060298B"/>
    <w:rsid w:val="0060504A"/>
    <w:rsid w:val="00606AF9"/>
    <w:rsid w:val="0061003E"/>
    <w:rsid w:val="00612E45"/>
    <w:rsid w:val="00613212"/>
    <w:rsid w:val="006203E9"/>
    <w:rsid w:val="0062399A"/>
    <w:rsid w:val="00627DBA"/>
    <w:rsid w:val="00631082"/>
    <w:rsid w:val="00631372"/>
    <w:rsid w:val="00632184"/>
    <w:rsid w:val="006337AD"/>
    <w:rsid w:val="006347D6"/>
    <w:rsid w:val="00636F12"/>
    <w:rsid w:val="006430C7"/>
    <w:rsid w:val="00643DDC"/>
    <w:rsid w:val="0064503F"/>
    <w:rsid w:val="00645613"/>
    <w:rsid w:val="00645F88"/>
    <w:rsid w:val="006513BB"/>
    <w:rsid w:val="00653DFA"/>
    <w:rsid w:val="0065585D"/>
    <w:rsid w:val="006578BF"/>
    <w:rsid w:val="00657C05"/>
    <w:rsid w:val="00660DD9"/>
    <w:rsid w:val="0066183C"/>
    <w:rsid w:val="006625BA"/>
    <w:rsid w:val="00662A2D"/>
    <w:rsid w:val="00664297"/>
    <w:rsid w:val="0066565B"/>
    <w:rsid w:val="006663C2"/>
    <w:rsid w:val="00676A73"/>
    <w:rsid w:val="006850BC"/>
    <w:rsid w:val="00685942"/>
    <w:rsid w:val="00685FEE"/>
    <w:rsid w:val="00690218"/>
    <w:rsid w:val="00690F24"/>
    <w:rsid w:val="0069281F"/>
    <w:rsid w:val="006A26D5"/>
    <w:rsid w:val="006A3ADC"/>
    <w:rsid w:val="006A5A98"/>
    <w:rsid w:val="006B5513"/>
    <w:rsid w:val="006B5C5F"/>
    <w:rsid w:val="006C37E3"/>
    <w:rsid w:val="006C56FD"/>
    <w:rsid w:val="006D1486"/>
    <w:rsid w:val="006D2A91"/>
    <w:rsid w:val="006D4F64"/>
    <w:rsid w:val="006D613D"/>
    <w:rsid w:val="006D78F2"/>
    <w:rsid w:val="006D7C08"/>
    <w:rsid w:val="006E1248"/>
    <w:rsid w:val="006E201F"/>
    <w:rsid w:val="006E3E4D"/>
    <w:rsid w:val="006E511D"/>
    <w:rsid w:val="006E59E9"/>
    <w:rsid w:val="006E74B5"/>
    <w:rsid w:val="006F225A"/>
    <w:rsid w:val="006F3130"/>
    <w:rsid w:val="006F4605"/>
    <w:rsid w:val="006F5ACB"/>
    <w:rsid w:val="006F5D14"/>
    <w:rsid w:val="006F6206"/>
    <w:rsid w:val="00701FB6"/>
    <w:rsid w:val="007022B6"/>
    <w:rsid w:val="00703FD4"/>
    <w:rsid w:val="0070560E"/>
    <w:rsid w:val="007067CB"/>
    <w:rsid w:val="007101F2"/>
    <w:rsid w:val="007121EF"/>
    <w:rsid w:val="00712BCC"/>
    <w:rsid w:val="00713E1C"/>
    <w:rsid w:val="0071702D"/>
    <w:rsid w:val="00717909"/>
    <w:rsid w:val="0072209B"/>
    <w:rsid w:val="00725A42"/>
    <w:rsid w:val="00725A8F"/>
    <w:rsid w:val="007308A5"/>
    <w:rsid w:val="007326DF"/>
    <w:rsid w:val="00735CC6"/>
    <w:rsid w:val="00735DA6"/>
    <w:rsid w:val="007360F1"/>
    <w:rsid w:val="0074113F"/>
    <w:rsid w:val="00743722"/>
    <w:rsid w:val="00745105"/>
    <w:rsid w:val="00751111"/>
    <w:rsid w:val="007519A3"/>
    <w:rsid w:val="00751B49"/>
    <w:rsid w:val="00754036"/>
    <w:rsid w:val="00754BAD"/>
    <w:rsid w:val="00756DDD"/>
    <w:rsid w:val="00762CE9"/>
    <w:rsid w:val="00763A7F"/>
    <w:rsid w:val="00763CA4"/>
    <w:rsid w:val="007644B2"/>
    <w:rsid w:val="00771BCA"/>
    <w:rsid w:val="00774DE1"/>
    <w:rsid w:val="007769A6"/>
    <w:rsid w:val="00781C80"/>
    <w:rsid w:val="00782E52"/>
    <w:rsid w:val="0078534A"/>
    <w:rsid w:val="007863BF"/>
    <w:rsid w:val="00790C3A"/>
    <w:rsid w:val="0079371C"/>
    <w:rsid w:val="00794613"/>
    <w:rsid w:val="00795BA2"/>
    <w:rsid w:val="0079732B"/>
    <w:rsid w:val="00797849"/>
    <w:rsid w:val="007A06E9"/>
    <w:rsid w:val="007A2A1D"/>
    <w:rsid w:val="007A6595"/>
    <w:rsid w:val="007A6E3C"/>
    <w:rsid w:val="007B010D"/>
    <w:rsid w:val="007B2C3C"/>
    <w:rsid w:val="007B4129"/>
    <w:rsid w:val="007B4305"/>
    <w:rsid w:val="007C3A23"/>
    <w:rsid w:val="007C4AC5"/>
    <w:rsid w:val="007C7C23"/>
    <w:rsid w:val="007D00F7"/>
    <w:rsid w:val="007D0352"/>
    <w:rsid w:val="007D0E2C"/>
    <w:rsid w:val="007D1989"/>
    <w:rsid w:val="007D41AC"/>
    <w:rsid w:val="007E272A"/>
    <w:rsid w:val="007E59CD"/>
    <w:rsid w:val="007E653D"/>
    <w:rsid w:val="007E78E0"/>
    <w:rsid w:val="007F41DD"/>
    <w:rsid w:val="007F4C6F"/>
    <w:rsid w:val="007F4EFF"/>
    <w:rsid w:val="007F50B0"/>
    <w:rsid w:val="007F70BE"/>
    <w:rsid w:val="00800763"/>
    <w:rsid w:val="00801F2C"/>
    <w:rsid w:val="008029D6"/>
    <w:rsid w:val="00810C2E"/>
    <w:rsid w:val="00814C51"/>
    <w:rsid w:val="00814DB1"/>
    <w:rsid w:val="00820A6F"/>
    <w:rsid w:val="0082133B"/>
    <w:rsid w:val="00823959"/>
    <w:rsid w:val="0082399D"/>
    <w:rsid w:val="0083554D"/>
    <w:rsid w:val="00841858"/>
    <w:rsid w:val="00843136"/>
    <w:rsid w:val="008438B7"/>
    <w:rsid w:val="0084532B"/>
    <w:rsid w:val="008460E1"/>
    <w:rsid w:val="008478B5"/>
    <w:rsid w:val="00851DFC"/>
    <w:rsid w:val="0085219B"/>
    <w:rsid w:val="00852727"/>
    <w:rsid w:val="008557A0"/>
    <w:rsid w:val="00856777"/>
    <w:rsid w:val="0085682E"/>
    <w:rsid w:val="00857F9E"/>
    <w:rsid w:val="00861322"/>
    <w:rsid w:val="0086285B"/>
    <w:rsid w:val="008633C4"/>
    <w:rsid w:val="00865D3D"/>
    <w:rsid w:val="00866A9A"/>
    <w:rsid w:val="00866EE9"/>
    <w:rsid w:val="00867FF0"/>
    <w:rsid w:val="008727DE"/>
    <w:rsid w:val="008754D1"/>
    <w:rsid w:val="008774F8"/>
    <w:rsid w:val="00880986"/>
    <w:rsid w:val="00881021"/>
    <w:rsid w:val="008834A2"/>
    <w:rsid w:val="0088678F"/>
    <w:rsid w:val="008903B0"/>
    <w:rsid w:val="00892B14"/>
    <w:rsid w:val="00893F12"/>
    <w:rsid w:val="008951A0"/>
    <w:rsid w:val="008A319A"/>
    <w:rsid w:val="008A446E"/>
    <w:rsid w:val="008A4977"/>
    <w:rsid w:val="008A6170"/>
    <w:rsid w:val="008B1180"/>
    <w:rsid w:val="008B3A76"/>
    <w:rsid w:val="008B49D8"/>
    <w:rsid w:val="008B4A57"/>
    <w:rsid w:val="008B73C8"/>
    <w:rsid w:val="008C0A08"/>
    <w:rsid w:val="008C1FE5"/>
    <w:rsid w:val="008C2184"/>
    <w:rsid w:val="008C3D27"/>
    <w:rsid w:val="008C5E9D"/>
    <w:rsid w:val="008C603D"/>
    <w:rsid w:val="008D11BA"/>
    <w:rsid w:val="008D171E"/>
    <w:rsid w:val="008D69AE"/>
    <w:rsid w:val="008E1BA0"/>
    <w:rsid w:val="008E7630"/>
    <w:rsid w:val="008F0A6A"/>
    <w:rsid w:val="0090066B"/>
    <w:rsid w:val="00901F51"/>
    <w:rsid w:val="0090238F"/>
    <w:rsid w:val="009023DF"/>
    <w:rsid w:val="0090523B"/>
    <w:rsid w:val="0091299B"/>
    <w:rsid w:val="00915950"/>
    <w:rsid w:val="00915976"/>
    <w:rsid w:val="00915F5B"/>
    <w:rsid w:val="00916513"/>
    <w:rsid w:val="009174AD"/>
    <w:rsid w:val="0091788A"/>
    <w:rsid w:val="00922709"/>
    <w:rsid w:val="009275E5"/>
    <w:rsid w:val="00934E30"/>
    <w:rsid w:val="009411A4"/>
    <w:rsid w:val="0094228D"/>
    <w:rsid w:val="0094250F"/>
    <w:rsid w:val="009433E4"/>
    <w:rsid w:val="00944160"/>
    <w:rsid w:val="00944FF8"/>
    <w:rsid w:val="00946173"/>
    <w:rsid w:val="00946ABB"/>
    <w:rsid w:val="0094753D"/>
    <w:rsid w:val="00947E02"/>
    <w:rsid w:val="00950852"/>
    <w:rsid w:val="00952C4A"/>
    <w:rsid w:val="00952DED"/>
    <w:rsid w:val="00953112"/>
    <w:rsid w:val="00956269"/>
    <w:rsid w:val="009575C3"/>
    <w:rsid w:val="0096142A"/>
    <w:rsid w:val="00962583"/>
    <w:rsid w:val="00977AC7"/>
    <w:rsid w:val="00980602"/>
    <w:rsid w:val="00985606"/>
    <w:rsid w:val="00985C66"/>
    <w:rsid w:val="009908B3"/>
    <w:rsid w:val="009926FD"/>
    <w:rsid w:val="00994CD3"/>
    <w:rsid w:val="009A0385"/>
    <w:rsid w:val="009A0F00"/>
    <w:rsid w:val="009A1172"/>
    <w:rsid w:val="009A1926"/>
    <w:rsid w:val="009A2D53"/>
    <w:rsid w:val="009A3FF7"/>
    <w:rsid w:val="009A49DF"/>
    <w:rsid w:val="009A549F"/>
    <w:rsid w:val="009A76C8"/>
    <w:rsid w:val="009B03C5"/>
    <w:rsid w:val="009B1551"/>
    <w:rsid w:val="009B5D9B"/>
    <w:rsid w:val="009C2BE5"/>
    <w:rsid w:val="009C4257"/>
    <w:rsid w:val="009C6895"/>
    <w:rsid w:val="009C7BF0"/>
    <w:rsid w:val="009D0936"/>
    <w:rsid w:val="009D1BB5"/>
    <w:rsid w:val="009D1E60"/>
    <w:rsid w:val="009D3544"/>
    <w:rsid w:val="009D71E6"/>
    <w:rsid w:val="009D7AB0"/>
    <w:rsid w:val="009E641C"/>
    <w:rsid w:val="009E6A3A"/>
    <w:rsid w:val="009E747F"/>
    <w:rsid w:val="009F12CD"/>
    <w:rsid w:val="009F1BE8"/>
    <w:rsid w:val="009F3223"/>
    <w:rsid w:val="009F4D92"/>
    <w:rsid w:val="009F67A1"/>
    <w:rsid w:val="00A0248A"/>
    <w:rsid w:val="00A04687"/>
    <w:rsid w:val="00A05655"/>
    <w:rsid w:val="00A068F2"/>
    <w:rsid w:val="00A103F7"/>
    <w:rsid w:val="00A11129"/>
    <w:rsid w:val="00A170CB"/>
    <w:rsid w:val="00A21AC6"/>
    <w:rsid w:val="00A22818"/>
    <w:rsid w:val="00A2415A"/>
    <w:rsid w:val="00A25206"/>
    <w:rsid w:val="00A2576E"/>
    <w:rsid w:val="00A27ED0"/>
    <w:rsid w:val="00A30101"/>
    <w:rsid w:val="00A307B6"/>
    <w:rsid w:val="00A30832"/>
    <w:rsid w:val="00A3198C"/>
    <w:rsid w:val="00A35F3F"/>
    <w:rsid w:val="00A369F0"/>
    <w:rsid w:val="00A42328"/>
    <w:rsid w:val="00A436E7"/>
    <w:rsid w:val="00A439BA"/>
    <w:rsid w:val="00A44144"/>
    <w:rsid w:val="00A46D7B"/>
    <w:rsid w:val="00A51AB2"/>
    <w:rsid w:val="00A51C83"/>
    <w:rsid w:val="00A5317C"/>
    <w:rsid w:val="00A53BB8"/>
    <w:rsid w:val="00A56687"/>
    <w:rsid w:val="00A6074A"/>
    <w:rsid w:val="00A609D1"/>
    <w:rsid w:val="00A6270C"/>
    <w:rsid w:val="00A62812"/>
    <w:rsid w:val="00A62BE5"/>
    <w:rsid w:val="00A62E2F"/>
    <w:rsid w:val="00A6322B"/>
    <w:rsid w:val="00A63CF0"/>
    <w:rsid w:val="00A6671E"/>
    <w:rsid w:val="00A66DFA"/>
    <w:rsid w:val="00A671D4"/>
    <w:rsid w:val="00A67E6B"/>
    <w:rsid w:val="00A7474A"/>
    <w:rsid w:val="00A75D31"/>
    <w:rsid w:val="00A75FFC"/>
    <w:rsid w:val="00A8427C"/>
    <w:rsid w:val="00A84542"/>
    <w:rsid w:val="00A855E2"/>
    <w:rsid w:val="00A87C7C"/>
    <w:rsid w:val="00A94E3F"/>
    <w:rsid w:val="00A96633"/>
    <w:rsid w:val="00A97E61"/>
    <w:rsid w:val="00AA371F"/>
    <w:rsid w:val="00AA47A0"/>
    <w:rsid w:val="00AA7474"/>
    <w:rsid w:val="00AB674B"/>
    <w:rsid w:val="00AB7E59"/>
    <w:rsid w:val="00AC1D00"/>
    <w:rsid w:val="00AC5848"/>
    <w:rsid w:val="00AC6D02"/>
    <w:rsid w:val="00AD0E14"/>
    <w:rsid w:val="00AD1988"/>
    <w:rsid w:val="00AD2D92"/>
    <w:rsid w:val="00AD3F58"/>
    <w:rsid w:val="00AD4420"/>
    <w:rsid w:val="00AD67B0"/>
    <w:rsid w:val="00AE0606"/>
    <w:rsid w:val="00AE3579"/>
    <w:rsid w:val="00AE4BC5"/>
    <w:rsid w:val="00AE5283"/>
    <w:rsid w:val="00AF1EC1"/>
    <w:rsid w:val="00AF4219"/>
    <w:rsid w:val="00AF46FF"/>
    <w:rsid w:val="00AF5DE1"/>
    <w:rsid w:val="00AF6885"/>
    <w:rsid w:val="00AF70C9"/>
    <w:rsid w:val="00B0146C"/>
    <w:rsid w:val="00B026C9"/>
    <w:rsid w:val="00B0642B"/>
    <w:rsid w:val="00B112B5"/>
    <w:rsid w:val="00B11CAF"/>
    <w:rsid w:val="00B13C8A"/>
    <w:rsid w:val="00B21642"/>
    <w:rsid w:val="00B256D6"/>
    <w:rsid w:val="00B355CC"/>
    <w:rsid w:val="00B40639"/>
    <w:rsid w:val="00B408A5"/>
    <w:rsid w:val="00B41401"/>
    <w:rsid w:val="00B4147C"/>
    <w:rsid w:val="00B418C8"/>
    <w:rsid w:val="00B41B86"/>
    <w:rsid w:val="00B42D9E"/>
    <w:rsid w:val="00B43DAD"/>
    <w:rsid w:val="00B44D4C"/>
    <w:rsid w:val="00B4545A"/>
    <w:rsid w:val="00B523ED"/>
    <w:rsid w:val="00B53D5B"/>
    <w:rsid w:val="00B55C92"/>
    <w:rsid w:val="00B56749"/>
    <w:rsid w:val="00B57D53"/>
    <w:rsid w:val="00B631E5"/>
    <w:rsid w:val="00B669D1"/>
    <w:rsid w:val="00B710BB"/>
    <w:rsid w:val="00B74BCE"/>
    <w:rsid w:val="00B768A6"/>
    <w:rsid w:val="00B82AE3"/>
    <w:rsid w:val="00B91D8C"/>
    <w:rsid w:val="00B97489"/>
    <w:rsid w:val="00BA0A97"/>
    <w:rsid w:val="00BA53B6"/>
    <w:rsid w:val="00BA7380"/>
    <w:rsid w:val="00BB224D"/>
    <w:rsid w:val="00BB3591"/>
    <w:rsid w:val="00BB522A"/>
    <w:rsid w:val="00BB58F9"/>
    <w:rsid w:val="00BC676C"/>
    <w:rsid w:val="00BC7071"/>
    <w:rsid w:val="00BD275F"/>
    <w:rsid w:val="00BD4408"/>
    <w:rsid w:val="00BD4952"/>
    <w:rsid w:val="00BD561C"/>
    <w:rsid w:val="00BD6F54"/>
    <w:rsid w:val="00BE4C22"/>
    <w:rsid w:val="00BE4CA1"/>
    <w:rsid w:val="00BE7ACA"/>
    <w:rsid w:val="00BF1F37"/>
    <w:rsid w:val="00BF382A"/>
    <w:rsid w:val="00C0293C"/>
    <w:rsid w:val="00C050CF"/>
    <w:rsid w:val="00C1042F"/>
    <w:rsid w:val="00C11D42"/>
    <w:rsid w:val="00C15F88"/>
    <w:rsid w:val="00C1695C"/>
    <w:rsid w:val="00C17304"/>
    <w:rsid w:val="00C21693"/>
    <w:rsid w:val="00C25F74"/>
    <w:rsid w:val="00C275A1"/>
    <w:rsid w:val="00C31AA8"/>
    <w:rsid w:val="00C33421"/>
    <w:rsid w:val="00C34335"/>
    <w:rsid w:val="00C3512A"/>
    <w:rsid w:val="00C358DF"/>
    <w:rsid w:val="00C36625"/>
    <w:rsid w:val="00C45A73"/>
    <w:rsid w:val="00C462C9"/>
    <w:rsid w:val="00C5063F"/>
    <w:rsid w:val="00C52FC3"/>
    <w:rsid w:val="00C574FB"/>
    <w:rsid w:val="00C5783B"/>
    <w:rsid w:val="00C63D82"/>
    <w:rsid w:val="00C64417"/>
    <w:rsid w:val="00C663FF"/>
    <w:rsid w:val="00C723A9"/>
    <w:rsid w:val="00C73FD0"/>
    <w:rsid w:val="00C7418A"/>
    <w:rsid w:val="00C8083F"/>
    <w:rsid w:val="00C81EA2"/>
    <w:rsid w:val="00C82B9A"/>
    <w:rsid w:val="00C8661B"/>
    <w:rsid w:val="00C92763"/>
    <w:rsid w:val="00C934C0"/>
    <w:rsid w:val="00C938B1"/>
    <w:rsid w:val="00C94921"/>
    <w:rsid w:val="00C95710"/>
    <w:rsid w:val="00CA184C"/>
    <w:rsid w:val="00CA1CFC"/>
    <w:rsid w:val="00CA35D9"/>
    <w:rsid w:val="00CA4C14"/>
    <w:rsid w:val="00CA675B"/>
    <w:rsid w:val="00CA7C6D"/>
    <w:rsid w:val="00CB2923"/>
    <w:rsid w:val="00CB5191"/>
    <w:rsid w:val="00CB61B0"/>
    <w:rsid w:val="00CB7E86"/>
    <w:rsid w:val="00CC2BC3"/>
    <w:rsid w:val="00CC3B5D"/>
    <w:rsid w:val="00CC4111"/>
    <w:rsid w:val="00CC5ACA"/>
    <w:rsid w:val="00CC7A9C"/>
    <w:rsid w:val="00CD03DB"/>
    <w:rsid w:val="00CD2B7D"/>
    <w:rsid w:val="00CD486B"/>
    <w:rsid w:val="00CD4C56"/>
    <w:rsid w:val="00CD579C"/>
    <w:rsid w:val="00CD5DA8"/>
    <w:rsid w:val="00CD6436"/>
    <w:rsid w:val="00CD70ED"/>
    <w:rsid w:val="00CD76BE"/>
    <w:rsid w:val="00CE159E"/>
    <w:rsid w:val="00CE440F"/>
    <w:rsid w:val="00CE651E"/>
    <w:rsid w:val="00CF1F0E"/>
    <w:rsid w:val="00CF5F07"/>
    <w:rsid w:val="00CF5FBB"/>
    <w:rsid w:val="00CF714A"/>
    <w:rsid w:val="00CF7E05"/>
    <w:rsid w:val="00CF7FF6"/>
    <w:rsid w:val="00D03196"/>
    <w:rsid w:val="00D0722A"/>
    <w:rsid w:val="00D103B9"/>
    <w:rsid w:val="00D10B8B"/>
    <w:rsid w:val="00D11338"/>
    <w:rsid w:val="00D11E48"/>
    <w:rsid w:val="00D13177"/>
    <w:rsid w:val="00D13453"/>
    <w:rsid w:val="00D138E7"/>
    <w:rsid w:val="00D14574"/>
    <w:rsid w:val="00D1596A"/>
    <w:rsid w:val="00D16361"/>
    <w:rsid w:val="00D21409"/>
    <w:rsid w:val="00D21527"/>
    <w:rsid w:val="00D21D29"/>
    <w:rsid w:val="00D24C8C"/>
    <w:rsid w:val="00D253B8"/>
    <w:rsid w:val="00D25D3C"/>
    <w:rsid w:val="00D273E5"/>
    <w:rsid w:val="00D32B49"/>
    <w:rsid w:val="00D32C9A"/>
    <w:rsid w:val="00D32CA1"/>
    <w:rsid w:val="00D3325D"/>
    <w:rsid w:val="00D348CA"/>
    <w:rsid w:val="00D406A2"/>
    <w:rsid w:val="00D4154C"/>
    <w:rsid w:val="00D43777"/>
    <w:rsid w:val="00D44281"/>
    <w:rsid w:val="00D44EE9"/>
    <w:rsid w:val="00D4519E"/>
    <w:rsid w:val="00D461BC"/>
    <w:rsid w:val="00D5240D"/>
    <w:rsid w:val="00D52DBC"/>
    <w:rsid w:val="00D53850"/>
    <w:rsid w:val="00D57705"/>
    <w:rsid w:val="00D60272"/>
    <w:rsid w:val="00D60918"/>
    <w:rsid w:val="00D61CAD"/>
    <w:rsid w:val="00D62C0C"/>
    <w:rsid w:val="00D63643"/>
    <w:rsid w:val="00D65B55"/>
    <w:rsid w:val="00D67784"/>
    <w:rsid w:val="00D67EF0"/>
    <w:rsid w:val="00D76E78"/>
    <w:rsid w:val="00D7755E"/>
    <w:rsid w:val="00D778D0"/>
    <w:rsid w:val="00D77D35"/>
    <w:rsid w:val="00D77F37"/>
    <w:rsid w:val="00D82FAF"/>
    <w:rsid w:val="00D833B8"/>
    <w:rsid w:val="00D8388A"/>
    <w:rsid w:val="00D9145B"/>
    <w:rsid w:val="00D9177F"/>
    <w:rsid w:val="00D923D2"/>
    <w:rsid w:val="00D9401F"/>
    <w:rsid w:val="00D95631"/>
    <w:rsid w:val="00D97669"/>
    <w:rsid w:val="00DA093B"/>
    <w:rsid w:val="00DA0B78"/>
    <w:rsid w:val="00DA181E"/>
    <w:rsid w:val="00DA6B59"/>
    <w:rsid w:val="00DB06DE"/>
    <w:rsid w:val="00DB17C7"/>
    <w:rsid w:val="00DB1D87"/>
    <w:rsid w:val="00DB4CC4"/>
    <w:rsid w:val="00DB55D9"/>
    <w:rsid w:val="00DB64A3"/>
    <w:rsid w:val="00DB74A2"/>
    <w:rsid w:val="00DC17B5"/>
    <w:rsid w:val="00DC2321"/>
    <w:rsid w:val="00DC4534"/>
    <w:rsid w:val="00DC7B28"/>
    <w:rsid w:val="00DD0394"/>
    <w:rsid w:val="00DD1AEC"/>
    <w:rsid w:val="00DD3BBF"/>
    <w:rsid w:val="00DD5506"/>
    <w:rsid w:val="00DD7DA0"/>
    <w:rsid w:val="00DD7F49"/>
    <w:rsid w:val="00DE0061"/>
    <w:rsid w:val="00DE1493"/>
    <w:rsid w:val="00DE5B4B"/>
    <w:rsid w:val="00DE7A48"/>
    <w:rsid w:val="00DF02B9"/>
    <w:rsid w:val="00DF223F"/>
    <w:rsid w:val="00DF37C5"/>
    <w:rsid w:val="00DF3A4F"/>
    <w:rsid w:val="00E007FE"/>
    <w:rsid w:val="00E020BA"/>
    <w:rsid w:val="00E037B6"/>
    <w:rsid w:val="00E0420D"/>
    <w:rsid w:val="00E12013"/>
    <w:rsid w:val="00E12E30"/>
    <w:rsid w:val="00E17483"/>
    <w:rsid w:val="00E21F87"/>
    <w:rsid w:val="00E22821"/>
    <w:rsid w:val="00E23400"/>
    <w:rsid w:val="00E23439"/>
    <w:rsid w:val="00E23DB0"/>
    <w:rsid w:val="00E23E53"/>
    <w:rsid w:val="00E24820"/>
    <w:rsid w:val="00E319DF"/>
    <w:rsid w:val="00E33A1A"/>
    <w:rsid w:val="00E340C6"/>
    <w:rsid w:val="00E35572"/>
    <w:rsid w:val="00E36640"/>
    <w:rsid w:val="00E410ED"/>
    <w:rsid w:val="00E425CB"/>
    <w:rsid w:val="00E45545"/>
    <w:rsid w:val="00E46EC3"/>
    <w:rsid w:val="00E473D0"/>
    <w:rsid w:val="00E512ED"/>
    <w:rsid w:val="00E54621"/>
    <w:rsid w:val="00E55676"/>
    <w:rsid w:val="00E61A0F"/>
    <w:rsid w:val="00E67F9C"/>
    <w:rsid w:val="00E70242"/>
    <w:rsid w:val="00E7046A"/>
    <w:rsid w:val="00E74AF9"/>
    <w:rsid w:val="00E74BD0"/>
    <w:rsid w:val="00E76DB9"/>
    <w:rsid w:val="00E835A4"/>
    <w:rsid w:val="00E85C8E"/>
    <w:rsid w:val="00E8747D"/>
    <w:rsid w:val="00E93747"/>
    <w:rsid w:val="00E9411C"/>
    <w:rsid w:val="00E95664"/>
    <w:rsid w:val="00E95E93"/>
    <w:rsid w:val="00E97989"/>
    <w:rsid w:val="00EB197D"/>
    <w:rsid w:val="00EB4136"/>
    <w:rsid w:val="00EC134D"/>
    <w:rsid w:val="00EC155C"/>
    <w:rsid w:val="00EC17F2"/>
    <w:rsid w:val="00EC682D"/>
    <w:rsid w:val="00ED612D"/>
    <w:rsid w:val="00ED7267"/>
    <w:rsid w:val="00EE5FAB"/>
    <w:rsid w:val="00EE6298"/>
    <w:rsid w:val="00EE7872"/>
    <w:rsid w:val="00EE7E06"/>
    <w:rsid w:val="00EF1190"/>
    <w:rsid w:val="00EF1740"/>
    <w:rsid w:val="00EF1BD6"/>
    <w:rsid w:val="00EF1C6B"/>
    <w:rsid w:val="00EF6D6B"/>
    <w:rsid w:val="00EF6FCE"/>
    <w:rsid w:val="00F01C26"/>
    <w:rsid w:val="00F026A1"/>
    <w:rsid w:val="00F02A59"/>
    <w:rsid w:val="00F02FA9"/>
    <w:rsid w:val="00F0501C"/>
    <w:rsid w:val="00F114C1"/>
    <w:rsid w:val="00F14F51"/>
    <w:rsid w:val="00F1670E"/>
    <w:rsid w:val="00F210A9"/>
    <w:rsid w:val="00F23080"/>
    <w:rsid w:val="00F23E6F"/>
    <w:rsid w:val="00F27AFF"/>
    <w:rsid w:val="00F340B0"/>
    <w:rsid w:val="00F355FD"/>
    <w:rsid w:val="00F36B63"/>
    <w:rsid w:val="00F40A44"/>
    <w:rsid w:val="00F41589"/>
    <w:rsid w:val="00F45296"/>
    <w:rsid w:val="00F461E8"/>
    <w:rsid w:val="00F47268"/>
    <w:rsid w:val="00F47BC6"/>
    <w:rsid w:val="00F47E42"/>
    <w:rsid w:val="00F50CFA"/>
    <w:rsid w:val="00F567BB"/>
    <w:rsid w:val="00F659F5"/>
    <w:rsid w:val="00F65C84"/>
    <w:rsid w:val="00F67579"/>
    <w:rsid w:val="00F719EB"/>
    <w:rsid w:val="00F727DB"/>
    <w:rsid w:val="00F762DE"/>
    <w:rsid w:val="00F80A63"/>
    <w:rsid w:val="00F83D5A"/>
    <w:rsid w:val="00F846D1"/>
    <w:rsid w:val="00F9084E"/>
    <w:rsid w:val="00F930B0"/>
    <w:rsid w:val="00F951C3"/>
    <w:rsid w:val="00F9605F"/>
    <w:rsid w:val="00F960C4"/>
    <w:rsid w:val="00F96BBA"/>
    <w:rsid w:val="00F97E05"/>
    <w:rsid w:val="00FA3B54"/>
    <w:rsid w:val="00FA3F96"/>
    <w:rsid w:val="00FA451D"/>
    <w:rsid w:val="00FB6DB7"/>
    <w:rsid w:val="00FC3989"/>
    <w:rsid w:val="00FC3D7A"/>
    <w:rsid w:val="00FC4359"/>
    <w:rsid w:val="00FC6F32"/>
    <w:rsid w:val="00FC6FD0"/>
    <w:rsid w:val="00FC70DB"/>
    <w:rsid w:val="00FD0848"/>
    <w:rsid w:val="00FD0EE2"/>
    <w:rsid w:val="00FD1BED"/>
    <w:rsid w:val="00FD75E3"/>
    <w:rsid w:val="00FD7B6B"/>
    <w:rsid w:val="00FE3A50"/>
    <w:rsid w:val="00FE5DE0"/>
    <w:rsid w:val="00FE6855"/>
    <w:rsid w:val="00FE711B"/>
    <w:rsid w:val="00FE7676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6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1DE2"/>
    <w:pPr>
      <w:numPr>
        <w:numId w:val="0"/>
      </w:numPr>
      <w:spacing w:after="0" w:line="240" w:lineRule="auto"/>
      <w:ind w:left="1068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0A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43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9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9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9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BA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A26D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F8089-87FC-4CC3-A460-6ABE1DC2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4600</TotalTime>
  <Pages>1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843</cp:revision>
  <cp:lastPrinted>2020-05-06T14:23:00Z</cp:lastPrinted>
  <dcterms:created xsi:type="dcterms:W3CDTF">2020-03-28T14:25:00Z</dcterms:created>
  <dcterms:modified xsi:type="dcterms:W3CDTF">2020-06-22T10:41:00Z</dcterms:modified>
</cp:coreProperties>
</file>