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4FBED758" w:rsidR="00631082" w:rsidRDefault="00C050CF" w:rsidP="009275E5">
      <w:pPr>
        <w:jc w:val="center"/>
        <w:rPr>
          <w:b/>
          <w:bCs/>
          <w:sz w:val="30"/>
          <w:szCs w:val="30"/>
          <w:u w:val="single"/>
        </w:rPr>
      </w:pPr>
      <w:r w:rsidRPr="001C286F">
        <w:rPr>
          <w:b/>
          <w:bCs/>
          <w:sz w:val="30"/>
          <w:szCs w:val="30"/>
          <w:u w:val="single"/>
        </w:rPr>
        <w:t>L</w:t>
      </w:r>
      <w:r w:rsidR="004B24BF">
        <w:rPr>
          <w:b/>
          <w:bCs/>
          <w:sz w:val="30"/>
          <w:szCs w:val="30"/>
          <w:u w:val="single"/>
        </w:rPr>
        <w:t>P35</w:t>
      </w:r>
      <w:r w:rsidR="00E23DB0">
        <w:rPr>
          <w:b/>
          <w:bCs/>
          <w:sz w:val="30"/>
          <w:szCs w:val="30"/>
          <w:u w:val="single"/>
        </w:rPr>
        <w:t>(19Docteur)</w:t>
      </w:r>
      <w:r w:rsidR="004B24BF">
        <w:rPr>
          <w:b/>
          <w:bCs/>
          <w:sz w:val="30"/>
          <w:szCs w:val="30"/>
          <w:u w:val="single"/>
        </w:rPr>
        <w:t>-Diffraction</w:t>
      </w:r>
      <w:r w:rsidR="00E23DB0">
        <w:rPr>
          <w:b/>
          <w:bCs/>
          <w:sz w:val="30"/>
          <w:szCs w:val="30"/>
          <w:u w:val="single"/>
        </w:rPr>
        <w:t xml:space="preserve"> de Fraunhofer</w:t>
      </w:r>
    </w:p>
    <w:p w14:paraId="36253171" w14:textId="48DB024A" w:rsidR="00C050CF" w:rsidRPr="00E23DB0" w:rsidRDefault="0091788A" w:rsidP="00E23DB0">
      <w:pPr>
        <w:rPr>
          <w:sz w:val="26"/>
          <w:szCs w:val="26"/>
        </w:rPr>
      </w:pPr>
      <w:r w:rsidRPr="0091788A">
        <w:rPr>
          <w:sz w:val="26"/>
          <w:szCs w:val="26"/>
        </w:rPr>
        <w:t>Pierre Ghesquiere</w:t>
      </w:r>
    </w:p>
    <w:p w14:paraId="7B89A698" w14:textId="6C0E6D90" w:rsidR="003E7F8D" w:rsidRDefault="003E7F8D" w:rsidP="003E7F8D">
      <w:pPr>
        <w:rPr>
          <w:b/>
          <w:bCs/>
          <w:sz w:val="26"/>
          <w:szCs w:val="26"/>
        </w:rPr>
      </w:pPr>
      <w:r>
        <w:rPr>
          <w:b/>
          <w:bCs/>
          <w:sz w:val="26"/>
          <w:szCs w:val="26"/>
        </w:rPr>
        <w:t>Référence</w:t>
      </w:r>
      <w:r w:rsidR="001F53DB">
        <w:rPr>
          <w:b/>
          <w:bCs/>
          <w:sz w:val="26"/>
          <w:szCs w:val="26"/>
        </w:rPr>
        <w:t>s</w:t>
      </w:r>
      <w:r>
        <w:rPr>
          <w:b/>
          <w:bCs/>
          <w:sz w:val="26"/>
          <w:szCs w:val="26"/>
        </w:rPr>
        <w:t xml:space="preserve"> : </w:t>
      </w:r>
    </w:p>
    <w:p w14:paraId="04041D03" w14:textId="48ADB924" w:rsidR="00A6270C" w:rsidRPr="001F53DB" w:rsidRDefault="003E7F8D" w:rsidP="003E7F8D">
      <w:pPr>
        <w:rPr>
          <w:rFonts w:ascii="NimbusRomNo9L-Regu" w:hAnsi="NimbusRomNo9L-Regu" w:cs="NimbusRomNo9L-Regu"/>
          <w:sz w:val="24"/>
          <w:szCs w:val="24"/>
        </w:rPr>
      </w:pPr>
      <w:r w:rsidRPr="001F53DB">
        <w:rPr>
          <w:sz w:val="24"/>
          <w:szCs w:val="24"/>
        </w:rPr>
        <w:t>-</w:t>
      </w:r>
      <w:r w:rsidR="001F53DB" w:rsidRPr="001F53DB">
        <w:rPr>
          <w:sz w:val="24"/>
          <w:szCs w:val="24"/>
        </w:rPr>
        <w:t xml:space="preserve"> </w:t>
      </w:r>
      <w:r w:rsidRPr="001F53DB">
        <w:rPr>
          <w:sz w:val="24"/>
          <w:szCs w:val="24"/>
        </w:rPr>
        <w:t>Poly TD2</w:t>
      </w:r>
      <w:r w:rsidRPr="001F53DB">
        <w:rPr>
          <w:rFonts w:ascii="NimbusRomNo9L-Regu" w:hAnsi="NimbusRomNo9L-Regu" w:cs="NimbusRomNo9L-Regu"/>
          <w:sz w:val="24"/>
          <w:szCs w:val="24"/>
        </w:rPr>
        <w:t xml:space="preserve"> Clément Sayrin</w:t>
      </w:r>
      <w:r w:rsidRPr="001F53DB">
        <w:rPr>
          <w:rFonts w:ascii="NimbusRomNo9L-Regu" w:hAnsi="NimbusRomNo9L-Regu" w:cs="NimbusRomNo9L-Regu"/>
          <w:sz w:val="24"/>
          <w:szCs w:val="24"/>
        </w:rPr>
        <w:br/>
        <w:t>-</w:t>
      </w:r>
      <w:r w:rsidR="001F53DB" w:rsidRPr="001F53DB">
        <w:rPr>
          <w:rFonts w:ascii="NimbusRomNo9L-Regu" w:hAnsi="NimbusRomNo9L-Regu" w:cs="NimbusRomNo9L-Regu"/>
          <w:sz w:val="24"/>
          <w:szCs w:val="24"/>
        </w:rPr>
        <w:t xml:space="preserve"> </w:t>
      </w:r>
      <w:r w:rsidRPr="001F53DB">
        <w:rPr>
          <w:rFonts w:ascii="NimbusRomNo9L-Regu" w:hAnsi="NimbusRomNo9L-Regu" w:cs="NimbusRomNo9L-Regu"/>
          <w:sz w:val="24"/>
          <w:szCs w:val="24"/>
        </w:rPr>
        <w:t>Perez d’optique</w:t>
      </w:r>
      <w:r w:rsidRPr="001F53DB">
        <w:rPr>
          <w:rFonts w:ascii="NimbusRomNo9L-Regu" w:hAnsi="NimbusRomNo9L-Regu" w:cs="NimbusRomNo9L-Regu"/>
          <w:sz w:val="24"/>
          <w:szCs w:val="24"/>
        </w:rPr>
        <w:br/>
        <w:t>-</w:t>
      </w:r>
      <w:r w:rsidR="001F53DB" w:rsidRPr="001F53DB">
        <w:rPr>
          <w:rFonts w:ascii="NimbusRomNo9L-Regu" w:hAnsi="NimbusRomNo9L-Regu" w:cs="NimbusRomNo9L-Regu"/>
          <w:sz w:val="24"/>
          <w:szCs w:val="24"/>
        </w:rPr>
        <w:t xml:space="preserve"> </w:t>
      </w:r>
      <w:r w:rsidRPr="001F53DB">
        <w:rPr>
          <w:rFonts w:ascii="NimbusRomNo9L-Regu" w:hAnsi="NimbusRomNo9L-Regu" w:cs="NimbusRomNo9L-Regu"/>
          <w:sz w:val="24"/>
          <w:szCs w:val="24"/>
        </w:rPr>
        <w:t>Cap Prépa PC-PC*, Renvoizé. De beaux schéma</w:t>
      </w:r>
      <w:r w:rsidR="001F53DB" w:rsidRPr="001F53DB">
        <w:rPr>
          <w:rFonts w:ascii="NimbusRomNo9L-Regu" w:hAnsi="NimbusRomNo9L-Regu" w:cs="NimbusRomNo9L-Regu"/>
          <w:sz w:val="24"/>
          <w:szCs w:val="24"/>
        </w:rPr>
        <w:br/>
        <w:t xml:space="preserve">- Précis Bréal d’optique MP, PC Brenders </w:t>
      </w:r>
      <w:r w:rsidRPr="001F53DB">
        <w:rPr>
          <w:rFonts w:ascii="NimbusRomNo9L-Regu" w:hAnsi="NimbusRomNo9L-Regu" w:cs="NimbusRomNo9L-Regu"/>
          <w:sz w:val="24"/>
          <w:szCs w:val="24"/>
        </w:rPr>
        <w:t xml:space="preserve"> </w:t>
      </w:r>
      <w:r w:rsidR="00553957">
        <w:rPr>
          <w:rFonts w:ascii="NimbusRomNo9L-Regu" w:hAnsi="NimbusRomNo9L-Regu" w:cs="NimbusRomNo9L-Regu"/>
          <w:sz w:val="24"/>
          <w:szCs w:val="24"/>
        </w:rPr>
        <w:br/>
        <w:t>-Sextant p 128 expérience d’Abbe</w:t>
      </w:r>
      <w:r w:rsidR="004B5F69">
        <w:rPr>
          <w:rFonts w:ascii="NimbusRomNo9L-Regu" w:hAnsi="NimbusRomNo9L-Regu" w:cs="NimbusRomNo9L-Regu"/>
          <w:sz w:val="24"/>
          <w:szCs w:val="24"/>
        </w:rPr>
        <w:br/>
      </w:r>
      <w:r w:rsidR="00A6270C">
        <w:rPr>
          <w:rFonts w:ascii="NimbusRomNo9L-Regu" w:hAnsi="NimbusRomNo9L-Regu" w:cs="NimbusRomNo9L-Regu"/>
          <w:sz w:val="24"/>
          <w:szCs w:val="24"/>
        </w:rPr>
        <w:t>-Cours Mathevet (chapitre diffraction et optique de Fourier pour le filtrage)</w:t>
      </w:r>
    </w:p>
    <w:p w14:paraId="272F2283" w14:textId="071B0964" w:rsidR="003E7F8D" w:rsidRPr="003E7F8D" w:rsidRDefault="003E7F8D" w:rsidP="003E7F8D">
      <w:pPr>
        <w:ind w:left="360"/>
        <w:jc w:val="both"/>
        <w:rPr>
          <w:b/>
          <w:bCs/>
          <w:sz w:val="26"/>
          <w:szCs w:val="26"/>
        </w:rPr>
      </w:pPr>
    </w:p>
    <w:p w14:paraId="67A6C248" w14:textId="2220CBFF" w:rsidR="00C050CF" w:rsidRPr="00DE7A48" w:rsidRDefault="00C050CF" w:rsidP="005528CB">
      <w:pPr>
        <w:jc w:val="both"/>
        <w:rPr>
          <w:b/>
          <w:bCs/>
          <w:sz w:val="26"/>
          <w:szCs w:val="26"/>
        </w:rPr>
      </w:pPr>
      <w:r w:rsidRPr="00DE7A48">
        <w:rPr>
          <w:b/>
          <w:bCs/>
          <w:sz w:val="26"/>
          <w:szCs w:val="26"/>
        </w:rPr>
        <w:t>Intro</w:t>
      </w:r>
      <w:r w:rsidR="00215C57" w:rsidRPr="00DE7A48">
        <w:rPr>
          <w:b/>
          <w:bCs/>
          <w:sz w:val="26"/>
          <w:szCs w:val="26"/>
        </w:rPr>
        <w:t>duction</w:t>
      </w:r>
      <w:r w:rsidRPr="00DE7A48">
        <w:rPr>
          <w:b/>
          <w:bCs/>
          <w:sz w:val="26"/>
          <w:szCs w:val="26"/>
        </w:rPr>
        <w:t xml:space="preserve"> : </w:t>
      </w:r>
    </w:p>
    <w:p w14:paraId="2129947E" w14:textId="50655D97" w:rsidR="006D7C08" w:rsidRDefault="00D10B8B" w:rsidP="005528CB">
      <w:pPr>
        <w:jc w:val="both"/>
        <w:rPr>
          <w:sz w:val="26"/>
          <w:szCs w:val="26"/>
        </w:rPr>
      </w:pPr>
      <w:r>
        <w:rPr>
          <w:b/>
          <w:bCs/>
          <w:sz w:val="26"/>
          <w:szCs w:val="26"/>
        </w:rPr>
        <w:t>-</w:t>
      </w:r>
      <w:r w:rsidR="006D7C08">
        <w:rPr>
          <w:b/>
          <w:bCs/>
          <w:sz w:val="26"/>
          <w:szCs w:val="26"/>
        </w:rPr>
        <w:t xml:space="preserve">[Perez] </w:t>
      </w:r>
      <w:r w:rsidR="006D7C08">
        <w:rPr>
          <w:sz w:val="26"/>
          <w:szCs w:val="26"/>
        </w:rPr>
        <w:t xml:space="preserve">La diffraction a été observée et étudiée pour la première fois par Grimaldi (~1660). On pourrait la définir comme l’ensemble des déviations des rayons lumineux qui ne s’explique ni par la réfraction, ni par la réflexion (ie qui ne s’explique pas par l’optique géométrique). </w:t>
      </w:r>
    </w:p>
    <w:p w14:paraId="5BC448CA" w14:textId="34E5E665" w:rsidR="006D7C08" w:rsidRDefault="006D7C08" w:rsidP="005528CB">
      <w:pPr>
        <w:jc w:val="both"/>
        <w:rPr>
          <w:sz w:val="26"/>
          <w:szCs w:val="26"/>
        </w:rPr>
      </w:pPr>
      <w:r>
        <w:rPr>
          <w:sz w:val="26"/>
          <w:szCs w:val="26"/>
        </w:rPr>
        <w:t xml:space="preserve">On observe </w:t>
      </w:r>
      <w:r w:rsidR="002D1CCB">
        <w:rPr>
          <w:sz w:val="26"/>
          <w:szCs w:val="26"/>
        </w:rPr>
        <w:t>c</w:t>
      </w:r>
      <w:r>
        <w:rPr>
          <w:sz w:val="26"/>
          <w:szCs w:val="26"/>
        </w:rPr>
        <w:t>e phénomène</w:t>
      </w:r>
      <w:r w:rsidR="00447144">
        <w:rPr>
          <w:sz w:val="26"/>
          <w:szCs w:val="26"/>
        </w:rPr>
        <w:t xml:space="preserve"> facilement de nos jours</w:t>
      </w:r>
      <w:bookmarkStart w:id="0" w:name="_GoBack"/>
      <w:bookmarkEnd w:id="0"/>
      <w:r>
        <w:rPr>
          <w:sz w:val="26"/>
          <w:szCs w:val="26"/>
        </w:rPr>
        <w:t xml:space="preserve"> par exemple en éclairant une fente suffisamment fine avec un faisceau parallèle issu d’un laser</w:t>
      </w:r>
      <w:r w:rsidR="00231625">
        <w:rPr>
          <w:sz w:val="26"/>
          <w:szCs w:val="26"/>
        </w:rPr>
        <w:t xml:space="preserve">. Contrairement aux prévisions de l’optique géométrique, les variations de l’éclairement au voisinage de l’ombre du diaphragme ne sont pas brutales mais présentent des oscillations. </w:t>
      </w:r>
    </w:p>
    <w:p w14:paraId="5460CE79" w14:textId="610C0DBD" w:rsidR="00E23DB0" w:rsidRDefault="00E23DB0" w:rsidP="005528CB">
      <w:pPr>
        <w:jc w:val="both"/>
        <w:rPr>
          <w:sz w:val="26"/>
          <w:szCs w:val="26"/>
        </w:rPr>
      </w:pPr>
      <w:r>
        <w:rPr>
          <w:sz w:val="26"/>
          <w:szCs w:val="26"/>
        </w:rPr>
        <w:t>Dans cette leçon, nous nous proposons d’étudier plus spécifiquement la diffraction produite loin des objets diffractant (Diffraction à l’infini ou de Fraunhofer). Une fois que nous seront en mesure de calculer l’éclairement</w:t>
      </w:r>
      <w:r w:rsidR="00023E3B">
        <w:rPr>
          <w:sz w:val="26"/>
          <w:szCs w:val="26"/>
        </w:rPr>
        <w:t xml:space="preserve"> à l’infini, nous pourrons comprendre que la figure de diffraction est révélatrice de la géométrie de l’objet diffractant</w:t>
      </w:r>
      <w:r w:rsidR="005D50E2">
        <w:rPr>
          <w:sz w:val="26"/>
          <w:szCs w:val="26"/>
        </w:rPr>
        <w:t xml:space="preserve"> et quelle peut même servir à révéler certaines propriétés de ses propriétés.</w:t>
      </w:r>
    </w:p>
    <w:p w14:paraId="34455654" w14:textId="63978F8C" w:rsidR="00EC155C" w:rsidRDefault="00EC155C" w:rsidP="00841858">
      <w:pPr>
        <w:jc w:val="both"/>
        <w:rPr>
          <w:sz w:val="26"/>
          <w:szCs w:val="26"/>
        </w:rPr>
      </w:pPr>
      <w:r w:rsidRPr="005B4DC6">
        <w:rPr>
          <w:b/>
          <w:bCs/>
          <w:sz w:val="26"/>
          <w:szCs w:val="26"/>
        </w:rPr>
        <w:t>Prérequis</w:t>
      </w:r>
      <w:r>
        <w:rPr>
          <w:sz w:val="26"/>
          <w:szCs w:val="26"/>
        </w:rPr>
        <w:t xml:space="preserve"> : </w:t>
      </w:r>
    </w:p>
    <w:p w14:paraId="486AC9F2" w14:textId="4AF5F4BB" w:rsidR="00A6270C" w:rsidRDefault="005D50E2" w:rsidP="00841858">
      <w:pPr>
        <w:jc w:val="both"/>
        <w:rPr>
          <w:sz w:val="26"/>
          <w:szCs w:val="26"/>
        </w:rPr>
      </w:pPr>
      <w:r>
        <w:rPr>
          <w:sz w:val="26"/>
          <w:szCs w:val="26"/>
        </w:rPr>
        <w:t>Optique géométrique, interférences.</w:t>
      </w:r>
    </w:p>
    <w:p w14:paraId="58BA8C03" w14:textId="77777777" w:rsidR="00A6270C" w:rsidRDefault="00A6270C">
      <w:pPr>
        <w:rPr>
          <w:sz w:val="26"/>
          <w:szCs w:val="26"/>
        </w:rPr>
      </w:pPr>
      <w:r>
        <w:rPr>
          <w:sz w:val="26"/>
          <w:szCs w:val="26"/>
        </w:rPr>
        <w:br w:type="page"/>
      </w:r>
    </w:p>
    <w:p w14:paraId="584E5C38" w14:textId="53CE1CAA" w:rsidR="00D273E5" w:rsidRDefault="005B4DC6" w:rsidP="007A2A1D">
      <w:pPr>
        <w:pStyle w:val="Heading1"/>
      </w:pPr>
      <w:r>
        <w:lastRenderedPageBreak/>
        <w:t>Théorie de la diffraction</w:t>
      </w:r>
      <w:r w:rsidR="00810C2E">
        <w:t xml:space="preserve"> à partir du </w:t>
      </w:r>
      <w:r>
        <w:t>Principe de Huygens-Fresne</w:t>
      </w:r>
      <w:r w:rsidR="00810C2E">
        <w:t>l</w:t>
      </w:r>
      <w:r w:rsidR="001245F7">
        <w:t xml:space="preserve"> [</w:t>
      </w:r>
      <w:r w:rsidR="00A6270C">
        <w:t>Référence</w:t>
      </w:r>
      <w:r w:rsidR="001245F7">
        <w:t> : Cours Mathevet]</w:t>
      </w:r>
    </w:p>
    <w:p w14:paraId="252E7569" w14:textId="234E1DAE" w:rsidR="00BA7380" w:rsidRPr="00BA7380" w:rsidRDefault="00BA7380" w:rsidP="00BA7380">
      <w:pPr>
        <w:rPr>
          <w:i/>
          <w:iCs/>
        </w:rPr>
      </w:pPr>
      <w:r>
        <w:rPr>
          <w:i/>
          <w:iCs/>
        </w:rPr>
        <w:t>Les calculs sont écrits dans le fichier (LP35-Calculs et Figures)</w:t>
      </w:r>
      <w:r w:rsidR="00F719EB">
        <w:rPr>
          <w:i/>
          <w:iCs/>
        </w:rPr>
        <w:t xml:space="preserve"> et référencés dans la suite du texte.</w:t>
      </w:r>
    </w:p>
    <w:p w14:paraId="5D7A4125" w14:textId="34A2E330" w:rsidR="00866EE9" w:rsidRPr="00866EE9" w:rsidRDefault="00866EE9" w:rsidP="00866EE9">
      <w:pPr>
        <w:pStyle w:val="Heading2"/>
      </w:pPr>
      <w:r>
        <w:t xml:space="preserve">Principe de Huygens-Fresnel : </w:t>
      </w:r>
    </w:p>
    <w:p w14:paraId="53DBAAF1" w14:textId="378EA57D" w:rsidR="00632184" w:rsidRPr="00810C2E" w:rsidRDefault="00810C2E" w:rsidP="00810C2E">
      <w:pPr>
        <w:pStyle w:val="ListParagraph"/>
        <w:numPr>
          <w:ilvl w:val="0"/>
          <w:numId w:val="20"/>
        </w:numPr>
        <w:autoSpaceDE w:val="0"/>
        <w:autoSpaceDN w:val="0"/>
        <w:adjustRightInd w:val="0"/>
        <w:spacing w:after="0" w:line="240" w:lineRule="auto"/>
        <w:rPr>
          <w:rFonts w:ascii="SFRM1095" w:hAnsi="SFRM1095" w:cs="SFRM1095"/>
        </w:rPr>
      </w:pPr>
      <w:r w:rsidRPr="00810C2E">
        <w:rPr>
          <w:rFonts w:ascii="SFRM1095" w:hAnsi="SFRM1095" w:cs="SFRM1095"/>
        </w:rPr>
        <w:t>Rigoureusement, la diffraction peut s’expliquer en</w:t>
      </w:r>
      <w:r w:rsidR="00632184" w:rsidRPr="00810C2E">
        <w:rPr>
          <w:rFonts w:ascii="SFRM1095" w:hAnsi="SFRM1095" w:cs="SFRM1095"/>
        </w:rPr>
        <w:t xml:space="preserve"> en résolvant les équations de Maxwell (Théorie de Kirchhoff</w:t>
      </w:r>
      <w:r w:rsidR="006D7C08" w:rsidRPr="00810C2E">
        <w:rPr>
          <w:rFonts w:ascii="SFRM1095" w:hAnsi="SFRM1095" w:cs="SFRM1095"/>
        </w:rPr>
        <w:t xml:space="preserve"> </w:t>
      </w:r>
      <w:r w:rsidR="00632184" w:rsidRPr="00810C2E">
        <w:rPr>
          <w:rFonts w:ascii="SFRM1095" w:hAnsi="SFRM1095" w:cs="SFRM1095"/>
        </w:rPr>
        <w:t>(1824-1887, Allemand)). Méthode lourde</w:t>
      </w:r>
      <w:r w:rsidRPr="00810C2E">
        <w:rPr>
          <w:rFonts w:ascii="SFRM1095" w:hAnsi="SFRM1095" w:cs="SFRM1095"/>
        </w:rPr>
        <w:t xml:space="preserve">. </w:t>
      </w:r>
      <w:r w:rsidR="00632184" w:rsidRPr="00810C2E">
        <w:rPr>
          <w:rFonts w:ascii="SFRM1095" w:hAnsi="SFRM1095" w:cs="SFRM1095"/>
        </w:rPr>
        <w:t xml:space="preserve"> </w:t>
      </w:r>
    </w:p>
    <w:p w14:paraId="44E183CF" w14:textId="431E0D82" w:rsidR="00090E3F" w:rsidRPr="00810C2E" w:rsidRDefault="007D41AC" w:rsidP="00810C2E">
      <w:pPr>
        <w:pStyle w:val="ListParagraph"/>
        <w:numPr>
          <w:ilvl w:val="0"/>
          <w:numId w:val="20"/>
        </w:numPr>
        <w:autoSpaceDE w:val="0"/>
        <w:autoSpaceDN w:val="0"/>
        <w:adjustRightInd w:val="0"/>
        <w:spacing w:after="0" w:line="240" w:lineRule="auto"/>
        <w:rPr>
          <w:rFonts w:ascii="SFRM1095" w:hAnsi="SFRM1095" w:cs="SFRM1095"/>
        </w:rPr>
      </w:pPr>
      <w:r w:rsidRPr="007D41AC">
        <w:rPr>
          <w:rFonts w:ascii="SFRM1095" w:hAnsi="SFRM1095" w:cs="SFRM1095"/>
          <w:b/>
          <w:bCs/>
          <w:noProof/>
        </w:rPr>
        <mc:AlternateContent>
          <mc:Choice Requires="wps">
            <w:drawing>
              <wp:anchor distT="45720" distB="45720" distL="114300" distR="114300" simplePos="0" relativeHeight="251659264" behindDoc="0" locked="0" layoutInCell="1" allowOverlap="1" wp14:anchorId="39586F78" wp14:editId="41210790">
                <wp:simplePos x="0" y="0"/>
                <wp:positionH relativeFrom="column">
                  <wp:posOffset>197485</wp:posOffset>
                </wp:positionH>
                <wp:positionV relativeFrom="paragraph">
                  <wp:posOffset>455295</wp:posOffset>
                </wp:positionV>
                <wp:extent cx="5387340" cy="1341120"/>
                <wp:effectExtent l="0" t="0" r="2286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341120"/>
                        </a:xfrm>
                        <a:prstGeom prst="rect">
                          <a:avLst/>
                        </a:prstGeom>
                        <a:solidFill>
                          <a:srgbClr val="FFFFFF"/>
                        </a:solidFill>
                        <a:ln w="9525">
                          <a:solidFill>
                            <a:srgbClr val="000000"/>
                          </a:solidFill>
                          <a:miter lim="800000"/>
                          <a:headEnd/>
                          <a:tailEnd/>
                        </a:ln>
                      </wps:spPr>
                      <wps:txbx>
                        <w:txbxContent>
                          <w:p w14:paraId="38A79CAC" w14:textId="25AA1D7E" w:rsidR="007D41AC" w:rsidRDefault="007D41AC" w:rsidP="007D41AC">
                            <w:pPr>
                              <w:autoSpaceDE w:val="0"/>
                              <w:autoSpaceDN w:val="0"/>
                              <w:adjustRightInd w:val="0"/>
                              <w:spacing w:after="0" w:line="240" w:lineRule="auto"/>
                              <w:rPr>
                                <w:rFonts w:ascii="SFRM1095" w:hAnsi="SFRM1095" w:cs="SFRM1095"/>
                                <w:b/>
                                <w:bCs/>
                              </w:rPr>
                            </w:pPr>
                            <w:r>
                              <w:rPr>
                                <w:rFonts w:ascii="SFRM1095" w:hAnsi="SFRM1095" w:cs="SFRM1095"/>
                                <w:b/>
                                <w:bCs/>
                              </w:rPr>
                              <w:t>Principe de Huygens-Fresnel [Précis Bréal Optique</w:t>
                            </w:r>
                            <w:r w:rsidR="0094228D">
                              <w:rPr>
                                <w:rFonts w:ascii="SFRM1095" w:hAnsi="SFRM1095" w:cs="SFRM1095"/>
                                <w:b/>
                                <w:bCs/>
                              </w:rPr>
                              <w:t xml:space="preserve"> p235-236</w:t>
                            </w:r>
                            <w:r>
                              <w:rPr>
                                <w:rFonts w:ascii="SFRM1095" w:hAnsi="SFRM1095" w:cs="SFRM1095"/>
                                <w:b/>
                                <w:bCs/>
                              </w:rPr>
                              <w:t>]</w:t>
                            </w:r>
                            <w:r w:rsidR="00E23DB0">
                              <w:rPr>
                                <w:rFonts w:ascii="SFRM1095" w:hAnsi="SFRM1095" w:cs="SFRM1095"/>
                                <w:b/>
                                <w:bCs/>
                              </w:rPr>
                              <w:t xml:space="preserve"> </w:t>
                            </w:r>
                            <w:r>
                              <w:rPr>
                                <w:rFonts w:ascii="SFRM1095" w:hAnsi="SFRM1095" w:cs="SFRM1095"/>
                                <w:b/>
                                <w:bCs/>
                              </w:rPr>
                              <w:t xml:space="preserve">: </w:t>
                            </w:r>
                          </w:p>
                          <w:p w14:paraId="1132486E" w14:textId="5F2496A6"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Chaque point P d’une surface (S) atteinte par la lumière de la source primaire peut être considéré comme une source lumineuse secondaire, ponctuelle et fictive, émettant une onde sphérique, d’amplitude en P proportionnelle :</w:t>
                            </w:r>
                          </w:p>
                          <w:p w14:paraId="5111648C" w14:textId="77777777"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-à celle de l’onde incidente qui atteint ce point</w:t>
                            </w:r>
                          </w:p>
                          <w:p w14:paraId="234B3EBB" w14:textId="77777777"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-à l’élément de surface dS entourant le point P</w:t>
                            </w:r>
                          </w:p>
                          <w:p w14:paraId="18B246AE" w14:textId="600C9E5F"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Les sources secondaires sont cohérentes.</w:t>
                            </w:r>
                          </w:p>
                          <w:p w14:paraId="6865044F" w14:textId="02A7E453" w:rsidR="007D41AC" w:rsidRPr="007D41AC" w:rsidRDefault="007D41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86F78" id="_x0000_t202" coordsize="21600,21600" o:spt="202" path="m,l,21600r21600,l21600,xe">
                <v:stroke joinstyle="miter"/>
                <v:path gradientshapeok="t" o:connecttype="rect"/>
              </v:shapetype>
              <v:shape id="Text Box 2" o:spid="_x0000_s1026" type="#_x0000_t202" style="position:absolute;left:0;text-align:left;margin-left:15.55pt;margin-top:35.85pt;width:424.2pt;height:10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">
                <v:textbox>
                  <w:txbxContent>
                    <w:p w14:paraId="38A79CAC" w14:textId="25AA1D7E" w:rsidR="007D41AC" w:rsidRDefault="007D41AC" w:rsidP="007D41AC">
                      <w:pPr>
                        <w:autoSpaceDE w:val="0"/>
                        <w:autoSpaceDN w:val="0"/>
                        <w:adjustRightInd w:val="0"/>
                        <w:spacing w:after="0" w:line="240" w:lineRule="auto"/>
                        <w:rPr>
                          <w:rFonts w:ascii="SFRM1095" w:hAnsi="SFRM1095" w:cs="SFRM1095"/>
                          <w:b/>
                          <w:bCs/>
                        </w:rPr>
                      </w:pPr>
                      <w:r>
                        <w:rPr>
                          <w:rFonts w:ascii="SFRM1095" w:hAnsi="SFRM1095" w:cs="SFRM1095"/>
                          <w:b/>
                          <w:bCs/>
                        </w:rPr>
                        <w:t>Principe de Huygens-Fresnel [Précis Bréal Optique</w:t>
                      </w:r>
                      <w:r w:rsidR="0094228D">
                        <w:rPr>
                          <w:rFonts w:ascii="SFRM1095" w:hAnsi="SFRM1095" w:cs="SFRM1095"/>
                          <w:b/>
                          <w:bCs/>
                        </w:rPr>
                        <w:t xml:space="preserve"> p235-236</w:t>
                      </w:r>
                      <w:r>
                        <w:rPr>
                          <w:rFonts w:ascii="SFRM1095" w:hAnsi="SFRM1095" w:cs="SFRM1095"/>
                          <w:b/>
                          <w:bCs/>
                        </w:rPr>
                        <w:t>]</w:t>
                      </w:r>
                      <w:r w:rsidR="00E23DB0">
                        <w:rPr>
                          <w:rFonts w:ascii="SFRM1095" w:hAnsi="SFRM1095" w:cs="SFRM1095"/>
                          <w:b/>
                          <w:bCs/>
                        </w:rPr>
                        <w:t xml:space="preserve"> </w:t>
                      </w:r>
                      <w:r>
                        <w:rPr>
                          <w:rFonts w:ascii="SFRM1095" w:hAnsi="SFRM1095" w:cs="SFRM1095"/>
                          <w:b/>
                          <w:bCs/>
                        </w:rPr>
                        <w:t xml:space="preserve">: </w:t>
                      </w:r>
                    </w:p>
                    <w:p w14:paraId="1132486E" w14:textId="5F2496A6"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Chaque point P d’une surface (S) atteinte par la lumière de la source primaire peut être considéré comme une source lumineuse secondaire, ponctuelle et fictive, émettant une onde sphérique, d’amplitude en P proportionnelle :</w:t>
                      </w:r>
                    </w:p>
                    <w:p w14:paraId="5111648C" w14:textId="77777777"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-à celle de l’onde incidente qui atteint ce point</w:t>
                      </w:r>
                    </w:p>
                    <w:p w14:paraId="234B3EBB" w14:textId="77777777"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-à l’élément de surface dS entourant le point P</w:t>
                      </w:r>
                    </w:p>
                    <w:p w14:paraId="18B246AE" w14:textId="600C9E5F" w:rsidR="007D41AC" w:rsidRDefault="007D41AC" w:rsidP="007D41AC">
                      <w:pPr>
                        <w:autoSpaceDE w:val="0"/>
                        <w:autoSpaceDN w:val="0"/>
                        <w:adjustRightInd w:val="0"/>
                        <w:spacing w:after="0" w:line="240" w:lineRule="auto"/>
                        <w:rPr>
                          <w:rFonts w:ascii="SFRM1095" w:hAnsi="SFRM1095" w:cs="SFRM1095"/>
                        </w:rPr>
                      </w:pPr>
                      <w:r>
                        <w:rPr>
                          <w:rFonts w:ascii="SFRM1095" w:hAnsi="SFRM1095" w:cs="SFRM1095"/>
                        </w:rPr>
                        <w:t>Les sources secondaires sont cohérentes.</w:t>
                      </w:r>
                    </w:p>
                    <w:p w14:paraId="6865044F" w14:textId="02A7E453" w:rsidR="007D41AC" w:rsidRPr="007D41AC" w:rsidRDefault="007D41AC"/>
                  </w:txbxContent>
                </v:textbox>
                <w10:wrap type="topAndBottom"/>
              </v:shape>
            </w:pict>
          </mc:Fallback>
        </mc:AlternateContent>
      </w:r>
      <w:r w:rsidR="00090E3F" w:rsidRPr="00810C2E">
        <w:rPr>
          <w:rFonts w:ascii="SFRM1095" w:hAnsi="SFRM1095" w:cs="SFRM1095"/>
        </w:rPr>
        <w:t>[Perez p262] L</w:t>
      </w:r>
      <w:r w:rsidR="00645F88" w:rsidRPr="00810C2E">
        <w:rPr>
          <w:rFonts w:ascii="SFRM1095" w:hAnsi="SFRM1095" w:cs="SFRM1095"/>
        </w:rPr>
        <w:t xml:space="preserve">e phénomène de diffraction peut s’expliquer en partant d’un principe postulé par </w:t>
      </w:r>
      <w:r w:rsidR="00810C2E">
        <w:rPr>
          <w:rFonts w:ascii="SFRM1095" w:hAnsi="SFRM1095" w:cs="SFRM1095"/>
        </w:rPr>
        <w:t xml:space="preserve">Fresnel (1818) en se basant sur les travaux de Huygens </w:t>
      </w:r>
      <w:r w:rsidR="00645F88" w:rsidRPr="00810C2E">
        <w:rPr>
          <w:rFonts w:ascii="SFRM1095" w:hAnsi="SFRM1095" w:cs="SFRM1095"/>
        </w:rPr>
        <w:t>(1678).</w:t>
      </w:r>
    </w:p>
    <w:p w14:paraId="50830974" w14:textId="042755F4" w:rsidR="00A21AC6" w:rsidRPr="00A21AC6" w:rsidRDefault="00A21AC6" w:rsidP="00CC5ACA">
      <w:pPr>
        <w:pStyle w:val="ListParagraph"/>
        <w:numPr>
          <w:ilvl w:val="0"/>
          <w:numId w:val="20"/>
        </w:numPr>
        <w:autoSpaceDE w:val="0"/>
        <w:autoSpaceDN w:val="0"/>
        <w:adjustRightInd w:val="0"/>
        <w:spacing w:after="0" w:line="240" w:lineRule="auto"/>
        <w:rPr>
          <w:rFonts w:ascii="SFRM1095" w:hAnsi="SFRM1095" w:cs="SFRM1095"/>
        </w:rPr>
      </w:pPr>
      <w:r>
        <w:rPr>
          <w:rFonts w:ascii="SFRM1095" w:hAnsi="SFRM1095" w:cs="SFRM1095"/>
        </w:rPr>
        <w:t>Considérons, une pupille diffractante, situé en z=0. (CF. slide). La source est</w:t>
      </w:r>
      <w:r w:rsidR="00217980">
        <w:rPr>
          <w:rFonts w:ascii="SFRM1095" w:hAnsi="SFRM1095" w:cs="SFRM1095"/>
        </w:rPr>
        <w:t xml:space="preserve"> monochromatique et est</w:t>
      </w:r>
      <w:r>
        <w:rPr>
          <w:rFonts w:ascii="SFRM1095" w:hAnsi="SFRM1095" w:cs="SFRM1095"/>
        </w:rPr>
        <w:t xml:space="preserve"> situé</w:t>
      </w:r>
      <w:r w:rsidR="00217980">
        <w:rPr>
          <w:rFonts w:ascii="SFRM1095" w:hAnsi="SFRM1095" w:cs="SFRM1095"/>
        </w:rPr>
        <w:t>e</w:t>
      </w:r>
      <w:r>
        <w:rPr>
          <w:rFonts w:ascii="SFRM1095" w:hAnsi="SFRM1095" w:cs="SFRM1095"/>
        </w:rPr>
        <w:t xml:space="preserve"> à l’infini sur l’axe optique</w:t>
      </w:r>
      <w:r w:rsidR="00217980">
        <w:rPr>
          <w:rFonts w:ascii="SFRM1095" w:hAnsi="SFRM1095" w:cs="SFRM1095"/>
        </w:rPr>
        <w:t xml:space="preserve"> (pour simplifier les calculs)</w:t>
      </w:r>
      <w:r>
        <w:rPr>
          <w:rFonts w:ascii="SFRM1095" w:hAnsi="SFRM1095" w:cs="SFRM1095"/>
        </w:rPr>
        <w:t xml:space="preserve">.  </w:t>
      </w:r>
    </w:p>
    <w:p w14:paraId="4C737FD0" w14:textId="0B3A374D" w:rsidR="006D7C08" w:rsidRPr="00866EE9" w:rsidRDefault="00CC5ACA" w:rsidP="00DE1493">
      <w:pPr>
        <w:pStyle w:val="ListParagraph"/>
        <w:autoSpaceDE w:val="0"/>
        <w:autoSpaceDN w:val="0"/>
        <w:adjustRightInd w:val="0"/>
        <w:spacing w:after="0" w:line="240" w:lineRule="auto"/>
        <w:rPr>
          <w:rFonts w:ascii="SFRM1095" w:hAnsi="SFRM1095" w:cs="SFRM1095"/>
        </w:rPr>
      </w:pPr>
      <w:r>
        <w:rPr>
          <w:rFonts w:ascii="SFRM1095" w:hAnsi="SFRM1095" w:cs="SFRM1095"/>
          <w:i/>
          <w:iCs/>
        </w:rPr>
        <w:t>A partir d’ici, les calculs sont faits sur transparents (cf</w:t>
      </w:r>
      <w:r w:rsidR="00DE1493">
        <w:rPr>
          <w:rFonts w:ascii="SFRM1095" w:hAnsi="SFRM1095" w:cs="SFRM1095"/>
          <w:i/>
          <w:iCs/>
        </w:rPr>
        <w:t>. fichier joint</w:t>
      </w:r>
      <w:r>
        <w:rPr>
          <w:rFonts w:ascii="SFRM1095" w:hAnsi="SFRM1095" w:cs="SFRM1095"/>
          <w:i/>
          <w:iCs/>
        </w:rPr>
        <w:t>)</w:t>
      </w:r>
      <w:r w:rsidR="00866EE9">
        <w:rPr>
          <w:rFonts w:ascii="SFRM1095" w:hAnsi="SFRM1095" w:cs="SFRM1095"/>
          <w:i/>
          <w:iCs/>
        </w:rPr>
        <w:t>. Voici mes commentaires</w:t>
      </w:r>
      <w:r w:rsidR="00A5317C">
        <w:rPr>
          <w:rFonts w:ascii="SFRM1095" w:hAnsi="SFRM1095" w:cs="SFRM1095"/>
          <w:i/>
          <w:iCs/>
        </w:rPr>
        <w:t xml:space="preserve"> les formules sont référencées entre [crochets]</w:t>
      </w:r>
    </w:p>
    <w:p w14:paraId="0ACEDEC2" w14:textId="1F92662F" w:rsidR="00A21AC6" w:rsidRDefault="00A21AC6" w:rsidP="00866EE9">
      <w:pPr>
        <w:pStyle w:val="ListParagraph"/>
        <w:autoSpaceDE w:val="0"/>
        <w:autoSpaceDN w:val="0"/>
        <w:adjustRightInd w:val="0"/>
        <w:spacing w:after="0" w:line="240" w:lineRule="auto"/>
        <w:rPr>
          <w:rFonts w:ascii="SFRM1095" w:hAnsi="SFRM1095" w:cs="SFRM1095"/>
        </w:rPr>
      </w:pPr>
      <w:r>
        <w:rPr>
          <w:rFonts w:ascii="SFRM1095" w:hAnsi="SFRM1095" w:cs="SFRM1095"/>
        </w:rPr>
        <w:t>Mettons en équation le principe de Huygens-Fresnel</w:t>
      </w:r>
      <w:r w:rsidR="00DE1493">
        <w:rPr>
          <w:rFonts w:ascii="SFRM1095" w:hAnsi="SFRM1095" w:cs="SFRM1095"/>
        </w:rPr>
        <w:t> :</w:t>
      </w:r>
    </w:p>
    <w:p w14:paraId="0549CC20" w14:textId="0748CBDC" w:rsidR="00866EE9" w:rsidRDefault="00A21AC6" w:rsidP="00866EE9">
      <w:pPr>
        <w:pStyle w:val="ListParagraph"/>
        <w:autoSpaceDE w:val="0"/>
        <w:autoSpaceDN w:val="0"/>
        <w:adjustRightInd w:val="0"/>
        <w:spacing w:after="0" w:line="240" w:lineRule="auto"/>
        <w:rPr>
          <w:rFonts w:ascii="SFRM1095" w:hAnsi="SFRM1095" w:cs="SFRM1095"/>
        </w:rPr>
      </w:pPr>
      <w:r>
        <w:rPr>
          <w:rFonts w:ascii="SFRM1095" w:hAnsi="SFRM1095" w:cs="SFRM1095"/>
        </w:rPr>
        <w:t>On commente [1] :  terme en 1/PM car ondelette sphérique ; coefficient de proportionnalité Q de dimension inverse d’une longueur</w:t>
      </w:r>
      <w:r>
        <w:rPr>
          <w:rStyle w:val="FootnoteReference"/>
          <w:rFonts w:ascii="SFRM1095" w:hAnsi="SFRM1095" w:cs="SFRM1095"/>
        </w:rPr>
        <w:footnoteReference w:id="1"/>
      </w:r>
      <w:r>
        <w:rPr>
          <w:rFonts w:ascii="SFRM1095" w:hAnsi="SFRM1095" w:cs="SFRM1095"/>
        </w:rPr>
        <w:t>.</w:t>
      </w:r>
      <w:r w:rsidR="007C3A23">
        <w:rPr>
          <w:rFonts w:ascii="SFRM1095" w:hAnsi="SFRM1095" w:cs="SFRM1095"/>
        </w:rPr>
        <w:t xml:space="preserve"> Dans notre étude, </w:t>
      </w:r>
      <w:r w:rsidR="00861322">
        <w:rPr>
          <w:rFonts w:ascii="SFRM1095" w:hAnsi="SFRM1095" w:cs="SFRM1095"/>
        </w:rPr>
        <w:t>la valeur de ce</w:t>
      </w:r>
      <w:r w:rsidR="007C3A23">
        <w:rPr>
          <w:rFonts w:ascii="SFRM1095" w:hAnsi="SFRM1095" w:cs="SFRM1095"/>
        </w:rPr>
        <w:t xml:space="preserve"> coefficient de proportionnalité n’a pas une grande importance car nous sommes intéressés par les variations de l’éclairement. </w:t>
      </w:r>
    </w:p>
    <w:p w14:paraId="61281F57" w14:textId="01FB3E07" w:rsidR="007C3A23" w:rsidRDefault="007C3A23" w:rsidP="00866EE9">
      <w:pPr>
        <w:pStyle w:val="ListParagraph"/>
        <w:autoSpaceDE w:val="0"/>
        <w:autoSpaceDN w:val="0"/>
        <w:adjustRightInd w:val="0"/>
        <w:spacing w:after="0" w:line="240" w:lineRule="auto"/>
        <w:rPr>
          <w:rFonts w:ascii="SFRM1095" w:hAnsi="SFRM1095" w:cs="SFRM1095"/>
        </w:rPr>
      </w:pPr>
    </w:p>
    <w:p w14:paraId="0DB6685C" w14:textId="5F65DA52" w:rsidR="007C3A23" w:rsidRDefault="007C3A23" w:rsidP="007C3A23">
      <w:pPr>
        <w:pStyle w:val="ListParagraph"/>
        <w:numPr>
          <w:ilvl w:val="0"/>
          <w:numId w:val="20"/>
        </w:numPr>
        <w:autoSpaceDE w:val="0"/>
        <w:autoSpaceDN w:val="0"/>
        <w:adjustRightInd w:val="0"/>
        <w:spacing w:after="0" w:line="240" w:lineRule="auto"/>
        <w:rPr>
          <w:rFonts w:ascii="SFRM1095" w:eastAsiaTheme="minorEastAsia" w:hAnsi="SFRM1095" w:cs="SFRM1095"/>
        </w:rPr>
      </w:pPr>
      <w:r>
        <w:rPr>
          <w:rFonts w:ascii="SFRM1095" w:hAnsi="SFRM1095" w:cs="SFRM1095"/>
        </w:rPr>
        <w:t>Transmittance de la pupille </w:t>
      </w:r>
      <w:r w:rsidR="00D65B55">
        <w:rPr>
          <w:rFonts w:ascii="SFRM1095" w:hAnsi="SFRM1095" w:cs="SFRM1095"/>
        </w:rPr>
        <w:t xml:space="preserve">[2] </w:t>
      </w:r>
      <w:r>
        <w:rPr>
          <w:rFonts w:ascii="SFRM1095" w:hAnsi="SFRM1095" w:cs="SFRM1095"/>
        </w:rPr>
        <w:t xml:space="preserve">: Donner des exemples, t = 1 ou 0 si la pupille est une ouverture. </w:t>
      </w:r>
      <m:oMath>
        <m:r>
          <w:rPr>
            <w:rFonts w:ascii="Cambria Math" w:hAnsi="Cambria Math" w:cs="SFRM1095"/>
          </w:rPr>
          <m:t>t=</m:t>
        </m:r>
        <m:sSub>
          <m:sSubPr>
            <m:ctrlPr>
              <w:rPr>
                <w:rFonts w:ascii="Cambria Math" w:hAnsi="Cambria Math" w:cs="SFRM1095"/>
                <w:i/>
              </w:rPr>
            </m:ctrlPr>
          </m:sSubPr>
          <m:e>
            <m:r>
              <w:rPr>
                <w:rFonts w:ascii="Cambria Math" w:hAnsi="Cambria Math" w:cs="SFRM1095"/>
              </w:rPr>
              <m:t>t</m:t>
            </m:r>
          </m:e>
          <m:sub>
            <m:r>
              <w:rPr>
                <w:rFonts w:ascii="Cambria Math" w:hAnsi="Cambria Math" w:cs="SFRM1095"/>
              </w:rPr>
              <m:t>0</m:t>
            </m:r>
          </m:sub>
        </m:sSub>
        <m:func>
          <m:funcPr>
            <m:ctrlPr>
              <w:rPr>
                <w:rFonts w:ascii="Cambria Math" w:hAnsi="Cambria Math" w:cs="SFRM1095"/>
                <w:i/>
              </w:rPr>
            </m:ctrlPr>
          </m:funcPr>
          <m:fName>
            <m:r>
              <m:rPr>
                <m:sty m:val="p"/>
              </m:rPr>
              <w:rPr>
                <w:rFonts w:ascii="Cambria Math" w:hAnsi="Cambria Math" w:cs="SFRM1095"/>
              </w:rPr>
              <m:t>exp</m:t>
            </m:r>
          </m:fName>
          <m:e>
            <m:d>
              <m:dPr>
                <m:ctrlPr>
                  <w:rPr>
                    <w:rFonts w:ascii="Cambria Math" w:hAnsi="Cambria Math" w:cs="SFRM1095"/>
                    <w:i/>
                  </w:rPr>
                </m:ctrlPr>
              </m:dPr>
              <m:e>
                <m:r>
                  <w:rPr>
                    <w:rFonts w:ascii="Cambria Math" w:hAnsi="Cambria Math" w:cs="SFRM1095"/>
                  </w:rPr>
                  <m:t>2πi</m:t>
                </m:r>
                <m:f>
                  <m:fPr>
                    <m:ctrlPr>
                      <w:rPr>
                        <w:rFonts w:ascii="Cambria Math" w:hAnsi="Cambria Math" w:cs="SFRM1095"/>
                        <w:i/>
                      </w:rPr>
                    </m:ctrlPr>
                  </m:fPr>
                  <m:num>
                    <m:d>
                      <m:dPr>
                        <m:ctrlPr>
                          <w:rPr>
                            <w:rFonts w:ascii="Cambria Math" w:hAnsi="Cambria Math" w:cs="SFRM1095"/>
                            <w:i/>
                          </w:rPr>
                        </m:ctrlPr>
                      </m:dPr>
                      <m:e>
                        <m:r>
                          <w:rPr>
                            <w:rFonts w:ascii="Cambria Math" w:hAnsi="Cambria Math" w:cs="SFRM1095"/>
                          </w:rPr>
                          <m:t>n-1</m:t>
                        </m:r>
                      </m:e>
                    </m:d>
                    <m:r>
                      <w:rPr>
                        <w:rFonts w:ascii="Cambria Math" w:hAnsi="Cambria Math" w:cs="SFRM1095"/>
                      </w:rPr>
                      <m:t>e</m:t>
                    </m:r>
                  </m:num>
                  <m:den>
                    <m:r>
                      <w:rPr>
                        <w:rFonts w:ascii="Cambria Math" w:hAnsi="Cambria Math" w:cs="SFRM1095"/>
                      </w:rPr>
                      <m:t>λ</m:t>
                    </m:r>
                  </m:den>
                </m:f>
              </m:e>
            </m:d>
            <m:r>
              <w:rPr>
                <w:rFonts w:ascii="Cambria Math" w:hAnsi="Cambria Math" w:cs="SFRM1095"/>
              </w:rPr>
              <m:t xml:space="preserve"> </m:t>
            </m:r>
          </m:e>
        </m:func>
      </m:oMath>
      <w:r>
        <w:rPr>
          <w:rFonts w:ascii="SFRM1095" w:eastAsiaTheme="minorEastAsia" w:hAnsi="SFRM1095" w:cs="SFRM1095"/>
        </w:rPr>
        <w:t>pour une lame de verre d’in</w:t>
      </w:r>
      <w:r w:rsidR="00861322">
        <w:rPr>
          <w:rFonts w:ascii="SFRM1095" w:eastAsiaTheme="minorEastAsia" w:hAnsi="SFRM1095" w:cs="SFRM1095"/>
        </w:rPr>
        <w:t>d</w:t>
      </w:r>
      <w:r>
        <w:rPr>
          <w:rFonts w:ascii="SFRM1095" w:eastAsiaTheme="minorEastAsia" w:hAnsi="SFRM1095" w:cs="SFRM1095"/>
        </w:rPr>
        <w:t>i</w:t>
      </w:r>
      <w:r w:rsidR="00861322">
        <w:rPr>
          <w:rFonts w:ascii="SFRM1095" w:eastAsiaTheme="minorEastAsia" w:hAnsi="SFRM1095" w:cs="SFRM1095"/>
        </w:rPr>
        <w:t>c</w:t>
      </w:r>
      <w:r>
        <w:rPr>
          <w:rFonts w:ascii="SFRM1095" w:eastAsiaTheme="minorEastAsia" w:hAnsi="SFRM1095" w:cs="SFRM1095"/>
        </w:rPr>
        <w:t xml:space="preserve">e n et d’épaisseur e. Insister sur le fait que comme la source est à l’infini sur l’axe, les différents points de la pupille sont en phase. </w:t>
      </w:r>
    </w:p>
    <w:p w14:paraId="1E87322A" w14:textId="3E8654FA" w:rsidR="007C3A23" w:rsidRPr="007C3A23" w:rsidRDefault="007C3A23" w:rsidP="007C3A23">
      <w:pPr>
        <w:pStyle w:val="ListParagraph"/>
        <w:autoSpaceDE w:val="0"/>
        <w:autoSpaceDN w:val="0"/>
        <w:adjustRightInd w:val="0"/>
        <w:spacing w:after="0" w:line="240" w:lineRule="auto"/>
        <w:rPr>
          <w:rFonts w:ascii="SFRM1095" w:eastAsiaTheme="minorEastAsia" w:hAnsi="SFRM1095" w:cs="SFRM1095"/>
        </w:rPr>
      </w:pPr>
    </w:p>
    <w:p w14:paraId="171DB316" w14:textId="3662F42B" w:rsidR="003A752E" w:rsidRPr="00D65B55" w:rsidRDefault="007C3A23" w:rsidP="003A752E">
      <w:pPr>
        <w:pStyle w:val="ListParagraph"/>
        <w:numPr>
          <w:ilvl w:val="0"/>
          <w:numId w:val="20"/>
        </w:numPr>
        <w:autoSpaceDE w:val="0"/>
        <w:autoSpaceDN w:val="0"/>
        <w:adjustRightInd w:val="0"/>
        <w:spacing w:after="0" w:line="240" w:lineRule="auto"/>
      </w:pPr>
      <w:r>
        <w:t>A présent, nous allons exprimer PM en fonction des coordonnées de P et M. Puis faire des approximations.</w:t>
      </w:r>
      <w:r w:rsidR="00D65B55">
        <w:t xml:space="preserve"> </w:t>
      </w:r>
      <w:r w:rsidR="00D65B55">
        <w:br/>
      </w:r>
      <w:r w:rsidR="00D65B55">
        <w:sym w:font="Wingdings" w:char="F0E8"/>
      </w:r>
      <w:r w:rsidR="00D13453">
        <w:t xml:space="preserve">[3] </w:t>
      </w:r>
      <w:r w:rsidR="00D65B55">
        <w:t xml:space="preserve">Pour le terme d’amplitude un DL d’ordre 0 en </w:t>
      </w:r>
      <m:oMath>
        <m:r>
          <w:rPr>
            <w:rFonts w:ascii="Cambria Math" w:hAnsi="Cambria Math"/>
          </w:rPr>
          <m:t>ϵ</m:t>
        </m:r>
      </m:oMath>
      <w:r w:rsidR="00D65B55">
        <w:rPr>
          <w:rFonts w:eastAsiaTheme="minorEastAsia"/>
        </w:rPr>
        <w:t xml:space="preserve"> suffit, l’erreur absolue sur la distance est de 0.1mm ce qui est largement inférieur à l’incertitude de mesure.</w:t>
      </w:r>
      <w:r w:rsidR="00D65B55">
        <w:rPr>
          <w:rFonts w:eastAsiaTheme="minorEastAsia"/>
        </w:rPr>
        <w:br/>
      </w:r>
      <w:r w:rsidR="00D65B55" w:rsidRPr="00D65B55">
        <w:rPr>
          <w:rFonts w:eastAsiaTheme="minorEastAsia"/>
        </w:rPr>
        <w:sym w:font="Wingdings" w:char="F0E8"/>
      </w:r>
      <w:r w:rsidR="00D13453">
        <w:rPr>
          <w:rFonts w:eastAsiaTheme="minorEastAsia"/>
        </w:rPr>
        <w:t xml:space="preserve">[4] </w:t>
      </w:r>
      <w:r w:rsidR="00D65B55">
        <w:rPr>
          <w:rFonts w:eastAsiaTheme="minorEastAsia"/>
        </w:rPr>
        <w:t xml:space="preserve">En revanche, pour le terme de </w:t>
      </w:r>
      <w:r w:rsidR="003A752E">
        <w:rPr>
          <w:rFonts w:eastAsiaTheme="minorEastAsia"/>
        </w:rPr>
        <w:t>phase, un</w:t>
      </w:r>
      <w:r w:rsidR="00D65B55">
        <w:rPr>
          <w:rFonts w:eastAsiaTheme="minorEastAsia"/>
        </w:rPr>
        <w:t xml:space="preserve"> DL à l’ordre 1 en </w:t>
      </w:r>
      <m:oMath>
        <m:r>
          <w:rPr>
            <w:rFonts w:ascii="Cambria Math" w:eastAsiaTheme="minorEastAsia" w:hAnsi="Cambria Math"/>
          </w:rPr>
          <m:t>ϵ</m:t>
        </m:r>
      </m:oMath>
      <w:r w:rsidR="00D65B55">
        <w:rPr>
          <w:rFonts w:eastAsiaTheme="minorEastAsia"/>
        </w:rPr>
        <w:t xml:space="preserve"> est nécessaire cela revient à négliger une phase de l’ordre du 100</w:t>
      </w:r>
      <w:r w:rsidR="00D65B55" w:rsidRPr="00D65B55">
        <w:rPr>
          <w:rFonts w:eastAsiaTheme="minorEastAsia"/>
          <w:vertAlign w:val="superscript"/>
        </w:rPr>
        <w:t>e</w:t>
      </w:r>
      <w:r w:rsidR="00D65B55">
        <w:rPr>
          <w:rFonts w:eastAsiaTheme="minorEastAsia"/>
        </w:rPr>
        <w:t xml:space="preserve"> 360 degré</w:t>
      </w:r>
      <w:r w:rsidR="003A752E">
        <w:rPr>
          <w:rFonts w:eastAsiaTheme="minorEastAsia"/>
        </w:rPr>
        <w:t>s</w:t>
      </w:r>
      <w:r w:rsidR="00D65B55">
        <w:rPr>
          <w:rFonts w:eastAsiaTheme="minorEastAsia"/>
        </w:rPr>
        <w:t xml:space="preserve">. </w:t>
      </w:r>
    </w:p>
    <w:p w14:paraId="5809AB09" w14:textId="599F08FD" w:rsidR="00D65B55" w:rsidRDefault="003A752E" w:rsidP="00D65B55">
      <w:pPr>
        <w:pStyle w:val="ListParagraph"/>
      </w:pPr>
      <w:r>
        <w:t>Ces approximations portent le nom d’approximation de Fresnel et sont caractérisé par la présence d’un terme quadratique dans la phase. Quelles sont les conditions pour négliger le terme du second ordre dans la phase ? C’est l’approximation de Fraunhofer.</w:t>
      </w:r>
    </w:p>
    <w:p w14:paraId="4528ABF9" w14:textId="109429AA" w:rsidR="00823959" w:rsidRDefault="00823959" w:rsidP="00823959">
      <w:pPr>
        <w:pStyle w:val="Heading2"/>
      </w:pPr>
      <w:r>
        <w:t xml:space="preserve">Diffraction </w:t>
      </w:r>
      <w:r w:rsidR="001D1D93">
        <w:t>de Fraunhofer</w:t>
      </w:r>
    </w:p>
    <w:p w14:paraId="0F695C61" w14:textId="0095BE99" w:rsidR="00D65B55" w:rsidRDefault="003A752E" w:rsidP="00D65B55">
      <w:pPr>
        <w:pStyle w:val="ListParagraph"/>
        <w:numPr>
          <w:ilvl w:val="0"/>
          <w:numId w:val="20"/>
        </w:numPr>
        <w:autoSpaceDE w:val="0"/>
        <w:autoSpaceDN w:val="0"/>
        <w:adjustRightInd w:val="0"/>
        <w:spacing w:after="0" w:line="240" w:lineRule="auto"/>
      </w:pPr>
      <w:r>
        <w:t xml:space="preserve">Conditions de validité de l’approximation de Fraunhofer : </w:t>
      </w:r>
    </w:p>
    <w:p w14:paraId="0BBDA3FD" w14:textId="32695A05" w:rsidR="003A752E" w:rsidRDefault="00A5317C" w:rsidP="00A5317C">
      <w:pPr>
        <w:pStyle w:val="ListParagraph"/>
        <w:autoSpaceDE w:val="0"/>
        <w:autoSpaceDN w:val="0"/>
        <w:adjustRightInd w:val="0"/>
        <w:spacing w:after="0" w:line="240" w:lineRule="auto"/>
        <w:rPr>
          <w:rFonts w:eastAsiaTheme="minorEastAsia"/>
        </w:rPr>
      </w:pPr>
      <w:r>
        <w:t xml:space="preserve">[7-8] Le terme en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Pr>
          <w:rFonts w:eastAsiaTheme="minorEastAsia"/>
        </w:rPr>
        <w:t>se simplifie si la distance D est supérieure à un seuil.</w:t>
      </w:r>
    </w:p>
    <w:p w14:paraId="5590C2B5" w14:textId="1F0F1E99" w:rsidR="00A5317C" w:rsidRPr="001D1D93" w:rsidRDefault="00A5317C" w:rsidP="00A5317C">
      <w:pPr>
        <w:pStyle w:val="ListParagraph"/>
        <w:numPr>
          <w:ilvl w:val="0"/>
          <w:numId w:val="20"/>
        </w:numPr>
        <w:autoSpaceDE w:val="0"/>
        <w:autoSpaceDN w:val="0"/>
        <w:adjustRightInd w:val="0"/>
        <w:spacing w:after="0" w:line="240" w:lineRule="auto"/>
      </w:pPr>
      <w:r>
        <w:rPr>
          <w:rFonts w:eastAsiaTheme="minorEastAsia"/>
        </w:rPr>
        <w:lastRenderedPageBreak/>
        <w:t>Conditions de Fraunhofer strictes : On observe à l’infini. En pratique, on observe les interférences dans le plan focal image d’une lentille convergente</w:t>
      </w:r>
      <w:r>
        <w:rPr>
          <w:rStyle w:val="FootnoteReference"/>
          <w:rFonts w:eastAsiaTheme="minorEastAsia"/>
        </w:rPr>
        <w:footnoteReference w:id="2"/>
      </w:r>
      <w:r>
        <w:rPr>
          <w:rFonts w:eastAsiaTheme="minorEastAsia"/>
        </w:rPr>
        <w:t>.</w:t>
      </w:r>
      <w:r w:rsidR="003325D4">
        <w:rPr>
          <w:rFonts w:eastAsiaTheme="minorEastAsia"/>
        </w:rPr>
        <w:t xml:space="preserve"> Le calcul de la différence</w:t>
      </w:r>
      <w:r w:rsidR="00FE6855">
        <w:rPr>
          <w:rFonts w:eastAsiaTheme="minorEastAsia"/>
        </w:rPr>
        <w:t xml:space="preserve"> [9]</w:t>
      </w:r>
      <w:r w:rsidR="003325D4">
        <w:rPr>
          <w:rFonts w:eastAsiaTheme="minorEastAsia"/>
        </w:rPr>
        <w:t xml:space="preserve"> de marche conduit à une phase au premier ordre sans terme</w:t>
      </w:r>
      <w:r w:rsidR="00FE6855">
        <w:rPr>
          <w:rFonts w:eastAsiaTheme="minorEastAsia"/>
        </w:rPr>
        <w:t>s</w:t>
      </w:r>
      <w:r w:rsidR="003325D4">
        <w:rPr>
          <w:rFonts w:eastAsiaTheme="minorEastAsia"/>
        </w:rPr>
        <w:t xml:space="preserve"> quadratique</w:t>
      </w:r>
      <w:r w:rsidR="00FE6855">
        <w:rPr>
          <w:rFonts w:eastAsiaTheme="minorEastAsia"/>
        </w:rPr>
        <w:t>s [10]</w:t>
      </w:r>
      <w:r w:rsidR="003325D4">
        <w:rPr>
          <w:rFonts w:eastAsiaTheme="minorEastAsia"/>
        </w:rPr>
        <w:t xml:space="preserve">. </w:t>
      </w:r>
      <w:r w:rsidR="00FE6855">
        <w:rPr>
          <w:rFonts w:eastAsiaTheme="minorEastAsia"/>
        </w:rPr>
        <w:t>L’éclairement s’en déduit [11]</w:t>
      </w:r>
    </w:p>
    <w:p w14:paraId="2215A422" w14:textId="334669F2" w:rsidR="001D1D93" w:rsidRDefault="001D1D93" w:rsidP="001D1D93">
      <w:pPr>
        <w:pStyle w:val="ListParagraph"/>
        <w:autoSpaceDE w:val="0"/>
        <w:autoSpaceDN w:val="0"/>
        <w:adjustRightInd w:val="0"/>
        <w:spacing w:after="0" w:line="240" w:lineRule="auto"/>
        <w:rPr>
          <w:rFonts w:eastAsiaTheme="minorEastAsia"/>
        </w:rPr>
      </w:pPr>
    </w:p>
    <w:p w14:paraId="7322C548" w14:textId="0C8D4762" w:rsidR="005A2F18" w:rsidRDefault="005A2F18" w:rsidP="005A2F18">
      <w:pPr>
        <w:pStyle w:val="Heading2"/>
        <w:rPr>
          <w:rFonts w:eastAsiaTheme="minorEastAsia"/>
        </w:rPr>
      </w:pPr>
      <w:r>
        <w:rPr>
          <w:rFonts w:eastAsiaTheme="minorEastAsia"/>
        </w:rPr>
        <w:t xml:space="preserve">Remarque : </w:t>
      </w:r>
      <w:r w:rsidR="00C31AA8">
        <w:rPr>
          <w:rFonts w:eastAsiaTheme="minorEastAsia"/>
        </w:rPr>
        <w:t>si la source n’est pas sur l’axe optique</w:t>
      </w:r>
    </w:p>
    <w:p w14:paraId="5F72D946" w14:textId="77777777" w:rsidR="004718DE" w:rsidRDefault="00C31AA8" w:rsidP="00C31AA8">
      <w:r w:rsidRPr="004718DE">
        <w:rPr>
          <w:i/>
          <w:iCs/>
        </w:rPr>
        <w:t xml:space="preserve">Je traite cette partie </w:t>
      </w:r>
      <w:r w:rsidR="004718DE" w:rsidRPr="004718DE">
        <w:rPr>
          <w:i/>
          <w:iCs/>
        </w:rPr>
        <w:t>sans refaire de manière complète le calcul de la différence de marche.</w:t>
      </w:r>
      <w:r w:rsidR="004718DE">
        <w:t xml:space="preserve"> </w:t>
      </w:r>
    </w:p>
    <w:p w14:paraId="22F8325A" w14:textId="2FF2ED99" w:rsidR="00C31AA8" w:rsidRPr="00C31AA8" w:rsidRDefault="00155448" w:rsidP="00C31AA8">
      <w:r>
        <w:t>Jusqu’à présent, les calculs</w:t>
      </w:r>
      <w:r w:rsidR="006E74B5">
        <w:t xml:space="preserve"> ont été mené en considérant la source sur l’axe optique. </w:t>
      </w:r>
      <w:r w:rsidR="004718DE">
        <w:t>Si la source n’est pas sur l’axe optique (mais toujours à l’infini), les points de la pupille ne sont plus en phase. Par un calcul de différence de marche similaire à [9], on montre que cela entraine un décalage de la figure d’interférence. On remarque que désormais cette dernière est centrée sur l’image géométrique de la source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4718DE">
        <w:t>[12]. Les images géométriques des sources sont entouré</w:t>
      </w:r>
      <w:r w:rsidR="00B13C8A">
        <w:t>e</w:t>
      </w:r>
      <w:r w:rsidR="004718DE">
        <w:t xml:space="preserve">s d’une tâche de diffraction.   </w:t>
      </w:r>
      <w:r w:rsidR="00B13C8A">
        <w:t xml:space="preserve">Cela va avoir des conséquences importantes dans la limite de résolution des </w:t>
      </w:r>
      <w:r w:rsidR="002F6ED4">
        <w:t>systèmes</w:t>
      </w:r>
      <w:r w:rsidR="00B13C8A">
        <w:t xml:space="preserve"> optiques</w:t>
      </w:r>
      <w:r w:rsidR="00A05655">
        <w:t xml:space="preserve"> (cf.III)</w:t>
      </w:r>
      <w:r w:rsidR="00B13C8A">
        <w:t xml:space="preserve">. </w:t>
      </w:r>
    </w:p>
    <w:p w14:paraId="55351176" w14:textId="095BFAEA" w:rsidR="00396E4E" w:rsidRPr="00396E4E" w:rsidRDefault="0030725F" w:rsidP="0030725F">
      <w:pPr>
        <w:pStyle w:val="Heading1"/>
      </w:pPr>
      <w:r>
        <w:rPr>
          <w:rFonts w:eastAsiaTheme="minorEastAsia"/>
        </w:rPr>
        <w:t xml:space="preserve">Exemples et </w:t>
      </w:r>
      <w:r w:rsidR="009C7BF0">
        <w:rPr>
          <w:rFonts w:eastAsiaTheme="minorEastAsia"/>
        </w:rPr>
        <w:t xml:space="preserve">quelques </w:t>
      </w:r>
      <w:r>
        <w:rPr>
          <w:rFonts w:eastAsiaTheme="minorEastAsia"/>
        </w:rPr>
        <w:t>propriétés des figures de diffraction de Fraunhofer</w:t>
      </w:r>
    </w:p>
    <w:p w14:paraId="487E58F5" w14:textId="55A115C1" w:rsidR="001245F7" w:rsidRDefault="00396E4E" w:rsidP="00540641">
      <w:pPr>
        <w:pStyle w:val="Heading2"/>
        <w:numPr>
          <w:ilvl w:val="0"/>
          <w:numId w:val="23"/>
        </w:numPr>
        <w:rPr>
          <w:rFonts w:eastAsiaTheme="minorEastAsia"/>
        </w:rPr>
      </w:pPr>
      <w:r w:rsidRPr="00540641">
        <w:rPr>
          <w:rFonts w:eastAsiaTheme="minorEastAsia"/>
        </w:rPr>
        <w:t>Diffraction par une fente fine.</w:t>
      </w:r>
      <w:r w:rsidR="001245F7">
        <w:rPr>
          <w:rFonts w:eastAsiaTheme="minorEastAsia"/>
        </w:rPr>
        <w:t xml:space="preserve"> </w:t>
      </w:r>
    </w:p>
    <w:p w14:paraId="1FCC6E99" w14:textId="1B1E9A24" w:rsidR="00A609D1" w:rsidRPr="00A609D1" w:rsidRDefault="00A609D1" w:rsidP="00A609D1">
      <w:r>
        <w:t>On calcule l’expression de l’éclairement [13]</w:t>
      </w:r>
      <w:r w:rsidR="002F1756">
        <w:t xml:space="preserve">. On constate que la direction du maximum d’éclairement a lieu dans la direction de l’optique géométrique. </w:t>
      </w:r>
      <w:r w:rsidR="00A0248A">
        <w:t>On remarque que plus la pupille s’élargit (ex dans la dimension X), plus la figure de réflexion de contracte (cf. II-C). A la limite, si</w:t>
      </w:r>
      <w:r w:rsidR="0008063F">
        <w:t xml:space="preserve"> a est très grand (ie</w:t>
      </w:r>
      <w:r w:rsidR="00A0248A">
        <w:t xml:space="preserve"> </w:t>
      </w:r>
      <m:oMath>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a</m:t>
            </m:r>
          </m:den>
        </m:f>
      </m:oMath>
      <w:r w:rsidR="0008063F">
        <w:rPr>
          <w:rFonts w:eastAsiaTheme="minorEastAsia"/>
        </w:rPr>
        <w:t xml:space="preserve"> &lt; 1mm), la diffraction n’est plus visible. [Montage : faire le montage d’éclairage d’une fente dans les conditions de Fraunhofer approchée avec un laser. Calculer la distance Dlim qui prouve que l’approx de Fraunhofer est justifiée. Pour l’agreg docteur, faire les mesures des minimas d’intensité suivis d’une régression linéaire. La répartition des minimas est-elle compatible avec une fonction sinus cardinal ?]   </w:t>
      </w:r>
    </w:p>
    <w:p w14:paraId="55C7C016" w14:textId="1CF090AD" w:rsidR="00A67E6B" w:rsidRPr="00A67E6B" w:rsidRDefault="00A67E6B" w:rsidP="00A67E6B">
      <w:pPr>
        <w:pStyle w:val="Heading2"/>
      </w:pPr>
      <w:r>
        <w:t>Diaphragme circulaire</w:t>
      </w:r>
    </w:p>
    <w:p w14:paraId="136C92FF" w14:textId="495A29C3" w:rsidR="003E7DDE" w:rsidRPr="003E7DDE" w:rsidRDefault="0008063F" w:rsidP="003E7DDE">
      <w:r>
        <w:t>Pour le diaphragme circulaire, on ne fait pas les calculs</w:t>
      </w:r>
      <w:r w:rsidR="00843136">
        <w:t xml:space="preserve">. La transformée de fourier d’une ouverture circulaire est plus compliquée à calculer que pour un rectangle, elle s’exprime à l’aide de fonction de Bessel. Cependant, figure de diffraction a des propriétés similaires. La largeur angulaire de la tâche est en </w:t>
      </w:r>
      <m:oMath>
        <m:f>
          <m:fPr>
            <m:ctrlPr>
              <w:rPr>
                <w:rFonts w:ascii="Cambria Math" w:hAnsi="Cambria Math"/>
                <w:i/>
              </w:rPr>
            </m:ctrlPr>
          </m:fPr>
          <m:num>
            <m:r>
              <w:rPr>
                <w:rFonts w:ascii="Cambria Math" w:hAnsi="Cambria Math"/>
              </w:rPr>
              <m:t>λ</m:t>
            </m:r>
          </m:num>
          <m:den>
            <m:r>
              <w:rPr>
                <w:rFonts w:ascii="Cambria Math" w:hAnsi="Cambria Math"/>
              </w:rPr>
              <m:t>d</m:t>
            </m:r>
          </m:den>
        </m:f>
      </m:oMath>
      <w:r w:rsidR="00843136">
        <w:rPr>
          <w:rFonts w:eastAsiaTheme="minorEastAsia"/>
        </w:rPr>
        <w:t xml:space="preserve"> avec d la longueur caractéristique de la pupille</w:t>
      </w:r>
      <w:r w:rsidR="00CD5DA8">
        <w:rPr>
          <w:rFonts w:eastAsiaTheme="minorEastAsia"/>
        </w:rPr>
        <w:t>.</w:t>
      </w:r>
      <w:r w:rsidR="00843136">
        <w:rPr>
          <w:rFonts w:eastAsiaTheme="minorEastAsia"/>
        </w:rPr>
        <w:t xml:space="preserve"> </w:t>
      </w:r>
    </w:p>
    <w:p w14:paraId="32E2F178" w14:textId="1FFCBD55" w:rsidR="00293EC0" w:rsidRDefault="001245F7" w:rsidP="00293EC0">
      <w:pPr>
        <w:pStyle w:val="Heading2"/>
        <w:numPr>
          <w:ilvl w:val="0"/>
          <w:numId w:val="23"/>
        </w:numPr>
        <w:rPr>
          <w:rFonts w:eastAsiaTheme="minorEastAsia"/>
        </w:rPr>
      </w:pPr>
      <w:r>
        <w:rPr>
          <w:rFonts w:eastAsiaTheme="minorEastAsia"/>
        </w:rPr>
        <w:t>Propriétés (</w:t>
      </w:r>
      <w:r w:rsidR="00CB5191">
        <w:rPr>
          <w:rFonts w:eastAsiaTheme="minorEastAsia"/>
        </w:rPr>
        <w:t xml:space="preserve">Fréquences spatiales, </w:t>
      </w:r>
      <w:r w:rsidR="00293EC0">
        <w:rPr>
          <w:rFonts w:eastAsiaTheme="minorEastAsia"/>
        </w:rPr>
        <w:t>Translation</w:t>
      </w:r>
      <w:r>
        <w:rPr>
          <w:rFonts w:eastAsiaTheme="minorEastAsia"/>
        </w:rPr>
        <w:t xml:space="preserve">, </w:t>
      </w:r>
      <w:r w:rsidR="00293EC0">
        <w:rPr>
          <w:rFonts w:eastAsiaTheme="minorEastAsia"/>
        </w:rPr>
        <w:t>Dilatation</w:t>
      </w:r>
      <w:r w:rsidR="009C7BF0">
        <w:rPr>
          <w:rFonts w:eastAsiaTheme="minorEastAsia"/>
        </w:rPr>
        <w:t>)</w:t>
      </w:r>
    </w:p>
    <w:p w14:paraId="6B33AC34" w14:textId="6B6D433E" w:rsidR="00CB5191" w:rsidRPr="00CB5191" w:rsidRDefault="00CB5191" w:rsidP="00CB5191">
      <w:pPr>
        <w:pStyle w:val="ListParagraph"/>
        <w:numPr>
          <w:ilvl w:val="0"/>
          <w:numId w:val="20"/>
        </w:numPr>
        <w:rPr>
          <w:rFonts w:eastAsiaTheme="minorEastAsia"/>
        </w:rPr>
      </w:pPr>
      <w:r>
        <w:t xml:space="preserve">On remarque que l’expression de l’amplitude de l’onde diffracté à l’infini (et ramené dans le plan focal d’une lentille) est la transformée de Fourier de la transmittance de la pupille. Nous appellerons désormais plan de fourrier, le plan focal de la lentille où apparaît la figure de diffraction de Fraunhofer.  Il est possible grâce à la relation : </w:t>
      </w:r>
      <m:oMath>
        <m:r>
          <w:rPr>
            <w:rFonts w:ascii="Cambria Math" w:hAnsi="Cambria Math"/>
          </w:rPr>
          <m:t>X=λ</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hAnsi="Cambria Math"/>
              </w:rPr>
              <m:t>u</m:t>
            </m:r>
            <m:ctrlPr>
              <w:rPr>
                <w:rFonts w:ascii="Cambria Math" w:hAnsi="Cambria Math"/>
                <w:i/>
              </w:rPr>
            </m:ctrlPr>
          </m:e>
          <m:sub>
            <m:r>
              <w:rPr>
                <w:rFonts w:ascii="Cambria Math" w:eastAsiaTheme="minorEastAsia" w:hAnsi="Cambria Math"/>
              </w:rPr>
              <m:t>x</m:t>
            </m:r>
          </m:sub>
        </m:sSub>
      </m:oMath>
      <w:r w:rsidRPr="00CB5191">
        <w:rPr>
          <w:rFonts w:eastAsiaTheme="minorEastAsia"/>
        </w:rPr>
        <w:t xml:space="preserve"> de relier la position dans le plan de Fourier avec les fréquences spatiales de l’objet diffractant. Ce qui est observée est l’éclairement ie. Le carré de l’amplitude de la transformée de Fourier de la transmittance.</w:t>
      </w:r>
    </w:p>
    <w:p w14:paraId="7B439839" w14:textId="77777777" w:rsidR="00CB5191" w:rsidRPr="00CB5191" w:rsidRDefault="00CB5191" w:rsidP="00CB5191"/>
    <w:p w14:paraId="5E5557B3" w14:textId="37C26F80" w:rsidR="00596260" w:rsidRDefault="00596260" w:rsidP="00596260">
      <w:pPr>
        <w:pStyle w:val="ListParagraph"/>
      </w:pPr>
      <w:r>
        <w:lastRenderedPageBreak/>
        <w:t xml:space="preserve">Les deux propriétés suivantes découlent des propriétés de la transformée de Fourier : </w:t>
      </w:r>
    </w:p>
    <w:p w14:paraId="15ED61C1" w14:textId="0CAA8B59" w:rsidR="00293EC0" w:rsidRDefault="00293EC0" w:rsidP="00293EC0">
      <w:pPr>
        <w:pStyle w:val="ListParagraph"/>
        <w:numPr>
          <w:ilvl w:val="0"/>
          <w:numId w:val="20"/>
        </w:numPr>
      </w:pPr>
      <w:r>
        <w:t>On montre que la translation de la pupille ne modifie l’amplitude que par un terme de phase qui disparait lorsque l’on calcule l’éclairement [</w:t>
      </w:r>
      <w:r w:rsidR="00CB5191">
        <w:t>p835 CAP PREPA RENVOIZE]</w:t>
      </w:r>
    </w:p>
    <w:p w14:paraId="583A3C56" w14:textId="77777777" w:rsidR="00CB5191" w:rsidRDefault="00CB5191" w:rsidP="00293EC0">
      <w:pPr>
        <w:pStyle w:val="ListParagraph"/>
        <w:numPr>
          <w:ilvl w:val="0"/>
          <w:numId w:val="20"/>
        </w:numPr>
      </w:pPr>
      <w:r>
        <w:t xml:space="preserve">On montre que la dilatation de la pupille suivant l’axe des x par exemple entraîne une contraction de la figure (et réciproquement). </w:t>
      </w:r>
    </w:p>
    <w:p w14:paraId="5A7442DB" w14:textId="3935B19D" w:rsidR="00150D8C" w:rsidRDefault="00150D8C" w:rsidP="00582FB9"/>
    <w:p w14:paraId="690EC592" w14:textId="34FB23F1" w:rsidR="00582FB9" w:rsidRDefault="003D0198" w:rsidP="00582FB9">
      <w:pPr>
        <w:pStyle w:val="Heading1"/>
      </w:pPr>
      <w:r>
        <w:t>C</w:t>
      </w:r>
      <w:r w:rsidR="00E23DB0">
        <w:t>onséquences et Applications de la diffraction</w:t>
      </w:r>
    </w:p>
    <w:p w14:paraId="43F50943" w14:textId="2A7123B6" w:rsidR="00582FB9" w:rsidRDefault="00582FB9" w:rsidP="00582FB9"/>
    <w:p w14:paraId="5173C4D3" w14:textId="71693BAB" w:rsidR="00582FB9" w:rsidRDefault="003E7F8D" w:rsidP="00582FB9">
      <w:pPr>
        <w:pStyle w:val="Heading2"/>
        <w:numPr>
          <w:ilvl w:val="0"/>
          <w:numId w:val="25"/>
        </w:numPr>
      </w:pPr>
      <w:r>
        <w:t xml:space="preserve">Limite de résolution d’un système optique </w:t>
      </w:r>
    </w:p>
    <w:p w14:paraId="254DA68D" w14:textId="5E231505" w:rsidR="00AD1988" w:rsidRPr="00AD1988" w:rsidRDefault="003E7F8D" w:rsidP="003E7F8D">
      <w:pPr>
        <w:rPr>
          <w:rFonts w:ascii="NimbusRomNo9L-Regu" w:hAnsi="NimbusRomNo9L-Regu" w:cs="NimbusRomNo9L-Regu"/>
        </w:rPr>
      </w:pPr>
      <w:r>
        <w:t>[Ref :</w:t>
      </w:r>
      <w:r w:rsidRPr="003E7F8D">
        <w:rPr>
          <w:rFonts w:ascii="NimbusRomNo9L-Regu" w:hAnsi="NimbusRomNo9L-Regu" w:cs="NimbusRomNo9L-Regu"/>
        </w:rPr>
        <w:t xml:space="preserve"> </w:t>
      </w:r>
      <w:r>
        <w:rPr>
          <w:rFonts w:ascii="NimbusRomNo9L-Regu" w:hAnsi="NimbusRomNo9L-Regu" w:cs="NimbusRomNo9L-Regu"/>
        </w:rPr>
        <w:t>Clément Sayrin]</w:t>
      </w:r>
      <w:r w:rsidR="00AD1988">
        <w:rPr>
          <w:rFonts w:ascii="NimbusRomNo9L-Regu" w:hAnsi="NimbusRomNo9L-Regu" w:cs="NimbusRomNo9L-Regu"/>
        </w:rPr>
        <w:br/>
      </w:r>
      <w:r w:rsidR="00AD1988">
        <w:rPr>
          <w:noProof/>
        </w:rPr>
        <w:drawing>
          <wp:inline distT="0" distB="0" distL="0" distR="0" wp14:anchorId="02EA3C3C" wp14:editId="6C962916">
            <wp:extent cx="5219700" cy="3017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650" cy="3017757"/>
                    </a:xfrm>
                    <a:prstGeom prst="rect">
                      <a:avLst/>
                    </a:prstGeom>
                  </pic:spPr>
                </pic:pic>
              </a:graphicData>
            </a:graphic>
          </wp:inline>
        </w:drawing>
      </w:r>
    </w:p>
    <w:p w14:paraId="0FDA1D12" w14:textId="1D84AC30" w:rsidR="00306CA3" w:rsidRDefault="00AD1988" w:rsidP="00306CA3">
      <w:r>
        <w:t xml:space="preserve">L’éclairement total est la somme des éclairements car les deux sources ne sont pas cohérentes entre elles. On représente l’allure de la figure de diffraction : 2 tâches de largeur </w:t>
      </w:r>
      <m:oMath>
        <m:f>
          <m:fPr>
            <m:ctrlPr>
              <w:rPr>
                <w:rFonts w:ascii="Cambria Math" w:hAnsi="Cambria Math"/>
                <w:i/>
              </w:rPr>
            </m:ctrlPr>
          </m:fPr>
          <m:num>
            <m:r>
              <w:rPr>
                <w:rFonts w:ascii="Cambria Math" w:hAnsi="Cambria Math"/>
              </w:rPr>
              <m:t>2λ</m:t>
            </m:r>
          </m:num>
          <m:den>
            <m:r>
              <w:rPr>
                <w:rFonts w:ascii="Cambria Math" w:hAnsi="Cambria Math"/>
              </w:rPr>
              <m:t>a</m:t>
            </m:r>
          </m:den>
        </m:f>
      </m:oMath>
      <w:r>
        <w:t xml:space="preserve"> centrées sur l’image géométrique des deux étoiles. Si les deux étoiles, ont même intensité, le critère de Rayleigh est un outil pratique pour définir la limite de résolution. On ne sai</w:t>
      </w:r>
      <w:r w:rsidR="00596260">
        <w:t>t</w:t>
      </w:r>
      <w:r>
        <w:t xml:space="preserve"> plus résoudre </w:t>
      </w:r>
      <w:r w:rsidR="00754036">
        <w:t xml:space="preserve">les deux étoiles lorsque l’écart entre </w:t>
      </w:r>
      <w:r w:rsidR="00596260">
        <w:t>les deux maximas</w:t>
      </w:r>
      <w:r w:rsidR="00754036">
        <w:t xml:space="preserve"> est inférieur à la </w:t>
      </w:r>
      <w:r w:rsidR="00596260">
        <w:t>demi-largeur</w:t>
      </w:r>
      <w:r w:rsidR="00754036">
        <w:t xml:space="preserve"> de la tâche. </w:t>
      </w:r>
    </w:p>
    <w:p w14:paraId="0C762D17" w14:textId="13030057" w:rsidR="00A6074A" w:rsidRPr="00306CA3" w:rsidRDefault="00A6074A" w:rsidP="00306CA3">
      <w:r>
        <w:t xml:space="preserve">On trouve un angle limite de résolution de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a</m:t>
            </m:r>
          </m:den>
        </m:f>
      </m:oMath>
      <w:r>
        <w:rPr>
          <w:rFonts w:eastAsiaTheme="minorEastAsia"/>
        </w:rPr>
        <w:t xml:space="preserve"> </w:t>
      </w:r>
      <w:r w:rsidR="00D9145B">
        <w:rPr>
          <w:rFonts w:eastAsiaTheme="minorEastAsia"/>
        </w:rPr>
        <w:t xml:space="preserve">    </w:t>
      </w:r>
      <w:r w:rsidR="00D9145B">
        <w:rPr>
          <w:rStyle w:val="FootnoteReference"/>
          <w:rFonts w:eastAsiaTheme="minorEastAsia"/>
        </w:rPr>
        <w:footnoteReference w:id="3"/>
      </w:r>
    </w:p>
    <w:p w14:paraId="675422CD" w14:textId="0AF3BE97" w:rsidR="00DE7A48" w:rsidRDefault="00366B86" w:rsidP="00DE7A48">
      <w:pPr>
        <w:pStyle w:val="Heading2"/>
      </w:pPr>
      <w:r>
        <w:t xml:space="preserve">Filtrage </w:t>
      </w:r>
      <w:r w:rsidR="00DE7A48">
        <w:t>en éclairage cohérent : expérience d’Abbe</w:t>
      </w:r>
      <w:r w:rsidR="00701FB6">
        <w:t xml:space="preserve"> (</w:t>
      </w:r>
      <w:r w:rsidR="00701FB6" w:rsidRPr="005C1E4B">
        <w:t>1893</w:t>
      </w:r>
      <w:r w:rsidR="00701FB6">
        <w:t>)</w:t>
      </w:r>
    </w:p>
    <w:p w14:paraId="44E62E6A" w14:textId="60687E5D" w:rsidR="005C1E4B" w:rsidRDefault="005C1E4B" w:rsidP="005C1E4B">
      <w:pPr>
        <w:rPr>
          <w:rFonts w:eastAsiaTheme="minorEastAsia"/>
          <w:color w:val="000000" w:themeColor="text1"/>
        </w:rPr>
      </w:pPr>
      <w:r>
        <w:t xml:space="preserve">On a monté en préparation </w:t>
      </w:r>
      <w:r w:rsidRPr="006B5C5F">
        <w:rPr>
          <w:b/>
          <w:bCs/>
        </w:rPr>
        <w:t>l’expérience d’Abbe</w:t>
      </w:r>
      <w:r>
        <w:t xml:space="preserve"> (Sextant p128). </w:t>
      </w:r>
      <w:r w:rsidR="00420A04">
        <w:t xml:space="preserve">On </w:t>
      </w:r>
      <w:r w:rsidR="00420A04" w:rsidRPr="00420A04">
        <w:rPr>
          <w:color w:val="000000" w:themeColor="text1"/>
        </w:rPr>
        <w:t>éclaire en lumière cohérente</w:t>
      </w:r>
      <w:r w:rsidR="00420A04">
        <w:rPr>
          <w:color w:val="000000" w:themeColor="text1"/>
        </w:rPr>
        <w:t xml:space="preserve"> (ie laser), un réseau. On projette l’image d’un réseau bidimensionnel sur un écran par une lentille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sidR="00420A04">
        <w:rPr>
          <w:rFonts w:eastAsiaTheme="minorEastAsia"/>
          <w:color w:val="000000" w:themeColor="text1"/>
        </w:rPr>
        <w:t xml:space="preserve">. Le plan de Fourier est le plan focal image de cette lentille. Pour mieux visualiser le spectre du réseau. On projette l’image agrandie du plan de Fourier sur l’écran à l’aide d’une seconde lentille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 xml:space="preserve">. </m:t>
        </m:r>
      </m:oMath>
      <w:r w:rsidR="00420A04">
        <w:rPr>
          <w:rFonts w:eastAsiaTheme="minorEastAsia"/>
          <w:color w:val="000000" w:themeColor="text1"/>
        </w:rPr>
        <w:t>Le spectre en amplitude est bien caractéristique d’u</w:t>
      </w:r>
      <w:r w:rsidR="00701FB6">
        <w:rPr>
          <w:rFonts w:eastAsiaTheme="minorEastAsia"/>
          <w:color w:val="000000" w:themeColor="text1"/>
        </w:rPr>
        <w:t xml:space="preserve">n signal périodique </w:t>
      </w:r>
      <w:r w:rsidR="00420A04">
        <w:rPr>
          <w:rFonts w:eastAsiaTheme="minorEastAsia"/>
          <w:color w:val="000000" w:themeColor="text1"/>
        </w:rPr>
        <w:t xml:space="preserve">: il s’agit de la croix de Mills. On </w:t>
      </w:r>
      <w:r w:rsidR="00420A04">
        <w:rPr>
          <w:rFonts w:eastAsiaTheme="minorEastAsia"/>
          <w:color w:val="000000" w:themeColor="text1"/>
        </w:rPr>
        <w:lastRenderedPageBreak/>
        <w:t>commente l’allure de la verticale et de l’horizontale en remarquant la présence d’harmoniques impaires dont l’intensité décroit</w:t>
      </w:r>
      <w:r w:rsidR="00420A04">
        <w:rPr>
          <w:rStyle w:val="FootnoteReference"/>
          <w:rFonts w:eastAsiaTheme="minorEastAsia"/>
          <w:color w:val="000000" w:themeColor="text1"/>
        </w:rPr>
        <w:footnoteReference w:id="4"/>
      </w:r>
      <w:r w:rsidR="00420A04">
        <w:rPr>
          <w:rFonts w:eastAsiaTheme="minorEastAsia"/>
          <w:color w:val="000000" w:themeColor="text1"/>
        </w:rPr>
        <w:t xml:space="preserve">. </w:t>
      </w:r>
    </w:p>
    <w:p w14:paraId="420C4501" w14:textId="03B87246" w:rsidR="009023DF" w:rsidRDefault="009023DF" w:rsidP="005C1E4B">
      <w:pPr>
        <w:rPr>
          <w:rFonts w:eastAsiaTheme="minorEastAsia"/>
          <w:color w:val="000000" w:themeColor="text1"/>
        </w:rPr>
      </w:pPr>
      <w:r>
        <w:rPr>
          <w:rFonts w:eastAsiaTheme="minorEastAsia"/>
          <w:color w:val="000000" w:themeColor="text1"/>
        </w:rPr>
        <w:t xml:space="preserve">On place une fente pour supprimer les harmoniques de la périodicité horizontale. </w:t>
      </w:r>
      <w:r w:rsidR="00384F95">
        <w:rPr>
          <w:rFonts w:eastAsiaTheme="minorEastAsia"/>
          <w:color w:val="000000" w:themeColor="text1"/>
        </w:rPr>
        <w:t xml:space="preserve">L’image du réseau apparaît désormais filtrée : la périodicité horizontale a disparu. </w:t>
      </w:r>
    </w:p>
    <w:p w14:paraId="5604A70B" w14:textId="31B5AC45" w:rsidR="00B82AE3" w:rsidRDefault="00B82AE3" w:rsidP="005C1E4B">
      <w:pPr>
        <w:rPr>
          <w:rFonts w:eastAsiaTheme="minorEastAsia"/>
          <w:color w:val="000000" w:themeColor="text1"/>
        </w:rPr>
      </w:pPr>
      <w:r>
        <w:rPr>
          <w:rFonts w:eastAsiaTheme="minorEastAsia"/>
          <w:color w:val="000000" w:themeColor="text1"/>
        </w:rPr>
        <w:t xml:space="preserve">Le microscope à </w:t>
      </w:r>
      <w:r w:rsidRPr="00356E1D">
        <w:rPr>
          <w:rFonts w:eastAsiaTheme="minorEastAsia"/>
          <w:b/>
          <w:bCs/>
          <w:color w:val="000000" w:themeColor="text1"/>
        </w:rPr>
        <w:t>contraste de phase</w:t>
      </w:r>
      <w:r>
        <w:rPr>
          <w:rFonts w:eastAsiaTheme="minorEastAsia"/>
          <w:color w:val="000000" w:themeColor="text1"/>
        </w:rPr>
        <w:t xml:space="preserve"> (qui value le prix Nobel </w:t>
      </w:r>
      <w:r w:rsidRPr="00B82AE3">
        <w:rPr>
          <w:rFonts w:eastAsiaTheme="minorEastAsia"/>
          <w:color w:val="000000" w:themeColor="text1"/>
        </w:rPr>
        <w:t>physicien hollandais Frederik Zernike</w:t>
      </w:r>
      <w:r>
        <w:rPr>
          <w:rFonts w:eastAsiaTheme="minorEastAsia"/>
          <w:color w:val="000000" w:themeColor="text1"/>
        </w:rPr>
        <w:t xml:space="preserve"> en 1953) permet de rendre visible les objets de phase transparent (eg. Cellules) en introduisant un déphasage de </w:t>
      </w:r>
      <m:oMath>
        <m:r>
          <w:rPr>
            <w:rFonts w:ascii="Cambria Math" w:eastAsiaTheme="minorEastAsia" w:hAnsi="Cambria Math"/>
            <w:color w:val="000000" w:themeColor="text1"/>
          </w:rPr>
          <m:t>π</m:t>
        </m:r>
      </m:oMath>
      <w:r>
        <w:rPr>
          <w:rFonts w:eastAsiaTheme="minorEastAsia"/>
          <w:color w:val="000000" w:themeColor="text1"/>
        </w:rPr>
        <w:t xml:space="preserve"> de la composante continue.</w:t>
      </w:r>
      <w:r w:rsidR="004A2411">
        <w:rPr>
          <w:rFonts w:eastAsiaTheme="minorEastAsia"/>
          <w:color w:val="000000" w:themeColor="text1"/>
        </w:rPr>
        <w:t xml:space="preserve"> </w:t>
      </w:r>
      <w:r w:rsidR="005E2692">
        <w:rPr>
          <w:rFonts w:eastAsiaTheme="minorEastAsia"/>
          <w:color w:val="000000" w:themeColor="text1"/>
        </w:rPr>
        <w:t xml:space="preserve">Contrairement à la </w:t>
      </w:r>
      <w:r w:rsidR="005E2692" w:rsidRPr="00356E1D">
        <w:rPr>
          <w:rFonts w:eastAsiaTheme="minorEastAsia"/>
          <w:b/>
          <w:bCs/>
          <w:color w:val="000000" w:themeColor="text1"/>
        </w:rPr>
        <w:t>Strioscopie</w:t>
      </w:r>
      <w:r w:rsidR="005E2692">
        <w:rPr>
          <w:rFonts w:eastAsiaTheme="minorEastAsia"/>
          <w:color w:val="000000" w:themeColor="text1"/>
        </w:rPr>
        <w:t xml:space="preserve"> (filtre passe haut), on est capable d’avoir accès au signe de la variation de la phase de l’objet et non plus qu’à sa valeur absolue. </w:t>
      </w:r>
    </w:p>
    <w:p w14:paraId="1A96A949" w14:textId="75F2EABA" w:rsidR="00DE7A48" w:rsidRDefault="00701FB6" w:rsidP="00B82AE3">
      <w:pPr>
        <w:pStyle w:val="Heading3"/>
        <w:numPr>
          <w:ilvl w:val="0"/>
          <w:numId w:val="0"/>
        </w:numPr>
      </w:pPr>
      <w:r>
        <w:t xml:space="preserve">Conclusion : </w:t>
      </w:r>
    </w:p>
    <w:p w14:paraId="0323C8E7" w14:textId="4BA4715F" w:rsidR="00701FB6" w:rsidRPr="00701FB6" w:rsidRDefault="004032B4" w:rsidP="00701FB6">
      <w:r>
        <w:t xml:space="preserve">A partir du principe de Huygens-Fresnel, nous avons </w:t>
      </w:r>
      <w:r w:rsidR="00F96BBA">
        <w:t>pu montrer que la diffraction de Fraunhoffer permet d’avoir accès au spectre en amplitude de l’objet diffractant. La diffraction est un phénomène visible pour toutes les phénomènes ondulatoires (pas que la lumière). Ainsi, les corpuscules matériels par leur caractère ondulatoir</w:t>
      </w:r>
      <w:r w:rsidR="009B03C5">
        <w:t>e sont aussi sujettes au phénomène de diffraction.</w:t>
      </w:r>
      <w:r w:rsidR="00377560">
        <w:t xml:space="preserve"> </w:t>
      </w:r>
      <w:r w:rsidR="00377560" w:rsidRPr="00377560">
        <w:t xml:space="preserve">En 1927, Clinton Davisson et Lester Germer ont bombardé une cible de nickel cristallin par des électrons. </w:t>
      </w:r>
      <w:r w:rsidR="00377560">
        <w:t>L</w:t>
      </w:r>
      <w:r w:rsidR="00377560" w:rsidRPr="00377560">
        <w:t xml:space="preserve">a figure de diffraction a été identifiée comme identique à celle </w:t>
      </w:r>
      <w:r w:rsidR="00377560">
        <w:t>obtenue</w:t>
      </w:r>
      <w:r w:rsidR="00377560" w:rsidRPr="00377560">
        <w:t xml:space="preserve"> par William Henry Bragg et William Lawrence Bragg pour les rayons X</w:t>
      </w:r>
      <w:r w:rsidR="00377560">
        <w:t xml:space="preserve"> (1913)</w:t>
      </w:r>
      <w:r w:rsidR="00377560" w:rsidRPr="00377560">
        <w:t>.</w:t>
      </w:r>
      <w:r w:rsidR="00377560">
        <w:t xml:space="preserve"> </w:t>
      </w:r>
      <w:r w:rsidR="00F96BBA">
        <w:t xml:space="preserve"> </w:t>
      </w:r>
    </w:p>
    <w:p w14:paraId="3E8442EF" w14:textId="73089A9F" w:rsidR="001D1D93" w:rsidRDefault="001D1D93" w:rsidP="001D1D93">
      <w:pPr>
        <w:pStyle w:val="ListParagraph"/>
        <w:autoSpaceDE w:val="0"/>
        <w:autoSpaceDN w:val="0"/>
        <w:adjustRightInd w:val="0"/>
        <w:spacing w:after="0" w:line="240" w:lineRule="auto"/>
        <w:rPr>
          <w:rFonts w:eastAsiaTheme="minorEastAsia"/>
        </w:rPr>
      </w:pPr>
    </w:p>
    <w:p w14:paraId="2C20B0C3" w14:textId="77777777" w:rsidR="001D1D93" w:rsidRPr="00FE6855" w:rsidRDefault="001D1D93" w:rsidP="001D1D93">
      <w:pPr>
        <w:pStyle w:val="ListParagraph"/>
        <w:autoSpaceDE w:val="0"/>
        <w:autoSpaceDN w:val="0"/>
        <w:adjustRightInd w:val="0"/>
        <w:spacing w:after="0" w:line="240" w:lineRule="auto"/>
      </w:pPr>
    </w:p>
    <w:p w14:paraId="745011E3" w14:textId="77777777" w:rsidR="00FE6855" w:rsidRPr="00D10B8B" w:rsidRDefault="00FE6855" w:rsidP="00823959">
      <w:pPr>
        <w:pStyle w:val="ListParagraph"/>
        <w:autoSpaceDE w:val="0"/>
        <w:autoSpaceDN w:val="0"/>
        <w:adjustRightInd w:val="0"/>
        <w:spacing w:after="0" w:line="240" w:lineRule="auto"/>
      </w:pPr>
    </w:p>
    <w:sectPr w:rsidR="00FE6855" w:rsidRPr="00D10B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6F603" w14:textId="77777777" w:rsidR="00CD476F" w:rsidRDefault="00CD476F" w:rsidP="002F6A5A">
      <w:pPr>
        <w:spacing w:after="0" w:line="240" w:lineRule="auto"/>
      </w:pPr>
      <w:r>
        <w:separator/>
      </w:r>
    </w:p>
  </w:endnote>
  <w:endnote w:type="continuationSeparator" w:id="0">
    <w:p w14:paraId="426D052C" w14:textId="77777777" w:rsidR="00CD476F" w:rsidRDefault="00CD476F" w:rsidP="002F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1C941" w14:textId="77777777" w:rsidR="00CD476F" w:rsidRDefault="00CD476F" w:rsidP="002F6A5A">
      <w:pPr>
        <w:spacing w:after="0" w:line="240" w:lineRule="auto"/>
      </w:pPr>
      <w:r>
        <w:separator/>
      </w:r>
    </w:p>
  </w:footnote>
  <w:footnote w:type="continuationSeparator" w:id="0">
    <w:p w14:paraId="63824245" w14:textId="77777777" w:rsidR="00CD476F" w:rsidRDefault="00CD476F" w:rsidP="002F6A5A">
      <w:pPr>
        <w:spacing w:after="0" w:line="240" w:lineRule="auto"/>
      </w:pPr>
      <w:r>
        <w:continuationSeparator/>
      </w:r>
    </w:p>
  </w:footnote>
  <w:footnote w:id="1">
    <w:p w14:paraId="4759FBD3" w14:textId="5D86E83F" w:rsidR="00A21AC6" w:rsidRDefault="00A21AC6">
      <w:pPr>
        <w:pStyle w:val="FootnoteText"/>
      </w:pPr>
      <w:r>
        <w:rPr>
          <w:rStyle w:val="FootnoteReference"/>
        </w:rPr>
        <w:footnoteRef/>
      </w:r>
      <w:r>
        <w:t xml:space="preserve"> L’expression de Q est donnée par la théorie de Kirchhoff. </w:t>
      </w:r>
      <m:oMath>
        <m:r>
          <w:rPr>
            <w:rFonts w:ascii="Cambria Math" w:hAnsi="Cambria Math"/>
          </w:rPr>
          <m:t>Q∝-</m:t>
        </m:r>
        <m:f>
          <m:fPr>
            <m:ctrlPr>
              <w:rPr>
                <w:rFonts w:ascii="Cambria Math" w:hAnsi="Cambria Math"/>
                <w:i/>
              </w:rPr>
            </m:ctrlPr>
          </m:fPr>
          <m:num>
            <m:r>
              <w:rPr>
                <w:rFonts w:ascii="Cambria Math" w:hAnsi="Cambria Math"/>
              </w:rPr>
              <m:t>i</m:t>
            </m:r>
          </m:num>
          <m:den>
            <m:r>
              <w:rPr>
                <w:rFonts w:ascii="Cambria Math" w:hAnsi="Cambria Math"/>
              </w:rPr>
              <m:t>λ</m:t>
            </m:r>
          </m:den>
        </m:f>
      </m:oMath>
      <w:r>
        <w:t xml:space="preserve"> . </w:t>
      </w:r>
      <w:r w:rsidRPr="007C3A23">
        <w:rPr>
          <w:b/>
          <w:bCs/>
          <w:color w:val="FF0000"/>
        </w:rPr>
        <w:t>Je souhaiter</w:t>
      </w:r>
      <w:r w:rsidR="007E59CD" w:rsidRPr="007C3A23">
        <w:rPr>
          <w:b/>
          <w:bCs/>
          <w:color w:val="FF0000"/>
        </w:rPr>
        <w:t xml:space="preserve">ais connaître les conditions pour admettre cette expression (approximation paraxiale, pupille de dimension qq mm (?), source et écran suffisamment éloigné de la pupille </w:t>
      </w:r>
      <m:oMath>
        <m:r>
          <m:rPr>
            <m:sty m:val="bi"/>
          </m:rPr>
          <w:rPr>
            <w:rFonts w:ascii="Cambria Math" w:hAnsi="Cambria Math"/>
            <w:color w:val="FF0000"/>
          </w:rPr>
          <m:t>d&gt;λ</m:t>
        </m:r>
      </m:oMath>
      <w:r w:rsidR="007E59CD" w:rsidRPr="007C3A23">
        <w:rPr>
          <w:b/>
          <w:bCs/>
          <w:color w:val="FF0000"/>
        </w:rPr>
        <w:t xml:space="preserve"> </w:t>
      </w:r>
    </w:p>
  </w:footnote>
  <w:footnote w:id="2">
    <w:p w14:paraId="7A131315" w14:textId="0406C429" w:rsidR="00A5317C" w:rsidRDefault="00A5317C">
      <w:pPr>
        <w:pStyle w:val="FootnoteText"/>
      </w:pPr>
      <w:r>
        <w:rPr>
          <w:rStyle w:val="FootnoteReference"/>
        </w:rPr>
        <w:footnoteRef/>
      </w:r>
      <w:r>
        <w:t xml:space="preserve"> A avoir en tête : La transmittance de la lentille annule le terme quadratique. </w:t>
      </w:r>
      <w:r>
        <w:rPr>
          <w:b/>
          <w:bCs/>
          <w:color w:val="FF0000"/>
        </w:rPr>
        <w:t xml:space="preserve">Je n’ai jamais réussi à faire le calcul. A réfléchir ensemble. </w:t>
      </w:r>
      <w:r>
        <w:t xml:space="preserve"> </w:t>
      </w:r>
    </w:p>
  </w:footnote>
  <w:footnote w:id="3">
    <w:p w14:paraId="644EF9F3" w14:textId="510C06B0" w:rsidR="00D9145B" w:rsidRDefault="00D9145B">
      <w:pPr>
        <w:pStyle w:val="FootnoteText"/>
      </w:pPr>
      <w:r>
        <w:rPr>
          <w:rStyle w:val="FootnoteReference"/>
        </w:rPr>
        <w:footnoteRef/>
      </w:r>
      <w:r>
        <w:t xml:space="preserve"> Il serait intéressant de discuter de </w:t>
      </w:r>
      <w:r w:rsidRPr="00944160">
        <w:rPr>
          <w:b/>
          <w:bCs/>
          <w:color w:val="FF0000"/>
        </w:rPr>
        <w:t>l’apodisation</w:t>
      </w:r>
      <w:r>
        <w:t xml:space="preserve">. Je n’ai pas pris le temps de bien travailler cette notion. </w:t>
      </w:r>
    </w:p>
  </w:footnote>
  <w:footnote w:id="4">
    <w:p w14:paraId="1B7662AC" w14:textId="61425E2F" w:rsidR="00420A04" w:rsidRDefault="00420A04">
      <w:pPr>
        <w:pStyle w:val="FootnoteText"/>
      </w:pPr>
      <w:r>
        <w:rPr>
          <w:rStyle w:val="FootnoteReference"/>
        </w:rPr>
        <w:footnoteRef/>
      </w:r>
      <w:r>
        <w:t xml:space="preserve"> Décroissance de l’intensité en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2</m:t>
                </m:r>
              </m:sup>
            </m:sSup>
          </m:den>
        </m:f>
      </m:oMath>
      <w:r>
        <w:rPr>
          <w:rFonts w:eastAsiaTheme="minorEastAsia"/>
        </w:rPr>
        <w:t xml:space="preserve"> avec </w:t>
      </w:r>
      <w:r w:rsidR="00266C9F">
        <w:rPr>
          <w:rFonts w:eastAsiaTheme="minorEastAsia"/>
        </w:rPr>
        <w:t>p le rang de l’harmonique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3BB"/>
    <w:multiLevelType w:val="hybridMultilevel"/>
    <w:tmpl w:val="8DA8F42A"/>
    <w:lvl w:ilvl="0" w:tplc="60CA9A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41138CC"/>
    <w:multiLevelType w:val="hybridMultilevel"/>
    <w:tmpl w:val="21AC4276"/>
    <w:lvl w:ilvl="0" w:tplc="41A821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504E77"/>
    <w:multiLevelType w:val="hybridMultilevel"/>
    <w:tmpl w:val="868ADCD4"/>
    <w:lvl w:ilvl="0" w:tplc="BADE71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F24CF7"/>
    <w:multiLevelType w:val="hybridMultilevel"/>
    <w:tmpl w:val="12C8D816"/>
    <w:lvl w:ilvl="0" w:tplc="ECECD69E">
      <w:start w:val="1"/>
      <w:numFmt w:val="decimal"/>
      <w:lvlText w:val="%1-"/>
      <w:lvlJc w:val="left"/>
      <w:pPr>
        <w:ind w:left="1440" w:hanging="360"/>
      </w:pPr>
      <w:rPr>
        <w:rFonts w:eastAsiaTheme="minorEastAsia"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B294B01"/>
    <w:multiLevelType w:val="hybridMultilevel"/>
    <w:tmpl w:val="8B9C8700"/>
    <w:lvl w:ilvl="0" w:tplc="EEDE599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52E30C10"/>
    <w:multiLevelType w:val="hybridMultilevel"/>
    <w:tmpl w:val="484AB20A"/>
    <w:lvl w:ilvl="0" w:tplc="9E00DA24">
      <w:start w:val="1"/>
      <w:numFmt w:val="upperLetter"/>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52E04B1"/>
    <w:multiLevelType w:val="hybridMultilevel"/>
    <w:tmpl w:val="773CA608"/>
    <w:lvl w:ilvl="0" w:tplc="6D026A1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5"/>
  </w:num>
  <w:num w:numId="3">
    <w:abstractNumId w:val="3"/>
  </w:num>
  <w:num w:numId="4">
    <w:abstractNumId w:val="21"/>
  </w:num>
  <w:num w:numId="5">
    <w:abstractNumId w:val="2"/>
  </w:num>
  <w:num w:numId="6">
    <w:abstractNumId w:val="7"/>
  </w:num>
  <w:num w:numId="7">
    <w:abstractNumId w:val="4"/>
  </w:num>
  <w:num w:numId="8">
    <w:abstractNumId w:val="16"/>
  </w:num>
  <w:num w:numId="9">
    <w:abstractNumId w:val="19"/>
  </w:num>
  <w:num w:numId="10">
    <w:abstractNumId w:val="20"/>
  </w:num>
  <w:num w:numId="11">
    <w:abstractNumId w:val="17"/>
  </w:num>
  <w:num w:numId="12">
    <w:abstractNumId w:val="5"/>
  </w:num>
  <w:num w:numId="13">
    <w:abstractNumId w:val="17"/>
    <w:lvlOverride w:ilvl="0">
      <w:startOverride w:val="1"/>
    </w:lvlOverride>
  </w:num>
  <w:num w:numId="14">
    <w:abstractNumId w:val="1"/>
  </w:num>
  <w:num w:numId="15">
    <w:abstractNumId w:val="10"/>
  </w:num>
  <w:num w:numId="16">
    <w:abstractNumId w:val="11"/>
  </w:num>
  <w:num w:numId="17">
    <w:abstractNumId w:val="6"/>
  </w:num>
  <w:num w:numId="18">
    <w:abstractNumId w:val="8"/>
  </w:num>
  <w:num w:numId="19">
    <w:abstractNumId w:val="13"/>
  </w:num>
  <w:num w:numId="20">
    <w:abstractNumId w:val="18"/>
  </w:num>
  <w:num w:numId="21">
    <w:abstractNumId w:val="0"/>
  </w:num>
  <w:num w:numId="22">
    <w:abstractNumId w:val="12"/>
  </w:num>
  <w:num w:numId="23">
    <w:abstractNumId w:val="17"/>
    <w:lvlOverride w:ilvl="0">
      <w:startOverride w:val="1"/>
    </w:lvlOverride>
  </w:num>
  <w:num w:numId="24">
    <w:abstractNumId w:val="9"/>
  </w:num>
  <w:num w:numId="25">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74EF"/>
    <w:rsid w:val="00023E3B"/>
    <w:rsid w:val="00040005"/>
    <w:rsid w:val="000426C6"/>
    <w:rsid w:val="00054031"/>
    <w:rsid w:val="000669A3"/>
    <w:rsid w:val="00070FED"/>
    <w:rsid w:val="0008063F"/>
    <w:rsid w:val="00086628"/>
    <w:rsid w:val="00090E3F"/>
    <w:rsid w:val="000C64F0"/>
    <w:rsid w:val="000E269E"/>
    <w:rsid w:val="000E3568"/>
    <w:rsid w:val="000F0B1C"/>
    <w:rsid w:val="00103845"/>
    <w:rsid w:val="00106BF1"/>
    <w:rsid w:val="00112123"/>
    <w:rsid w:val="00115C26"/>
    <w:rsid w:val="0012231E"/>
    <w:rsid w:val="001245F7"/>
    <w:rsid w:val="001423FA"/>
    <w:rsid w:val="00150D8C"/>
    <w:rsid w:val="001518B5"/>
    <w:rsid w:val="00155448"/>
    <w:rsid w:val="001616F2"/>
    <w:rsid w:val="00191476"/>
    <w:rsid w:val="001B3F89"/>
    <w:rsid w:val="001C286F"/>
    <w:rsid w:val="001D1D93"/>
    <w:rsid w:val="001F53DB"/>
    <w:rsid w:val="00215C57"/>
    <w:rsid w:val="00216670"/>
    <w:rsid w:val="00217980"/>
    <w:rsid w:val="00231625"/>
    <w:rsid w:val="00232EBF"/>
    <w:rsid w:val="00256A93"/>
    <w:rsid w:val="00266C9F"/>
    <w:rsid w:val="00293EC0"/>
    <w:rsid w:val="00295EF7"/>
    <w:rsid w:val="00296C97"/>
    <w:rsid w:val="002A7EAA"/>
    <w:rsid w:val="002B2A94"/>
    <w:rsid w:val="002B6916"/>
    <w:rsid w:val="002B70CC"/>
    <w:rsid w:val="002D1CCB"/>
    <w:rsid w:val="002F1756"/>
    <w:rsid w:val="002F6A5A"/>
    <w:rsid w:val="002F6ED4"/>
    <w:rsid w:val="00306CA3"/>
    <w:rsid w:val="0030725F"/>
    <w:rsid w:val="003325D4"/>
    <w:rsid w:val="00332F15"/>
    <w:rsid w:val="003518D3"/>
    <w:rsid w:val="00356756"/>
    <w:rsid w:val="00356E1D"/>
    <w:rsid w:val="00366B86"/>
    <w:rsid w:val="00377560"/>
    <w:rsid w:val="003818C5"/>
    <w:rsid w:val="00384F95"/>
    <w:rsid w:val="00396E4E"/>
    <w:rsid w:val="003A444B"/>
    <w:rsid w:val="003A752E"/>
    <w:rsid w:val="003B6488"/>
    <w:rsid w:val="003C42E3"/>
    <w:rsid w:val="003D0198"/>
    <w:rsid w:val="003E1E5C"/>
    <w:rsid w:val="003E4FD3"/>
    <w:rsid w:val="003E7DDE"/>
    <w:rsid w:val="003E7F8D"/>
    <w:rsid w:val="003F5D4D"/>
    <w:rsid w:val="004032B4"/>
    <w:rsid w:val="00406F7D"/>
    <w:rsid w:val="00415878"/>
    <w:rsid w:val="00420A04"/>
    <w:rsid w:val="00422AF3"/>
    <w:rsid w:val="00440E83"/>
    <w:rsid w:val="00447027"/>
    <w:rsid w:val="00447144"/>
    <w:rsid w:val="00465A32"/>
    <w:rsid w:val="004718DE"/>
    <w:rsid w:val="00492BCB"/>
    <w:rsid w:val="004A2411"/>
    <w:rsid w:val="004A78F7"/>
    <w:rsid w:val="004B24BF"/>
    <w:rsid w:val="004B4067"/>
    <w:rsid w:val="004B5F69"/>
    <w:rsid w:val="004D621C"/>
    <w:rsid w:val="004F5F5D"/>
    <w:rsid w:val="004F62D6"/>
    <w:rsid w:val="004F677E"/>
    <w:rsid w:val="005117CA"/>
    <w:rsid w:val="00540641"/>
    <w:rsid w:val="00547568"/>
    <w:rsid w:val="00552504"/>
    <w:rsid w:val="005528CB"/>
    <w:rsid w:val="00553957"/>
    <w:rsid w:val="00582FB9"/>
    <w:rsid w:val="00583B69"/>
    <w:rsid w:val="00596260"/>
    <w:rsid w:val="005968A7"/>
    <w:rsid w:val="005A2F18"/>
    <w:rsid w:val="005B4DC6"/>
    <w:rsid w:val="005C1E4B"/>
    <w:rsid w:val="005C5837"/>
    <w:rsid w:val="005D50E2"/>
    <w:rsid w:val="005D76FE"/>
    <w:rsid w:val="005E2692"/>
    <w:rsid w:val="005E5124"/>
    <w:rsid w:val="00613212"/>
    <w:rsid w:val="00631082"/>
    <w:rsid w:val="00632184"/>
    <w:rsid w:val="00645F88"/>
    <w:rsid w:val="006578BF"/>
    <w:rsid w:val="00664297"/>
    <w:rsid w:val="0066565B"/>
    <w:rsid w:val="0069281F"/>
    <w:rsid w:val="006B5513"/>
    <w:rsid w:val="006B5C5F"/>
    <w:rsid w:val="006C56FD"/>
    <w:rsid w:val="006D7C08"/>
    <w:rsid w:val="006E74B5"/>
    <w:rsid w:val="00701FB6"/>
    <w:rsid w:val="007101F2"/>
    <w:rsid w:val="0072209B"/>
    <w:rsid w:val="00725A42"/>
    <w:rsid w:val="00735DA6"/>
    <w:rsid w:val="00754036"/>
    <w:rsid w:val="00771BCA"/>
    <w:rsid w:val="00781C80"/>
    <w:rsid w:val="007A2A1D"/>
    <w:rsid w:val="007C3A23"/>
    <w:rsid w:val="007D0E2C"/>
    <w:rsid w:val="007D41AC"/>
    <w:rsid w:val="007E59CD"/>
    <w:rsid w:val="007E653D"/>
    <w:rsid w:val="007F4C6F"/>
    <w:rsid w:val="00810C2E"/>
    <w:rsid w:val="00820A6F"/>
    <w:rsid w:val="00823959"/>
    <w:rsid w:val="00841858"/>
    <w:rsid w:val="00843136"/>
    <w:rsid w:val="0085219B"/>
    <w:rsid w:val="00861322"/>
    <w:rsid w:val="00866A9A"/>
    <w:rsid w:val="00866EE9"/>
    <w:rsid w:val="008754D1"/>
    <w:rsid w:val="008774F8"/>
    <w:rsid w:val="00893F12"/>
    <w:rsid w:val="008A319A"/>
    <w:rsid w:val="008C0A08"/>
    <w:rsid w:val="008D171E"/>
    <w:rsid w:val="0090066B"/>
    <w:rsid w:val="009023DF"/>
    <w:rsid w:val="00915976"/>
    <w:rsid w:val="0091788A"/>
    <w:rsid w:val="009275E5"/>
    <w:rsid w:val="009411A4"/>
    <w:rsid w:val="0094228D"/>
    <w:rsid w:val="00944160"/>
    <w:rsid w:val="00985C66"/>
    <w:rsid w:val="009A0385"/>
    <w:rsid w:val="009A3FF7"/>
    <w:rsid w:val="009B03C5"/>
    <w:rsid w:val="009C4257"/>
    <w:rsid w:val="009C7BF0"/>
    <w:rsid w:val="009D7AB0"/>
    <w:rsid w:val="009F4D92"/>
    <w:rsid w:val="009F67A1"/>
    <w:rsid w:val="00A0248A"/>
    <w:rsid w:val="00A04687"/>
    <w:rsid w:val="00A05655"/>
    <w:rsid w:val="00A068F2"/>
    <w:rsid w:val="00A170CB"/>
    <w:rsid w:val="00A21AC6"/>
    <w:rsid w:val="00A369F0"/>
    <w:rsid w:val="00A44144"/>
    <w:rsid w:val="00A46D7B"/>
    <w:rsid w:val="00A51C83"/>
    <w:rsid w:val="00A5317C"/>
    <w:rsid w:val="00A6074A"/>
    <w:rsid w:val="00A609D1"/>
    <w:rsid w:val="00A6270C"/>
    <w:rsid w:val="00A67E6B"/>
    <w:rsid w:val="00A75D31"/>
    <w:rsid w:val="00A8427C"/>
    <w:rsid w:val="00A97E61"/>
    <w:rsid w:val="00AD1988"/>
    <w:rsid w:val="00AD3F58"/>
    <w:rsid w:val="00AE0606"/>
    <w:rsid w:val="00B13C8A"/>
    <w:rsid w:val="00B82AE3"/>
    <w:rsid w:val="00BA7380"/>
    <w:rsid w:val="00BE4CA1"/>
    <w:rsid w:val="00C0293C"/>
    <w:rsid w:val="00C050CF"/>
    <w:rsid w:val="00C31AA8"/>
    <w:rsid w:val="00C52FC3"/>
    <w:rsid w:val="00C63D82"/>
    <w:rsid w:val="00C73FD0"/>
    <w:rsid w:val="00C82B9A"/>
    <w:rsid w:val="00CA675B"/>
    <w:rsid w:val="00CA7C6D"/>
    <w:rsid w:val="00CB5191"/>
    <w:rsid w:val="00CC5ACA"/>
    <w:rsid w:val="00CD476F"/>
    <w:rsid w:val="00CD4C56"/>
    <w:rsid w:val="00CD5DA8"/>
    <w:rsid w:val="00CE440F"/>
    <w:rsid w:val="00D10B8B"/>
    <w:rsid w:val="00D13453"/>
    <w:rsid w:val="00D1596A"/>
    <w:rsid w:val="00D21409"/>
    <w:rsid w:val="00D273E5"/>
    <w:rsid w:val="00D32CA1"/>
    <w:rsid w:val="00D461BC"/>
    <w:rsid w:val="00D63643"/>
    <w:rsid w:val="00D65B55"/>
    <w:rsid w:val="00D76E78"/>
    <w:rsid w:val="00D82FAF"/>
    <w:rsid w:val="00D8388A"/>
    <w:rsid w:val="00D9145B"/>
    <w:rsid w:val="00D9401F"/>
    <w:rsid w:val="00DA0B78"/>
    <w:rsid w:val="00DB1D87"/>
    <w:rsid w:val="00DB64A3"/>
    <w:rsid w:val="00DD1AEC"/>
    <w:rsid w:val="00DE1493"/>
    <w:rsid w:val="00DE5B4B"/>
    <w:rsid w:val="00DE7A48"/>
    <w:rsid w:val="00DF37C5"/>
    <w:rsid w:val="00DF3A4F"/>
    <w:rsid w:val="00E12E30"/>
    <w:rsid w:val="00E23DB0"/>
    <w:rsid w:val="00E425CB"/>
    <w:rsid w:val="00E473D0"/>
    <w:rsid w:val="00E70242"/>
    <w:rsid w:val="00E74AF9"/>
    <w:rsid w:val="00EC155C"/>
    <w:rsid w:val="00EC682D"/>
    <w:rsid w:val="00EF1190"/>
    <w:rsid w:val="00EF1740"/>
    <w:rsid w:val="00EF1BD6"/>
    <w:rsid w:val="00F0501C"/>
    <w:rsid w:val="00F114C1"/>
    <w:rsid w:val="00F14F51"/>
    <w:rsid w:val="00F65C84"/>
    <w:rsid w:val="00F719EB"/>
    <w:rsid w:val="00F762DE"/>
    <w:rsid w:val="00F83D5A"/>
    <w:rsid w:val="00F96BBA"/>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09B"/>
    <w:pPr>
      <w:keepNext/>
      <w:keepLines/>
      <w:numPr>
        <w:numId w:val="11"/>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contextualSpacing/>
    </w:pPr>
  </w:style>
  <w:style w:type="paragraph" w:styleId="FootnoteText">
    <w:name w:val="footnote text"/>
    <w:basedOn w:val="Normal"/>
    <w:link w:val="FootnoteTextChar"/>
    <w:uiPriority w:val="99"/>
    <w:semiHidden/>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72209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604B-0FFE-4FEB-81A1-07EFD433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5</Pages>
  <Words>1496</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84</cp:revision>
  <dcterms:created xsi:type="dcterms:W3CDTF">2020-03-28T14:25:00Z</dcterms:created>
  <dcterms:modified xsi:type="dcterms:W3CDTF">2020-04-01T11:40:00Z</dcterms:modified>
</cp:coreProperties>
</file>