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E73DF" w14:textId="7B4A66E1" w:rsidR="00166721" w:rsidRDefault="007A0119" w:rsidP="00696E5B">
      <w:pPr>
        <w:pStyle w:val="Title"/>
      </w:pPr>
      <w:r>
        <w:t>LP4-Précession dans les domaines macroscopiques et microscopiques</w:t>
      </w:r>
    </w:p>
    <w:p w14:paraId="087B2233" w14:textId="2F931956" w:rsidR="004A0885" w:rsidRDefault="004A0885" w:rsidP="004A0885">
      <w:pPr>
        <w:ind w:left="0"/>
        <w:rPr>
          <w:b/>
          <w:bCs/>
        </w:rPr>
      </w:pPr>
      <w:r>
        <w:rPr>
          <w:b/>
          <w:bCs/>
        </w:rPr>
        <w:t xml:space="preserve"> </w:t>
      </w:r>
    </w:p>
    <w:p w14:paraId="274286A8" w14:textId="4F659E6A" w:rsidR="004A0885" w:rsidRDefault="004A0885" w:rsidP="004A0885">
      <w:pPr>
        <w:ind w:left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3010FEF" wp14:editId="5FD2EACD">
            <wp:simplePos x="0" y="0"/>
            <wp:positionH relativeFrom="column">
              <wp:posOffset>-45720</wp:posOffset>
            </wp:positionH>
            <wp:positionV relativeFrom="paragraph">
              <wp:posOffset>267970</wp:posOffset>
            </wp:positionV>
            <wp:extent cx="5760720" cy="641985"/>
            <wp:effectExtent l="0" t="0" r="0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2017 :</w:t>
      </w:r>
    </w:p>
    <w:p w14:paraId="2A1789E2" w14:textId="72182E6E" w:rsidR="004A0885" w:rsidRPr="004A0885" w:rsidRDefault="004A0885" w:rsidP="004A0885">
      <w:pPr>
        <w:ind w:left="0"/>
      </w:pPr>
      <w:r w:rsidRPr="004A0885">
        <w:rPr>
          <w:b/>
          <w:bCs/>
        </w:rPr>
        <w:t>2016</w:t>
      </w:r>
      <w:r>
        <w:t xml:space="preserve"> : 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44B3183" wp14:editId="13B7516C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760720" cy="32829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 passer trop de temps sur les aspects cinématiques</w:t>
      </w:r>
    </w:p>
    <w:p w14:paraId="3238107F" w14:textId="6E2AA684" w:rsidR="0062202B" w:rsidRDefault="004A0885" w:rsidP="0062202B">
      <w:pPr>
        <w:autoSpaceDE w:val="0"/>
        <w:autoSpaceDN w:val="0"/>
        <w:adjustRightInd w:val="0"/>
        <w:spacing w:after="0" w:line="240" w:lineRule="auto"/>
        <w:ind w:left="0"/>
        <w:contextualSpacing w:val="0"/>
        <w:jc w:val="left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b/>
          <w:bCs/>
          <w:sz w:val="20"/>
          <w:szCs w:val="20"/>
        </w:rPr>
        <w:t>2015</w:t>
      </w:r>
      <w:r w:rsidR="0062202B">
        <w:rPr>
          <w:rFonts w:ascii="ArialMT" w:hAnsi="ArialMT" w:cs="ArialMT"/>
          <w:sz w:val="20"/>
          <w:szCs w:val="20"/>
        </w:rPr>
        <w:t> : L</w:t>
      </w:r>
      <w:r w:rsidR="0062202B">
        <w:rPr>
          <w:rFonts w:ascii="ArialMT" w:hAnsi="ArialMT" w:cs="ArialMT"/>
          <w:sz w:val="20"/>
          <w:szCs w:val="20"/>
        </w:rPr>
        <w:t>a leçon « Précession dans les domaines macroscopique et microscopique » remplace la leçon</w:t>
      </w:r>
    </w:p>
    <w:p w14:paraId="46229992" w14:textId="13BC74C4" w:rsidR="0062202B" w:rsidRDefault="004A0885" w:rsidP="0062202B">
      <w:pPr>
        <w:autoSpaceDE w:val="0"/>
        <w:autoSpaceDN w:val="0"/>
        <w:adjustRightInd w:val="0"/>
        <w:spacing w:after="0" w:line="240" w:lineRule="auto"/>
        <w:ind w:left="0"/>
        <w:contextualSpacing w:val="0"/>
        <w:jc w:val="left"/>
        <w:rPr>
          <w:rFonts w:ascii="ArialMT" w:hAnsi="ArialMT" w:cs="ArialMT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499CF95" wp14:editId="086CE36D">
            <wp:simplePos x="0" y="0"/>
            <wp:positionH relativeFrom="margin">
              <wp:align>right</wp:align>
            </wp:positionH>
            <wp:positionV relativeFrom="paragraph">
              <wp:posOffset>410210</wp:posOffset>
            </wp:positionV>
            <wp:extent cx="5760720" cy="74803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202B">
        <w:rPr>
          <w:rFonts w:ascii="ArialMT" w:hAnsi="ArialMT" w:cs="ArialMT"/>
          <w:sz w:val="20"/>
          <w:szCs w:val="20"/>
        </w:rPr>
        <w:t>« Approximation gyroscopique. Effets dans les domaines macroscopique et microscopique », dont l'énoncé</w:t>
      </w:r>
      <w:r w:rsidR="0062202B">
        <w:rPr>
          <w:rFonts w:ascii="ArialMT" w:hAnsi="ArialMT" w:cs="ArialMT"/>
          <w:sz w:val="20"/>
          <w:szCs w:val="20"/>
        </w:rPr>
        <w:t xml:space="preserve"> </w:t>
      </w:r>
      <w:r w:rsidR="0062202B">
        <w:rPr>
          <w:rFonts w:ascii="ArialMT" w:hAnsi="ArialMT" w:cs="ArialMT"/>
          <w:sz w:val="20"/>
          <w:szCs w:val="20"/>
        </w:rPr>
        <w:t>pouvait conduire les candidats à des confusions</w:t>
      </w:r>
      <w:r w:rsidR="0062202B">
        <w:rPr>
          <w:rFonts w:ascii="ArialMT" w:hAnsi="ArialMT" w:cs="ArialMT"/>
          <w:sz w:val="20"/>
          <w:szCs w:val="20"/>
        </w:rPr>
        <w:t>.</w:t>
      </w:r>
    </w:p>
    <w:p w14:paraId="774A03AD" w14:textId="06F22D31" w:rsidR="004A0885" w:rsidRPr="0062202B" w:rsidRDefault="004A0885" w:rsidP="0062202B">
      <w:pPr>
        <w:autoSpaceDE w:val="0"/>
        <w:autoSpaceDN w:val="0"/>
        <w:adjustRightInd w:val="0"/>
        <w:spacing w:after="0" w:line="240" w:lineRule="auto"/>
        <w:ind w:left="0"/>
        <w:contextualSpacing w:val="0"/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7F9EDD3" wp14:editId="4A4F1584">
            <wp:simplePos x="0" y="0"/>
            <wp:positionH relativeFrom="margin">
              <wp:posOffset>7620</wp:posOffset>
            </wp:positionH>
            <wp:positionV relativeFrom="paragraph">
              <wp:posOffset>1033780</wp:posOffset>
            </wp:positionV>
            <wp:extent cx="5760720" cy="42379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E0B32A" w14:textId="77785FB3" w:rsidR="00696E5B" w:rsidRDefault="005320A3" w:rsidP="005320A3">
      <w:pPr>
        <w:pStyle w:val="Heading1"/>
      </w:pPr>
      <w:r>
        <w:t>Notes Taylor : Mécanique Classique</w:t>
      </w:r>
      <w:r w:rsidR="008E4664">
        <w:t xml:space="preserve"> Chapitre 10</w:t>
      </w:r>
    </w:p>
    <w:p w14:paraId="6B566A82" w14:textId="74714DF4" w:rsidR="008E4664" w:rsidRDefault="008E4664" w:rsidP="008E4664">
      <w:pPr>
        <w:pStyle w:val="NoSpacing"/>
      </w:pPr>
      <w:r>
        <w:t xml:space="preserve">Pour la mécanique des corps : </w:t>
      </w:r>
      <w:r w:rsidR="00411333">
        <w:t xml:space="preserve">La </w:t>
      </w:r>
      <w:r w:rsidR="00411333">
        <w:rPr>
          <w:b/>
          <w:bCs/>
        </w:rPr>
        <w:t xml:space="preserve">quantité de mouvement </w:t>
      </w:r>
      <w:r w:rsidR="00411333">
        <w:t xml:space="preserve">est égale à la quantité de mouvement du centre de masse auquel on attribue la masse totale du système. </w:t>
      </w:r>
      <w:r w:rsidR="00E049F4">
        <w:t xml:space="preserve">Le </w:t>
      </w:r>
      <w:r w:rsidR="00E049F4" w:rsidRPr="00E049F4">
        <w:rPr>
          <w:b/>
          <w:bCs/>
        </w:rPr>
        <w:lastRenderedPageBreak/>
        <w:t>taux de variation</w:t>
      </w:r>
      <w:r w:rsidR="00E049F4">
        <w:t xml:space="preserve"> de </w:t>
      </w:r>
      <w:r w:rsidR="00E049F4" w:rsidRPr="00E049F4">
        <w:t>la quantité de mouvement</w:t>
      </w:r>
      <w:r w:rsidR="00E049F4">
        <w:rPr>
          <w:b/>
          <w:bCs/>
        </w:rPr>
        <w:t xml:space="preserve"> </w:t>
      </w:r>
      <w:r w:rsidR="00E049F4">
        <w:t xml:space="preserve">est </w:t>
      </w:r>
      <w:r w:rsidR="009C2DBB">
        <w:t>égal</w:t>
      </w:r>
      <w:r w:rsidR="00E049F4">
        <w:t xml:space="preserve"> aux forces extérieures</w:t>
      </w:r>
      <w:r w:rsidR="00212009">
        <w:t xml:space="preserve"> s’exerçant sur le système</w:t>
      </w:r>
      <w:r w:rsidR="00E049F4">
        <w:t xml:space="preserve">. </w:t>
      </w:r>
    </w:p>
    <w:p w14:paraId="7C542F95" w14:textId="5F10E6CB" w:rsidR="00E049F4" w:rsidRDefault="009C2DBB" w:rsidP="008E4664">
      <w:pPr>
        <w:pStyle w:val="NoSpacing"/>
      </w:pPr>
      <w:r>
        <w:t xml:space="preserve">En ce qui concerne le </w:t>
      </w:r>
      <w:r w:rsidRPr="00D50B33">
        <w:rPr>
          <w:b/>
          <w:bCs/>
        </w:rPr>
        <w:t>moment cinétique</w:t>
      </w:r>
      <w:r w:rsidR="00DE1F24">
        <w:t xml:space="preserve">, il est la somme d’un </w:t>
      </w:r>
      <w:r w:rsidR="00DE1F24" w:rsidRPr="00D50B33">
        <w:rPr>
          <w:b/>
          <w:bCs/>
        </w:rPr>
        <w:t>moment cinétique orbital</w:t>
      </w:r>
      <w:r w:rsidR="00DE1F24">
        <w:t xml:space="preserve"> (moment cinétique du centre de masse auquel on attribue la masse total</w:t>
      </w:r>
      <w:r w:rsidR="00D50B33">
        <w:t>e</w:t>
      </w:r>
      <w:r w:rsidR="00DE1F24">
        <w:t xml:space="preserve"> du système) + d’un </w:t>
      </w:r>
      <w:r w:rsidR="00DE1F24" w:rsidRPr="00D50B33">
        <w:rPr>
          <w:b/>
          <w:bCs/>
        </w:rPr>
        <w:t>moment cinétique propre</w:t>
      </w:r>
      <w:r w:rsidR="00DE1F24">
        <w:t xml:space="preserve"> (moment cinétique du système </w:t>
      </w:r>
      <w:r w:rsidR="00F13BAC">
        <w:t>dans le référentiel du</w:t>
      </w:r>
      <w:r w:rsidR="00DE1F24">
        <w:t xml:space="preserve"> centre de masse)</w:t>
      </w:r>
    </w:p>
    <w:p w14:paraId="4AE240DE" w14:textId="517C8C01" w:rsidR="00DE1F24" w:rsidRPr="00311151" w:rsidRDefault="00D763DB" w:rsidP="00DE1F24">
      <w:pPr>
        <w:pStyle w:val="NoSpacing"/>
        <w:numPr>
          <w:ilvl w:val="0"/>
          <w:numId w:val="0"/>
        </w:numPr>
        <w:ind w:left="1428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orb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pr</m:t>
                  </m:r>
                </m:sub>
              </m:sSub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Théorème de Koenig</m:t>
                  </m:r>
                </m:e>
              </m:d>
            </m:e>
          </m:eqArr>
        </m:oMath>
      </m:oMathPara>
    </w:p>
    <w:p w14:paraId="7ED27C55" w14:textId="77777777" w:rsidR="00311151" w:rsidRPr="00311151" w:rsidRDefault="00311151" w:rsidP="00DE1F24">
      <w:pPr>
        <w:pStyle w:val="NoSpacing"/>
        <w:numPr>
          <w:ilvl w:val="0"/>
          <w:numId w:val="0"/>
        </w:numPr>
        <w:ind w:left="1428"/>
        <w:rPr>
          <w:rFonts w:eastAsiaTheme="minorEastAsia"/>
        </w:rPr>
      </w:pPr>
    </w:p>
    <w:p w14:paraId="36AE4E07" w14:textId="6C60BAB8" w:rsidR="005320A3" w:rsidRDefault="008A5DBC" w:rsidP="00645E5B">
      <w:pPr>
        <w:pStyle w:val="NoSpacing"/>
      </w:pPr>
      <w:r>
        <w:t xml:space="preserve">Le </w:t>
      </w:r>
      <w:r w:rsidRPr="001E4FC8">
        <w:rPr>
          <w:b/>
          <w:bCs/>
        </w:rPr>
        <w:t>taux de variation du moment cinétique</w:t>
      </w:r>
      <w:r>
        <w:t xml:space="preserve"> orbital est égal aux moments des forces extérieures s’exerçant sur le centre de masse. </w:t>
      </w:r>
      <w:r w:rsidR="00097733" w:rsidRPr="001E4FC8">
        <w:rPr>
          <w:b/>
          <w:bCs/>
        </w:rPr>
        <w:t>Le taux de variation</w:t>
      </w:r>
      <w:r w:rsidR="00097733">
        <w:t xml:space="preserve"> du moment cinétique propre est égal au moment des forces extérieures dans le référentiel barycentrique. </w:t>
      </w:r>
      <w:r w:rsidR="00097733" w:rsidRPr="00240EE7">
        <w:rPr>
          <w:i/>
          <w:iCs/>
          <w:color w:val="FF0000"/>
        </w:rPr>
        <w:t>Cette propriété est étonnante car le référentiel lié au centre d’inertie est souvent non galiléen</w:t>
      </w:r>
      <w:r w:rsidR="00097733">
        <w:t>…</w:t>
      </w:r>
    </w:p>
    <w:p w14:paraId="535E5155" w14:textId="59FB0613" w:rsidR="00BB479A" w:rsidRDefault="00BB479A" w:rsidP="00645E5B">
      <w:pPr>
        <w:pStyle w:val="NoSpacing"/>
      </w:pPr>
      <w:r>
        <w:t xml:space="preserve">La vitesse d’un point du système se définit facilement par rapport à l’axe de rotation : </w:t>
      </w:r>
    </w:p>
    <w:p w14:paraId="3331A6ED" w14:textId="61A3997A" w:rsidR="00A3345B" w:rsidRDefault="00D763DB" w:rsidP="00BB479A">
      <w:pPr>
        <w:pStyle w:val="NoSpacing"/>
        <w:numPr>
          <w:ilvl w:val="0"/>
          <w:numId w:val="0"/>
        </w:numPr>
        <w:ind w:left="2124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BB479A">
        <w:t xml:space="preserve"> .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BB479A">
        <w:rPr>
          <w:rFonts w:eastAsiaTheme="minorEastAsia"/>
        </w:rPr>
        <w:t xml:space="preserve"> </w:t>
      </w:r>
      <w:proofErr w:type="gramStart"/>
      <w:r w:rsidR="00BB479A">
        <w:rPr>
          <w:rFonts w:eastAsiaTheme="minorEastAsia"/>
        </w:rPr>
        <w:t>est</w:t>
      </w:r>
      <w:proofErr w:type="gramEnd"/>
      <w:r w:rsidR="00BB479A">
        <w:rPr>
          <w:rFonts w:eastAsiaTheme="minorEastAsia"/>
        </w:rPr>
        <w:t xml:space="preserve"> le vecteur reliant M à un point situé sur l’axe instantané de rotation. </w:t>
      </w:r>
      <w:r w:rsidR="008B1CDA">
        <w:rPr>
          <w:rFonts w:eastAsiaTheme="minorEastAsia"/>
        </w:rPr>
        <w:t>On suppose que le centre de masse du système est immobile sinon, il faut l’ajouter.</w:t>
      </w:r>
    </w:p>
    <w:p w14:paraId="48469BBA" w14:textId="7B85346B" w:rsidR="006E71BD" w:rsidRDefault="006E71BD" w:rsidP="008B1CDA">
      <w:pPr>
        <w:pStyle w:val="NoSpacing"/>
      </w:pPr>
      <w:r>
        <w:t>On se ramène toujours à un</w:t>
      </w:r>
      <w:r w:rsidR="00311151">
        <w:t xml:space="preserve"> </w:t>
      </w:r>
      <w:r w:rsidR="00311151" w:rsidRPr="006E71BD">
        <w:rPr>
          <w:b/>
          <w:bCs/>
        </w:rPr>
        <w:t>moment cinétique</w:t>
      </w:r>
      <w:r>
        <w:rPr>
          <w:b/>
          <w:bCs/>
        </w:rPr>
        <w:t xml:space="preserve"> </w:t>
      </w:r>
      <w:r w:rsidRPr="0056356A">
        <w:rPr>
          <w:b/>
          <w:bCs/>
        </w:rPr>
        <w:t>par rapport à un point fixe</w:t>
      </w:r>
      <w:r>
        <w:t xml:space="preserve"> du système. </w:t>
      </w:r>
      <w:r w:rsidR="00311151">
        <w:t>(</w:t>
      </w:r>
      <w:proofErr w:type="gramStart"/>
      <w:r w:rsidR="00311151">
        <w:t>si</w:t>
      </w:r>
      <w:proofErr w:type="gramEnd"/>
      <w:r w:rsidR="00311151">
        <w:t xml:space="preserve"> on </w:t>
      </w:r>
      <w:r w:rsidR="009C29BC">
        <w:t>n</w:t>
      </w:r>
      <w:r>
        <w:t>e</w:t>
      </w:r>
      <w:r w:rsidR="00311151">
        <w:t xml:space="preserve"> trouve pas</w:t>
      </w:r>
      <w:r>
        <w:t xml:space="preserve"> de point fixe</w:t>
      </w:r>
      <w:r w:rsidR="00311151">
        <w:t xml:space="preserve">, on utilise le </w:t>
      </w:r>
      <w:r w:rsidR="00683AE3">
        <w:t>T</w:t>
      </w:r>
      <w:r w:rsidR="00311151">
        <w:t xml:space="preserve">héorème de </w:t>
      </w:r>
      <w:r w:rsidR="00683AE3">
        <w:t>K</w:t>
      </w:r>
      <w:r w:rsidR="00311151">
        <w:t>oenig pour se placer dans le référentiel du centre d</w:t>
      </w:r>
      <w:r w:rsidR="001C047F">
        <w:t>e masse</w:t>
      </w:r>
      <w:r w:rsidR="00311151">
        <w:t xml:space="preserve"> du système.</w:t>
      </w:r>
      <w:r w:rsidR="001C047F">
        <w:t xml:space="preserve"> </w:t>
      </w:r>
      <w:r w:rsidR="00311151">
        <w:t xml:space="preserve"> </w:t>
      </w:r>
      <w:r w:rsidR="001C047F">
        <w:t>Le centre de masse est par définition immobile dans ce référentiel.</w:t>
      </w:r>
      <w:r>
        <w:t>)</w:t>
      </w:r>
      <w:r w:rsidR="00660E43">
        <w:t xml:space="preserve"> </w:t>
      </w:r>
    </w:p>
    <w:p w14:paraId="5C43DA86" w14:textId="6967F0FD" w:rsidR="008B1CDA" w:rsidRDefault="006203F9" w:rsidP="008B1CDA">
      <w:pPr>
        <w:pStyle w:val="NoSpacing"/>
      </w:pPr>
      <w:r>
        <w:t xml:space="preserve">Dans ce cas, le moment cinétique n’est pas toujours parallèle au vecteur rotation. </w:t>
      </w:r>
      <w:r w:rsidR="006A028C">
        <w:t xml:space="preserve">En revanche, on utilise la matrice d’inertie qui est un tenseur d’ordre 2 pour aboutir à la relation 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r>
          <w:rPr>
            <w:rFonts w:ascii="Cambria Math" w:hAnsi="Cambria Math"/>
          </w:rPr>
          <m:t>=I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w:rPr>
            <w:rFonts w:ascii="Cambria Math" w:hAnsi="Cambria Math"/>
          </w:rPr>
          <m:t xml:space="preserve">. </m:t>
        </m:r>
      </m:oMath>
      <w:r w:rsidR="0056356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I </m:t>
        </m:r>
      </m:oMath>
      <w:r w:rsidR="0056356A" w:rsidRPr="0056356A">
        <w:rPr>
          <w:rFonts w:eastAsiaTheme="minorEastAsia"/>
          <w:b/>
          <w:bCs/>
        </w:rPr>
        <w:t>est matrice d’inertie</w:t>
      </w:r>
      <w:r w:rsidR="0056356A">
        <w:rPr>
          <w:rFonts w:eastAsiaTheme="minorEastAsia"/>
        </w:rPr>
        <w:t xml:space="preserve"> qui est symétrique. </w:t>
      </w:r>
      <w:r w:rsidR="003F753E">
        <w:t>Les composantes de cette matrice sont appelé</w:t>
      </w:r>
      <w:r w:rsidR="00193C95">
        <w:t>e</w:t>
      </w:r>
      <w:r w:rsidR="003F753E">
        <w:t xml:space="preserve">s </w:t>
      </w:r>
      <w:r w:rsidR="003F753E" w:rsidRPr="003F753E">
        <w:rPr>
          <w:b/>
          <w:bCs/>
        </w:rPr>
        <w:t>moment d’inertie</w:t>
      </w:r>
      <w:r w:rsidR="003F753E">
        <w:t xml:space="preserve"> si ce sont les éléments diagonaux ou </w:t>
      </w:r>
      <w:r w:rsidR="003F753E" w:rsidRPr="003F753E">
        <w:rPr>
          <w:b/>
          <w:bCs/>
        </w:rPr>
        <w:t>produit d’inertie</w:t>
      </w:r>
      <w:r w:rsidR="003F753E">
        <w:t xml:space="preserve"> si ce sont les élément</w:t>
      </w:r>
      <w:r w:rsidR="00C221F7">
        <w:t>s</w:t>
      </w:r>
      <w:r w:rsidR="003F753E">
        <w:t xml:space="preserve"> non diagonaux. Pour les système possédant un plan de symétrie z=0, on remarque que les produits de symétrie intégrant sur la composante z s’annulent.</w:t>
      </w:r>
      <w:r w:rsidR="00193C95">
        <w:t xml:space="preserve"> </w:t>
      </w:r>
      <w:r w:rsidR="003F753E">
        <w:t xml:space="preserve"> </w:t>
      </w:r>
      <w:r w:rsidR="001D260E">
        <w:t xml:space="preserve">Donc, un solide avec une symétrie de rotation a tous ses produits d’inertie nuls. </w:t>
      </w:r>
    </w:p>
    <w:p w14:paraId="5395037C" w14:textId="215BBBB7" w:rsidR="00D71BD1" w:rsidRPr="007F793C" w:rsidRDefault="00D71BD1" w:rsidP="008B1CDA">
      <w:pPr>
        <w:pStyle w:val="NoSpacing"/>
      </w:pPr>
      <w:r>
        <w:t xml:space="preserve">Comme la matrice d’inertie est symétrique, il est possible de trouver une base </w:t>
      </w:r>
      <w:r w:rsidR="007F793C">
        <w:t xml:space="preserve">orthogonale </w:t>
      </w:r>
      <w:r>
        <w:t xml:space="preserve">(solidaire du point fixe </w:t>
      </w:r>
      <w:proofErr w:type="spellStart"/>
      <w:r>
        <w:t>ie</w:t>
      </w:r>
      <w:proofErr w:type="spellEnd"/>
      <w:r>
        <w:t xml:space="preserve"> origine du repère) dans lequel </w:t>
      </w:r>
      <w:r w:rsidR="007B6893">
        <w:t xml:space="preserve">on ne garde que les éléments diagonaux. </w:t>
      </w:r>
      <w:r w:rsidR="007F793C">
        <w:t xml:space="preserve">Ces axes sont appelés </w:t>
      </w:r>
      <w:r w:rsidR="007F793C" w:rsidRPr="007F793C">
        <w:rPr>
          <w:b/>
          <w:bCs/>
        </w:rPr>
        <w:t>axes principaux</w:t>
      </w:r>
      <w:r w:rsidR="007F793C">
        <w:t xml:space="preserve">. Si le vecteur rotation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w:rPr>
            <w:rFonts w:ascii="Cambria Math" w:hAnsi="Cambria Math"/>
          </w:rPr>
          <m:t xml:space="preserve">  </m:t>
        </m:r>
      </m:oMath>
      <w:r w:rsidR="007F793C">
        <w:rPr>
          <w:rFonts w:eastAsiaTheme="minorEastAsia"/>
        </w:rPr>
        <w:t xml:space="preserve">est parallèle à un de ces axes de rotation, alors le moment cinétique est parallèle à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ω</m:t>
            </m:r>
          </m:e>
        </m:acc>
        <m:r>
          <w:rPr>
            <w:rFonts w:ascii="Cambria Math" w:eastAsiaTheme="minorEastAsia" w:hAnsi="Cambria Math"/>
          </w:rPr>
          <m:t>.</m:t>
        </m:r>
      </m:oMath>
    </w:p>
    <w:p w14:paraId="573D1A4F" w14:textId="1A22D2C9" w:rsidR="007F793C" w:rsidRPr="00B864D9" w:rsidRDefault="006F6725" w:rsidP="008B1CDA">
      <w:pPr>
        <w:pStyle w:val="NoSpacing"/>
      </w:pPr>
      <w:r>
        <w:rPr>
          <w:rFonts w:eastAsiaTheme="minorEastAsia"/>
          <w:b/>
          <w:bCs/>
        </w:rPr>
        <w:t xml:space="preserve">Résultat important pour l’énergie cinétique : </w:t>
      </w:r>
      <m:oMath>
        <m:r>
          <m:rPr>
            <m:sty m:val="bi"/>
          </m:rP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="00B929A3">
        <w:rPr>
          <w:rFonts w:eastAsiaTheme="minorEastAsia"/>
          <w:b/>
          <w:bCs/>
        </w:rPr>
        <w:t xml:space="preserve"> </w:t>
      </w:r>
      <w:r w:rsidR="00B929A3">
        <w:rPr>
          <w:rFonts w:eastAsiaTheme="minorEastAsia"/>
        </w:rPr>
        <w:t>avec les valeurs propres (</w:t>
      </w:r>
      <w:proofErr w:type="spellStart"/>
      <w:r w:rsidR="00B929A3">
        <w:rPr>
          <w:rFonts w:eastAsiaTheme="minorEastAsia"/>
        </w:rPr>
        <w:t>ie</w:t>
      </w:r>
      <w:proofErr w:type="spellEnd"/>
      <w:r w:rsidR="00B929A3">
        <w:rPr>
          <w:rFonts w:eastAsiaTheme="minorEastAsia"/>
        </w:rPr>
        <w:t xml:space="preserve"> moment d’inertie selon les axes principaux). </w:t>
      </w:r>
    </w:p>
    <w:p w14:paraId="44FD1EE5" w14:textId="3940265E" w:rsidR="00B864D9" w:rsidRPr="001E1C62" w:rsidRDefault="002740A9" w:rsidP="008B1CDA">
      <w:pPr>
        <w:pStyle w:val="NoSpacing"/>
      </w:pPr>
      <w:r>
        <w:rPr>
          <w:b/>
          <w:bCs/>
        </w:rPr>
        <w:t xml:space="preserve">Précession d’une toupie soumise à un moment de force faible : </w:t>
      </w:r>
      <w:r w:rsidR="009B5261">
        <w:rPr>
          <w:b/>
          <w:bCs/>
        </w:rPr>
        <w:t xml:space="preserve"> </w:t>
      </w:r>
      <w:r w:rsidR="009B5261">
        <w:t xml:space="preserve">On suppose que la toupie tourne autour de son axe de symétrie qui est un axe principal. Donc le moment cinétique est parallèle à l’axe principal. </w:t>
      </w:r>
      <w:proofErr w:type="gramStart"/>
      <w:r w:rsidR="0032348B">
        <w:t>Si il</w:t>
      </w:r>
      <w:proofErr w:type="gramEnd"/>
      <w:r w:rsidR="0032348B">
        <w:t xml:space="preserve"> n’y a pas de moment de force, il n’y a pas de variation du moment cinétique dont pas de variation du vecteur rotation. </w:t>
      </w:r>
      <w:r w:rsidR="002D769F">
        <w:t xml:space="preserve">En revanche, les forces de pesanteurs induisent un moment non nul si la toupie fait un angle </w:t>
      </w:r>
      <m:oMath>
        <m:r>
          <w:rPr>
            <w:rFonts w:ascii="Cambria Math" w:hAnsi="Cambria Math"/>
          </w:rPr>
          <m:t xml:space="preserve">θ </m:t>
        </m:r>
      </m:oMath>
      <w:r w:rsidR="002D769F">
        <w:rPr>
          <w:rFonts w:eastAsiaTheme="minorEastAsia"/>
        </w:rPr>
        <w:t>avec la verticale</w:t>
      </w:r>
      <w:r w:rsidR="00B02B9A">
        <w:rPr>
          <w:rFonts w:eastAsiaTheme="minorEastAsia"/>
        </w:rPr>
        <w:t xml:space="preserve"> et donc une variation du vecteur rotation a lieu.</w:t>
      </w:r>
      <w:r w:rsidR="007E185E">
        <w:rPr>
          <w:rFonts w:eastAsiaTheme="minorEastAsia"/>
        </w:rPr>
        <w:t xml:space="preserve"> Si le moment des forces est faible, on peut faire une approximation et considérer que les composantes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E185E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E185E">
        <w:rPr>
          <w:rFonts w:eastAsiaTheme="minorEastAsia"/>
        </w:rPr>
        <w:t xml:space="preserve"> restent négligeable : Le moment cinétique continu à être parallèle 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="0092138A">
        <w:rPr>
          <w:rFonts w:eastAsiaTheme="minorEastAsia"/>
        </w:rPr>
        <w:t xml:space="preserve"> Le théorème du moment cinétique </w:t>
      </w:r>
      <w:r w:rsidR="00C95C9D">
        <w:rPr>
          <w:rFonts w:eastAsiaTheme="minorEastAsia"/>
        </w:rPr>
        <w:t xml:space="preserve">permet d’exprimer dans cette approximation la variation du vecteur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="00C95C9D">
        <w:rPr>
          <w:rFonts w:eastAsiaTheme="minorEastAsia"/>
        </w:rPr>
        <w:t xml:space="preserve"> On remarque qu’il tourne autour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 w:rsidR="00C95C9D">
        <w:rPr>
          <w:rFonts w:eastAsiaTheme="minorEastAsia"/>
        </w:rPr>
        <w:t xml:space="preserve"> avec </w:t>
      </w:r>
      <w:r w:rsidR="00C95C9D">
        <w:rPr>
          <w:rFonts w:eastAsiaTheme="minorEastAsia"/>
        </w:rPr>
        <w:lastRenderedPageBreak/>
        <w:t xml:space="preserve">une vitesse de rotation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MgR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ω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="00820539">
        <w:rPr>
          <w:rFonts w:eastAsiaTheme="minorEastAsia"/>
        </w:rPr>
        <w:t xml:space="preserve"> (R étant la distance du point fixe au centre de </w:t>
      </w:r>
      <w:r w:rsidR="00A54BD5">
        <w:rPr>
          <w:rFonts w:eastAsiaTheme="minorEastAsia"/>
        </w:rPr>
        <w:t>masse</w:t>
      </w:r>
      <w:r w:rsidR="00820539">
        <w:rPr>
          <w:rFonts w:eastAsiaTheme="minorEastAsia"/>
        </w:rPr>
        <w:t>.</w:t>
      </w:r>
      <w:r w:rsidR="00254D05">
        <w:rPr>
          <w:rFonts w:eastAsiaTheme="minorEastAsia"/>
        </w:rPr>
        <w:t xml:space="preserve"> Ce mouvement s’appelle </w:t>
      </w:r>
      <w:r w:rsidR="00254D05" w:rsidRPr="00254D05">
        <w:rPr>
          <w:rFonts w:eastAsiaTheme="minorEastAsia"/>
          <w:b/>
          <w:bCs/>
        </w:rPr>
        <w:t>précession</w:t>
      </w:r>
      <w:r w:rsidR="00254D05">
        <w:rPr>
          <w:rFonts w:eastAsiaTheme="minorEastAsia"/>
        </w:rPr>
        <w:t>.</w:t>
      </w:r>
      <w:r w:rsidR="00820539">
        <w:rPr>
          <w:rFonts w:eastAsiaTheme="minorEastAsia"/>
        </w:rPr>
        <w:t xml:space="preserve"> </w:t>
      </w:r>
    </w:p>
    <w:p w14:paraId="0709CC1F" w14:textId="290D2B94" w:rsidR="0040085B" w:rsidRDefault="001E1C62" w:rsidP="008B1CDA">
      <w:pPr>
        <w:pStyle w:val="NoSpacing"/>
      </w:pPr>
      <w:r>
        <w:rPr>
          <w:b/>
          <w:bCs/>
        </w:rPr>
        <w:t>Equation d’</w:t>
      </w:r>
      <w:r w:rsidR="009E68F3">
        <w:rPr>
          <w:b/>
          <w:bCs/>
        </w:rPr>
        <w:t>E</w:t>
      </w:r>
      <w:r>
        <w:rPr>
          <w:b/>
          <w:bCs/>
        </w:rPr>
        <w:t>uler :</w:t>
      </w:r>
      <w:r w:rsidR="00DC6F8B">
        <w:rPr>
          <w:b/>
          <w:bCs/>
        </w:rPr>
        <w:t xml:space="preserve"> </w:t>
      </w:r>
      <w:r w:rsidR="00DC6F8B">
        <w:t>Il y a deux référentiels</w:t>
      </w:r>
      <w:r w:rsidR="006964B1">
        <w:t xml:space="preserve">. Le référentiel inertiel et le référentiel lié au corps en mouvement. On choisit comme origine un point fixe ou le centre de masse. </w:t>
      </w:r>
      <w:r w:rsidR="00240EE7">
        <w:t>Pour appliquer le théorème du moment cinétique, nous avons vu qu’il faut soit se placer dans le référentiel d’inertie</w:t>
      </w:r>
      <w:r w:rsidR="00F05C1E">
        <w:t xml:space="preserve"> (terrestre)</w:t>
      </w:r>
      <w:r w:rsidR="00240EE7">
        <w:t>. Ou le référentiel du centre de masse (</w:t>
      </w:r>
      <w:r w:rsidR="00240EE7" w:rsidRPr="00240EE7">
        <w:rPr>
          <w:color w:val="FF0000"/>
        </w:rPr>
        <w:t>on s’est d’ailleurs étonné que ce référentiel présente une forme similaire du</w:t>
      </w:r>
      <w:r w:rsidR="00240EE7">
        <w:t xml:space="preserve"> théorème du moment cinétique </w:t>
      </w:r>
      <w:proofErr w:type="spellStart"/>
      <w:r w:rsidR="00240EE7">
        <w:t>cf</w:t>
      </w:r>
      <w:proofErr w:type="spellEnd"/>
      <w:r w:rsidR="00240EE7">
        <w:t xml:space="preserve"> plus haut). Attention, le référentiel du centre de masse n’est pas un référentiel tournant !!!!</w:t>
      </w:r>
      <w:r w:rsidR="004C6F6B">
        <w:t xml:space="preserve"> C’est juste le référentiel en translation</w:t>
      </w:r>
      <w:r w:rsidR="00F05C1E">
        <w:t xml:space="preserve"> par rapport au référentiel inertiel</w:t>
      </w:r>
      <w:r w:rsidR="004C6F6B">
        <w:t xml:space="preserve"> </w:t>
      </w:r>
      <w:r w:rsidR="00F05C1E">
        <w:t>centré</w:t>
      </w:r>
      <w:r w:rsidR="004C6F6B">
        <w:t xml:space="preserve"> </w:t>
      </w:r>
      <w:r w:rsidR="00F05C1E">
        <w:t>sur</w:t>
      </w:r>
      <w:r w:rsidR="004C6F6B">
        <w:t xml:space="preserve"> centre de masse ! </w:t>
      </w:r>
      <w:r w:rsidR="0040085B">
        <w:t xml:space="preserve">En utilisant les formules de dérivations de vecteur, on a : </w:t>
      </w:r>
    </w:p>
    <w:p w14:paraId="3CF07EC9" w14:textId="17D9A057" w:rsidR="001E1C62" w:rsidRPr="00D03D3B" w:rsidRDefault="00D763DB" w:rsidP="0040085B">
      <w:pPr>
        <w:pStyle w:val="NoSpacing"/>
        <w:numPr>
          <w:ilvl w:val="0"/>
          <w:numId w:val="0"/>
        </w:numPr>
        <w:ind w:left="142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inertiel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tournant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</m:oMath>
      </m:oMathPara>
    </w:p>
    <w:p w14:paraId="7AA23041" w14:textId="325ED738" w:rsidR="005A126C" w:rsidRDefault="00D03D3B" w:rsidP="0040085B">
      <w:pPr>
        <w:pStyle w:val="NoSpacing"/>
        <w:numPr>
          <w:ilvl w:val="0"/>
          <w:numId w:val="0"/>
        </w:numPr>
        <w:ind w:left="1428"/>
        <w:rPr>
          <w:rFonts w:eastAsiaTheme="minorEastAsia"/>
        </w:rPr>
      </w:pPr>
      <w:r>
        <w:rPr>
          <w:rFonts w:eastAsiaTheme="minorEastAsia"/>
        </w:rPr>
        <w:t xml:space="preserve">Donc par application du théorème du moment cinétique :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</m:acc>
      </m:oMath>
      <w:r w:rsidR="00CF2893">
        <w:rPr>
          <w:rFonts w:eastAsiaTheme="minorEastAsia"/>
        </w:rPr>
        <w:t xml:space="preserve"> où la dérivée est prise dans le référentiel tournant qui est le référentiel d’axe principaux ! </w:t>
      </w:r>
    </w:p>
    <w:p w14:paraId="3FBEF1A1" w14:textId="33F845E4" w:rsidR="00015544" w:rsidRDefault="00015544" w:rsidP="0040085B">
      <w:pPr>
        <w:pStyle w:val="NoSpacing"/>
        <w:numPr>
          <w:ilvl w:val="0"/>
          <w:numId w:val="0"/>
        </w:numPr>
        <w:ind w:left="1428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225834" wp14:editId="52ABF325">
            <wp:simplePos x="0" y="0"/>
            <wp:positionH relativeFrom="margin">
              <wp:posOffset>1365885</wp:posOffset>
            </wp:positionH>
            <wp:positionV relativeFrom="paragraph">
              <wp:posOffset>523875</wp:posOffset>
            </wp:positionV>
            <wp:extent cx="3922395" cy="721360"/>
            <wp:effectExtent l="0" t="0" r="1905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239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893">
        <w:rPr>
          <w:rFonts w:eastAsiaTheme="minorEastAsia"/>
        </w:rPr>
        <w:t xml:space="preserve">Donc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3A6D39">
        <w:rPr>
          <w:rFonts w:eastAsiaTheme="minorEastAsia"/>
        </w:rPr>
        <w:t>.</w:t>
      </w:r>
    </w:p>
    <w:p w14:paraId="2888730F" w14:textId="6450F574" w:rsidR="008A0EE5" w:rsidRDefault="00C64DD7" w:rsidP="00CE4A66">
      <w:pPr>
        <w:pStyle w:val="NoSpacing"/>
        <w:numPr>
          <w:ilvl w:val="0"/>
          <w:numId w:val="0"/>
        </w:numPr>
        <w:ind w:left="1428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F05C1E">
        <w:rPr>
          <w:rFonts w:eastAsiaTheme="minorEastAsia"/>
        </w:rPr>
        <w:t xml:space="preserve">Dans le cas de la toupie,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Γ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</m:oMath>
      <w:r w:rsidR="00F05C1E">
        <w:rPr>
          <w:rFonts w:eastAsiaTheme="minorEastAsia"/>
        </w:rPr>
        <w:t xml:space="preserve"> est nul car le moment de pesanteur est orthogonal à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.</m:t>
        </m:r>
      </m:oMath>
      <w:r w:rsidR="003A7C5A">
        <w:rPr>
          <w:rFonts w:eastAsiaTheme="minorEastAsia"/>
        </w:rPr>
        <w:t xml:space="preserve"> De plus, la géométrie de la toupie fait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A7C5A">
        <w:rPr>
          <w:rFonts w:eastAsiaTheme="minorEastAsia"/>
        </w:rPr>
        <w:t xml:space="preserve">. Donc,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=0.</m:t>
        </m:r>
      </m:oMath>
      <w:r w:rsidR="003A7C5A">
        <w:rPr>
          <w:rFonts w:eastAsiaTheme="minorEastAsia"/>
        </w:rPr>
        <w:t xml:space="preserve"> En revanche,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A7C5A">
        <w:rPr>
          <w:rFonts w:eastAsiaTheme="minorEastAsia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A7C5A">
        <w:rPr>
          <w:rFonts w:eastAsiaTheme="minorEastAsia"/>
        </w:rPr>
        <w:t xml:space="preserve"> oscillent rapidement car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A7C5A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A7C5A">
        <w:rPr>
          <w:rFonts w:eastAsiaTheme="minorEastAsia"/>
        </w:rPr>
        <w:t xml:space="preserve"> oscillent rapidement. Ils ont aussi une amplitude </w:t>
      </w:r>
      <w:r w:rsidR="003A7C5A" w:rsidRPr="008A0EE5">
        <w:rPr>
          <w:rFonts w:eastAsiaTheme="minorEastAsia"/>
          <w:highlight w:val="yellow"/>
        </w:rPr>
        <w:t>faible (Justification ?)</w:t>
      </w:r>
    </w:p>
    <w:p w14:paraId="10E55629" w14:textId="5B51967A" w:rsidR="00CE4A66" w:rsidRPr="00BC1014" w:rsidRDefault="00CE4A66" w:rsidP="00CE4A66">
      <w:pPr>
        <w:pStyle w:val="NoSpacing"/>
      </w:pPr>
      <w:r>
        <w:rPr>
          <w:b/>
          <w:bCs/>
        </w:rPr>
        <w:t>Equations d’</w:t>
      </w:r>
      <w:r w:rsidR="00A57788">
        <w:rPr>
          <w:b/>
          <w:bCs/>
        </w:rPr>
        <w:t>E</w:t>
      </w:r>
      <w:r>
        <w:rPr>
          <w:b/>
          <w:bCs/>
        </w:rPr>
        <w:t>uler + moment de forces nuls (mouvement à la</w:t>
      </w:r>
      <w:r w:rsidRPr="00CE4A66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P</w:t>
      </w:r>
      <w:r w:rsidRPr="00CE4A66">
        <w:rPr>
          <w:b/>
          <w:bCs/>
          <w:i/>
          <w:iCs/>
        </w:rPr>
        <w:t>oinsot</w:t>
      </w:r>
      <w:r>
        <w:rPr>
          <w:b/>
          <w:bCs/>
        </w:rPr>
        <w:t>)</w:t>
      </w:r>
    </w:p>
    <w:p w14:paraId="5D926166" w14:textId="20C9E9C1" w:rsidR="00BC1014" w:rsidRDefault="00BC1014" w:rsidP="001333CD">
      <w:pPr>
        <w:pStyle w:val="NoSpacing"/>
        <w:numPr>
          <w:ilvl w:val="0"/>
          <w:numId w:val="0"/>
        </w:numPr>
        <w:ind w:left="1428"/>
        <w:rPr>
          <w:rFonts w:eastAsiaTheme="minorEastAsia"/>
        </w:rPr>
      </w:pPr>
      <w:r>
        <w:rPr>
          <w:b/>
          <w:bCs/>
        </w:rPr>
        <w:t xml:space="preserve">Cas où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 </m:t>
        </m:r>
      </m:oMath>
      <w:r>
        <w:rPr>
          <w:rFonts w:eastAsiaTheme="minorEastAsia"/>
          <w:b/>
          <w:bCs/>
        </w:rPr>
        <w:t>:</w:t>
      </w:r>
      <w:r w:rsidR="000E0898">
        <w:rPr>
          <w:rFonts w:eastAsiaTheme="minorEastAsia"/>
          <w:b/>
          <w:bCs/>
        </w:rPr>
        <w:t xml:space="preserve"> </w:t>
      </w:r>
      <w:r w:rsidR="00431C12">
        <w:rPr>
          <w:rFonts w:eastAsiaTheme="minorEastAsia"/>
          <w:b/>
          <w:bCs/>
        </w:rPr>
        <w:t>En</w:t>
      </w:r>
      <w:r w:rsidR="00905F3A">
        <w:rPr>
          <w:rFonts w:eastAsiaTheme="minorEastAsia"/>
        </w:rPr>
        <w:t xml:space="preserve"> observant les équations d’</w:t>
      </w:r>
      <w:r w:rsidR="006B730E">
        <w:rPr>
          <w:rFonts w:eastAsiaTheme="minorEastAsia"/>
        </w:rPr>
        <w:t>E</w:t>
      </w:r>
      <w:r w:rsidR="00905F3A">
        <w:rPr>
          <w:rFonts w:eastAsiaTheme="minorEastAsia"/>
        </w:rPr>
        <w:t xml:space="preserve">uler, on remarque que si l’on commence à tourner autour d’un axe principal, on continue à tourner autour de cet axe principal. En effet, 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</m:oMath>
      <w:r w:rsidR="00905F3A">
        <w:rPr>
          <w:rFonts w:eastAsiaTheme="minorEastAsia"/>
        </w:rPr>
        <w:t xml:space="preserve">alors le vecteur rotation reste constant. </w:t>
      </w:r>
      <w:r w:rsidR="00FD7181">
        <w:rPr>
          <w:rFonts w:eastAsiaTheme="minorEastAsia"/>
        </w:rPr>
        <w:t xml:space="preserve">En revanche, il est intéressant de se demander si ces « positions de stabilité » sont stables. </w:t>
      </w:r>
      <w:r w:rsidR="00ED2192">
        <w:rPr>
          <w:rFonts w:eastAsiaTheme="minorEastAsia"/>
        </w:rPr>
        <w:t>On montre qu’un</w:t>
      </w:r>
      <w:r w:rsidR="00334BF4">
        <w:rPr>
          <w:rFonts w:eastAsiaTheme="minorEastAsia"/>
        </w:rPr>
        <w:t>e</w:t>
      </w:r>
      <w:r w:rsidR="00ED2192">
        <w:rPr>
          <w:rFonts w:eastAsiaTheme="minorEastAsia"/>
        </w:rPr>
        <w:t xml:space="preserve"> petite perturbation est contr</w:t>
      </w:r>
      <w:r w:rsidR="006B730E">
        <w:rPr>
          <w:rFonts w:eastAsiaTheme="minorEastAsia"/>
        </w:rPr>
        <w:t>ô</w:t>
      </w:r>
      <w:r w:rsidR="00ED2192">
        <w:rPr>
          <w:rFonts w:eastAsiaTheme="minorEastAsia"/>
        </w:rPr>
        <w:t>lé</w:t>
      </w:r>
      <w:r w:rsidR="006B730E">
        <w:rPr>
          <w:rFonts w:eastAsiaTheme="minorEastAsia"/>
        </w:rPr>
        <w:t>e</w:t>
      </w:r>
      <w:r w:rsidR="00ED2192">
        <w:rPr>
          <w:rFonts w:eastAsiaTheme="minorEastAsia"/>
        </w:rPr>
        <w:t xml:space="preserve"> si la rotation a lieu suivant l’axe de plus fort ou de plus faible moment d’inertie. Les solutions sont alors sinuso</w:t>
      </w:r>
      <w:r w:rsidR="001449AA">
        <w:rPr>
          <w:rFonts w:eastAsiaTheme="minorEastAsia"/>
        </w:rPr>
        <w:t>ï</w:t>
      </w:r>
      <w:r w:rsidR="00ED2192">
        <w:rPr>
          <w:rFonts w:eastAsiaTheme="minorEastAsia"/>
        </w:rPr>
        <w:t>dales pour les petites composantes du vecteur rotation.</w:t>
      </w:r>
    </w:p>
    <w:p w14:paraId="1257E2C8" w14:textId="4EAE5429" w:rsidR="001333CD" w:rsidRDefault="001333CD" w:rsidP="001333CD">
      <w:pPr>
        <w:pStyle w:val="NoSpacing"/>
        <w:numPr>
          <w:ilvl w:val="0"/>
          <w:numId w:val="0"/>
        </w:numPr>
        <w:ind w:left="1428"/>
        <w:rPr>
          <w:rFonts w:eastAsiaTheme="minorEastAsia"/>
        </w:rPr>
      </w:pPr>
      <w:r>
        <w:rPr>
          <w:b/>
          <w:bCs/>
        </w:rPr>
        <w:t xml:space="preserve">Cas où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 </m:t>
        </m:r>
      </m:oMath>
      <w:r>
        <w:rPr>
          <w:rFonts w:eastAsiaTheme="minorEastAsia"/>
          <w:b/>
          <w:bCs/>
        </w:rPr>
        <w:t>:</w:t>
      </w:r>
      <w:r w:rsidR="00CD1341">
        <w:rPr>
          <w:rFonts w:eastAsiaTheme="minorEastAsia"/>
          <w:b/>
          <w:bCs/>
        </w:rPr>
        <w:t xml:space="preserve"> </w:t>
      </w:r>
      <w:r w:rsidR="00CD1341">
        <w:rPr>
          <w:rFonts w:eastAsiaTheme="minorEastAsia"/>
        </w:rPr>
        <w:t xml:space="preserve">Des équations </w:t>
      </w:r>
      <w:proofErr w:type="spellStart"/>
      <w:r w:rsidR="00CD1341">
        <w:rPr>
          <w:rFonts w:eastAsiaTheme="minorEastAsia"/>
        </w:rPr>
        <w:t>d’euler</w:t>
      </w:r>
      <w:proofErr w:type="spellEnd"/>
      <w:r w:rsidR="00CD1341">
        <w:rPr>
          <w:rFonts w:eastAsiaTheme="minorEastAsia"/>
        </w:rPr>
        <w:t xml:space="preserve">, on en déduit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CD1341">
        <w:rPr>
          <w:rFonts w:eastAsiaTheme="minorEastAsia"/>
        </w:rPr>
        <w:t xml:space="preserve"> est constant. </w:t>
      </w:r>
      <w:r w:rsidR="004006CD">
        <w:rPr>
          <w:rFonts w:eastAsiaTheme="minorEastAsia"/>
        </w:rPr>
        <w:t xml:space="preserve">Et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006CD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4006CD">
        <w:rPr>
          <w:rFonts w:eastAsiaTheme="minorEastAsia"/>
        </w:rPr>
        <w:t xml:space="preserve">sont sinusoïdales de pulsation. Les vecteurs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  <m:r>
          <w:rPr>
            <w:rFonts w:ascii="Cambria Math" w:eastAsiaTheme="minorEastAsia" w:hAnsi="Cambria Math"/>
          </w:rPr>
          <m:t xml:space="preserve"> et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ω</m:t>
            </m:r>
          </m:e>
        </m:acc>
      </m:oMath>
      <w:r w:rsidR="004006CD">
        <w:rPr>
          <w:rFonts w:eastAsiaTheme="minorEastAsia"/>
        </w:rPr>
        <w:t xml:space="preserve"> sont dans un même plan. Si on se place dans le référentiel du corps,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  <m:r>
          <w:rPr>
            <w:rFonts w:ascii="Cambria Math" w:eastAsiaTheme="minorEastAsia" w:hAnsi="Cambria Math"/>
          </w:rPr>
          <m:t xml:space="preserve"> et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ω</m:t>
            </m:r>
          </m:e>
        </m:acc>
      </m:oMath>
      <w:r w:rsidR="004006CD">
        <w:rPr>
          <w:rFonts w:eastAsiaTheme="minorEastAsia"/>
        </w:rPr>
        <w:t xml:space="preserve"> tournent autour de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4006CD">
        <w:rPr>
          <w:rFonts w:eastAsiaTheme="minorEastAsia"/>
        </w:rPr>
        <w:t>avec la pu</w:t>
      </w:r>
      <w:proofErr w:type="spellStart"/>
      <w:r w:rsidR="004006CD">
        <w:rPr>
          <w:rFonts w:eastAsiaTheme="minorEastAsia"/>
        </w:rPr>
        <w:t>lsation</w:t>
      </w:r>
      <w:proofErr w:type="spellEnd"/>
      <w:r w:rsidR="004006C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006CD">
        <w:rPr>
          <w:rFonts w:eastAsiaTheme="minorEastAsia"/>
        </w:rPr>
        <w:t xml:space="preserve">. Si on se place dans le </w:t>
      </w:r>
      <w:r w:rsidR="004006CD" w:rsidRPr="00B71A26">
        <w:rPr>
          <w:rFonts w:eastAsiaTheme="minorEastAsia"/>
          <w:i/>
          <w:iCs/>
        </w:rPr>
        <w:t>référentiel de l’espace</w:t>
      </w:r>
      <w:r w:rsidR="004006CD">
        <w:rPr>
          <w:rFonts w:eastAsiaTheme="minorEastAsia"/>
        </w:rPr>
        <w:t xml:space="preserve"> (</w:t>
      </w:r>
      <w:proofErr w:type="spellStart"/>
      <w:r w:rsidR="004006CD">
        <w:rPr>
          <w:rFonts w:eastAsiaTheme="minorEastAsia"/>
        </w:rPr>
        <w:t>ie</w:t>
      </w:r>
      <w:proofErr w:type="spellEnd"/>
      <w:r w:rsidR="004006CD">
        <w:rPr>
          <w:rFonts w:eastAsiaTheme="minorEastAsia"/>
        </w:rPr>
        <w:t xml:space="preserve"> pas le référentiel tournant), alors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</m:oMath>
      <w:r w:rsidR="004006CD">
        <w:rPr>
          <w:rFonts w:eastAsiaTheme="minorEastAsia"/>
        </w:rPr>
        <w:t xml:space="preserve"> est constant (théorème du moment d’inertie [valable aussi dans le </w:t>
      </w:r>
      <w:proofErr w:type="spellStart"/>
      <w:r w:rsidR="004006CD">
        <w:rPr>
          <w:rFonts w:eastAsiaTheme="minorEastAsia"/>
        </w:rPr>
        <w:t>ref</w:t>
      </w:r>
      <w:proofErr w:type="spellEnd"/>
      <w:r w:rsidR="004006CD">
        <w:rPr>
          <w:rFonts w:eastAsiaTheme="minorEastAsia"/>
        </w:rPr>
        <w:t xml:space="preserve"> barycentrique])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,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ω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4006CD">
        <w:rPr>
          <w:rFonts w:eastAsiaTheme="minorEastAsia"/>
        </w:rPr>
        <w:t xml:space="preserve">tournent autour à la pulsation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.</m:t>
        </m:r>
      </m:oMath>
    </w:p>
    <w:p w14:paraId="10DF84C3" w14:textId="1C4B3592" w:rsidR="004006CD" w:rsidRPr="00AD5E73" w:rsidRDefault="00925371" w:rsidP="00925371">
      <w:pPr>
        <w:pStyle w:val="NoSpacing"/>
      </w:pPr>
      <w:r>
        <w:rPr>
          <w:b/>
          <w:bCs/>
        </w:rPr>
        <w:t>Angles d’</w:t>
      </w:r>
      <w:r w:rsidR="00EC3AA8">
        <w:rPr>
          <w:b/>
          <w:bCs/>
        </w:rPr>
        <w:t>E</w:t>
      </w:r>
      <w:r>
        <w:rPr>
          <w:b/>
          <w:bCs/>
        </w:rPr>
        <w:t xml:space="preserve">uler : </w:t>
      </w:r>
      <w:r w:rsidR="00053872">
        <w:rPr>
          <w:b/>
          <w:bCs/>
        </w:rPr>
        <w:t xml:space="preserve">Comment comprendre les 3 angles </w:t>
      </w:r>
      <w:proofErr w:type="spellStart"/>
      <w:r w:rsidR="00053872">
        <w:rPr>
          <w:b/>
          <w:bCs/>
        </w:rPr>
        <w:t>d’euler</w:t>
      </w:r>
      <w:proofErr w:type="spellEnd"/>
      <w:r w:rsidR="00053872">
        <w:rPr>
          <w:b/>
          <w:bCs/>
        </w:rPr>
        <w:t xml:space="preserve"> ? </w:t>
      </w:r>
      <w:r w:rsidR="00053872">
        <w:t>Dans la convention du Taylor (différente</w:t>
      </w:r>
      <w:r w:rsidR="0063388A">
        <w:t xml:space="preserve"> mais plus intuitive que</w:t>
      </w:r>
      <w:r w:rsidR="00053872">
        <w:t xml:space="preserve"> celle du </w:t>
      </w:r>
      <w:proofErr w:type="spellStart"/>
      <w:r w:rsidR="00053872">
        <w:t>pérez</w:t>
      </w:r>
      <w:proofErr w:type="spellEnd"/>
      <w:r w:rsidR="00053872">
        <w:t>)</w:t>
      </w:r>
      <w:r w:rsidR="0063388A">
        <w:t xml:space="preserve">, 3 opérations sont nécessaires pour repérer la toupie. </w:t>
      </w:r>
      <w:r w:rsidR="00147061">
        <w:t xml:space="preserve">La première rotation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ϕ)</m:t>
        </m:r>
      </m:oMath>
      <w:r w:rsidR="00147061">
        <w:t xml:space="preserve"> permet de définir la direction vers laquelle la toupie va se pencher. La deuxième rotation (</w:t>
      </w:r>
      <m:oMath>
        <m:r>
          <w:rPr>
            <w:rFonts w:ascii="Cambria Math" w:hAnsi="Cambria Math"/>
          </w:rPr>
          <m:t xml:space="preserve">θ), </m:t>
        </m:r>
      </m:oMath>
      <w:r w:rsidR="00147061">
        <w:rPr>
          <w:rFonts w:eastAsiaTheme="minorEastAsia"/>
        </w:rPr>
        <w:t xml:space="preserve">définit l’angle d’inclinaison de la toupie. </w:t>
      </w:r>
      <w:r w:rsidR="00431C12">
        <w:rPr>
          <w:rFonts w:eastAsiaTheme="minorEastAsia"/>
        </w:rPr>
        <w:t xml:space="preserve">Ces </w:t>
      </w:r>
      <w:bookmarkStart w:id="0" w:name="_GoBack"/>
      <w:bookmarkEnd w:id="0"/>
      <w:r w:rsidR="00431C12">
        <w:rPr>
          <w:rFonts w:eastAsiaTheme="minorEastAsia"/>
        </w:rPr>
        <w:t xml:space="preserve">deux angles ne sont rien du plus que les fameux angles des </w:t>
      </w:r>
      <w:r w:rsidR="00431C12">
        <w:rPr>
          <w:rFonts w:eastAsiaTheme="minorEastAsia"/>
        </w:rPr>
        <w:lastRenderedPageBreak/>
        <w:t xml:space="preserve">coordonnées cylindriques. </w:t>
      </w:r>
      <w:r w:rsidR="00631073">
        <w:rPr>
          <w:rFonts w:eastAsiaTheme="minorEastAsia"/>
        </w:rPr>
        <w:t>Enfin, le dernier angle (</w:t>
      </w:r>
      <m:oMath>
        <m:r>
          <w:rPr>
            <w:rFonts w:ascii="Cambria Math" w:eastAsiaTheme="minorEastAsia" w:hAnsi="Cambria Math"/>
          </w:rPr>
          <m:t>ψ)</m:t>
        </m:r>
      </m:oMath>
      <w:r w:rsidR="00631073">
        <w:rPr>
          <w:rFonts w:eastAsiaTheme="minorEastAsia"/>
        </w:rPr>
        <w:t xml:space="preserve">  permet de décrire la « rotation de la toupie sur elle-même ».</w:t>
      </w:r>
      <w:r w:rsidR="00854C69">
        <w:rPr>
          <w:rFonts w:eastAsiaTheme="minorEastAsia"/>
        </w:rPr>
        <w:t xml:space="preserve"> A chaque rotation, on passe d’un repère à un autre. Cela permet de faciliter l’expression du vecteur </w:t>
      </w:r>
      <w:proofErr w:type="gramStart"/>
      <w:r w:rsidR="00854C69">
        <w:rPr>
          <w:rFonts w:eastAsiaTheme="minorEastAsia"/>
        </w:rPr>
        <w:t>rotation total</w:t>
      </w:r>
      <w:proofErr w:type="gramEnd"/>
      <w:r w:rsidR="00854C69">
        <w:rPr>
          <w:rFonts w:eastAsiaTheme="minorEastAsia"/>
        </w:rPr>
        <w:t xml:space="preserve"> par addition (propriété des vecteurs rotation).</w:t>
      </w:r>
    </w:p>
    <w:p w14:paraId="0C52DC09" w14:textId="423A2ED5" w:rsidR="00AD5E73" w:rsidRPr="000A443B" w:rsidRDefault="00AD5E73" w:rsidP="00AD5E73">
      <w:pPr>
        <w:pStyle w:val="NoSpacing"/>
      </w:pPr>
      <w:r>
        <w:rPr>
          <w:b/>
          <w:bCs/>
        </w:rPr>
        <w:t xml:space="preserve">Expression du vecteur rotation :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ϕ</m:t>
            </m:r>
          </m:e>
        </m:acc>
        <m:acc>
          <m:accPr>
            <m:chr m:val="⃗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+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acc>
        <m:r>
          <w:rPr>
            <w:rFonts w:ascii="Cambria Math" w:hAnsi="Cambria Math"/>
          </w:rPr>
          <m:t>+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ψ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</w:p>
    <w:p w14:paraId="4D238748" w14:textId="4CF94105" w:rsidR="000A443B" w:rsidRDefault="004D0EA3" w:rsidP="00AD5E73">
      <w:pPr>
        <w:pStyle w:val="NoSpacing"/>
      </w:pPr>
      <w:r>
        <w:t xml:space="preserve">On vient d’exprimer le vecteur rotation suivant 3 axes principaux, donc on est capable de calculer l’énergie cinétique et le moment cinétique. </w:t>
      </w:r>
    </w:p>
    <w:p w14:paraId="11403995" w14:textId="77777777" w:rsidR="009E49FE" w:rsidRPr="00CD1341" w:rsidRDefault="009E49FE" w:rsidP="00AD5E73">
      <w:pPr>
        <w:pStyle w:val="NoSpacing"/>
      </w:pPr>
    </w:p>
    <w:sectPr w:rsidR="009E49FE" w:rsidRPr="00CD1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7EDDC" w14:textId="77777777" w:rsidR="00D763DB" w:rsidRDefault="00D763DB" w:rsidP="00696E5B">
      <w:r>
        <w:separator/>
      </w:r>
    </w:p>
  </w:endnote>
  <w:endnote w:type="continuationSeparator" w:id="0">
    <w:p w14:paraId="1EE05A2B" w14:textId="77777777" w:rsidR="00D763DB" w:rsidRDefault="00D763DB" w:rsidP="00696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35935" w14:textId="77777777" w:rsidR="00D763DB" w:rsidRDefault="00D763DB" w:rsidP="00696E5B">
      <w:r>
        <w:separator/>
      </w:r>
    </w:p>
  </w:footnote>
  <w:footnote w:type="continuationSeparator" w:id="0">
    <w:p w14:paraId="1F19BDAA" w14:textId="77777777" w:rsidR="00D763DB" w:rsidRDefault="00D763DB" w:rsidP="00696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7946"/>
    <w:multiLevelType w:val="hybridMultilevel"/>
    <w:tmpl w:val="230CEF94"/>
    <w:lvl w:ilvl="0" w:tplc="9D2C2E7C">
      <w:start w:val="1"/>
      <w:numFmt w:val="upperLetter"/>
      <w:pStyle w:val="Heading2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3B5348"/>
    <w:multiLevelType w:val="hybridMultilevel"/>
    <w:tmpl w:val="651EC534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D307555"/>
    <w:multiLevelType w:val="hybridMultilevel"/>
    <w:tmpl w:val="D4D6CAA0"/>
    <w:lvl w:ilvl="0" w:tplc="76DAE30C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08E2C18"/>
    <w:multiLevelType w:val="hybridMultilevel"/>
    <w:tmpl w:val="BBE8430A"/>
    <w:lvl w:ilvl="0" w:tplc="535E9B48">
      <w:start w:val="2009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1032B1C"/>
    <w:multiLevelType w:val="hybridMultilevel"/>
    <w:tmpl w:val="E9342E5C"/>
    <w:lvl w:ilvl="0" w:tplc="F16C4AB8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6C166BE"/>
    <w:multiLevelType w:val="hybridMultilevel"/>
    <w:tmpl w:val="889067C0"/>
    <w:lvl w:ilvl="0" w:tplc="B23C24A2">
      <w:numFmt w:val="bullet"/>
      <w:pStyle w:val="NoSpacing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AFE1DB7"/>
    <w:multiLevelType w:val="hybridMultilevel"/>
    <w:tmpl w:val="FB08EC66"/>
    <w:lvl w:ilvl="0" w:tplc="C74C2890">
      <w:start w:val="1"/>
      <w:numFmt w:val="decimal"/>
      <w:pStyle w:val="Heading3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A4FCD"/>
    <w:multiLevelType w:val="hybridMultilevel"/>
    <w:tmpl w:val="3D7AF622"/>
    <w:lvl w:ilvl="0" w:tplc="8CF883B6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5BA54CA"/>
    <w:multiLevelType w:val="hybridMultilevel"/>
    <w:tmpl w:val="5F70A96A"/>
    <w:lvl w:ilvl="0" w:tplc="F2E4D420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41994DB5"/>
    <w:multiLevelType w:val="hybridMultilevel"/>
    <w:tmpl w:val="59F205D8"/>
    <w:lvl w:ilvl="0" w:tplc="A154A83C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43736F8"/>
    <w:multiLevelType w:val="hybridMultilevel"/>
    <w:tmpl w:val="757A2BFA"/>
    <w:lvl w:ilvl="0" w:tplc="1480CBA0">
      <w:start w:val="1"/>
      <w:numFmt w:val="upperLetter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3D11E51"/>
    <w:multiLevelType w:val="hybridMultilevel"/>
    <w:tmpl w:val="6B94A04E"/>
    <w:lvl w:ilvl="0" w:tplc="5864500A">
      <w:start w:val="1"/>
      <w:numFmt w:val="upperRoman"/>
      <w:pStyle w:val="Heading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757B1"/>
    <w:multiLevelType w:val="hybridMultilevel"/>
    <w:tmpl w:val="230ABF02"/>
    <w:lvl w:ilvl="0" w:tplc="416C3AD4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60D2D88"/>
    <w:multiLevelType w:val="hybridMultilevel"/>
    <w:tmpl w:val="6246B37A"/>
    <w:lvl w:ilvl="0" w:tplc="C19C39B6">
      <w:start w:val="1"/>
      <w:numFmt w:val="lowerLetter"/>
      <w:pStyle w:val="Heading4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F671C2"/>
    <w:multiLevelType w:val="hybridMultilevel"/>
    <w:tmpl w:val="A0A210DE"/>
    <w:lvl w:ilvl="0" w:tplc="7E4232B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C911830"/>
    <w:multiLevelType w:val="hybridMultilevel"/>
    <w:tmpl w:val="169CD8F2"/>
    <w:lvl w:ilvl="0" w:tplc="4B5443E4">
      <w:start w:val="2009"/>
      <w:numFmt w:val="bullet"/>
      <w:lvlText w:val=""/>
      <w:lvlJc w:val="left"/>
      <w:pPr>
        <w:ind w:left="1428" w:hanging="360"/>
      </w:pPr>
      <w:rPr>
        <w:rFonts w:ascii="Wingdings" w:eastAsiaTheme="minorHAnsi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2"/>
  </w:num>
  <w:num w:numId="5">
    <w:abstractNumId w:val="13"/>
  </w:num>
  <w:num w:numId="6">
    <w:abstractNumId w:val="9"/>
  </w:num>
  <w:num w:numId="7">
    <w:abstractNumId w:val="13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15"/>
  </w:num>
  <w:num w:numId="10">
    <w:abstractNumId w:val="0"/>
  </w:num>
  <w:num w:numId="11">
    <w:abstractNumId w:val="3"/>
  </w:num>
  <w:num w:numId="12">
    <w:abstractNumId w:val="4"/>
  </w:num>
  <w:num w:numId="13">
    <w:abstractNumId w:val="12"/>
  </w:num>
  <w:num w:numId="14">
    <w:abstractNumId w:val="7"/>
  </w:num>
  <w:num w:numId="15">
    <w:abstractNumId w:val="8"/>
  </w:num>
  <w:num w:numId="16">
    <w:abstractNumId w:val="1"/>
  </w:num>
  <w:num w:numId="17">
    <w:abstractNumId w:val="10"/>
  </w:num>
  <w:num w:numId="18">
    <w:abstractNumId w:val="0"/>
    <w:lvlOverride w:ilvl="0">
      <w:startOverride w:val="1"/>
    </w:lvlOverride>
  </w:num>
  <w:num w:numId="19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90"/>
    <w:rsid w:val="00000A90"/>
    <w:rsid w:val="000074EF"/>
    <w:rsid w:val="0001060F"/>
    <w:rsid w:val="00012DED"/>
    <w:rsid w:val="00015544"/>
    <w:rsid w:val="00023E3B"/>
    <w:rsid w:val="0003131B"/>
    <w:rsid w:val="00034E69"/>
    <w:rsid w:val="0003729B"/>
    <w:rsid w:val="00040005"/>
    <w:rsid w:val="000426C6"/>
    <w:rsid w:val="00047D1A"/>
    <w:rsid w:val="00050946"/>
    <w:rsid w:val="0005201C"/>
    <w:rsid w:val="00053872"/>
    <w:rsid w:val="00054031"/>
    <w:rsid w:val="000543CF"/>
    <w:rsid w:val="00062CEC"/>
    <w:rsid w:val="0006413B"/>
    <w:rsid w:val="00064A6E"/>
    <w:rsid w:val="00065EEE"/>
    <w:rsid w:val="000669A3"/>
    <w:rsid w:val="00070FED"/>
    <w:rsid w:val="00071F81"/>
    <w:rsid w:val="00073DA7"/>
    <w:rsid w:val="00075FE6"/>
    <w:rsid w:val="0008063F"/>
    <w:rsid w:val="000808E6"/>
    <w:rsid w:val="00086628"/>
    <w:rsid w:val="00087500"/>
    <w:rsid w:val="00090E3F"/>
    <w:rsid w:val="00097733"/>
    <w:rsid w:val="000A00B1"/>
    <w:rsid w:val="000A0D4A"/>
    <w:rsid w:val="000A404F"/>
    <w:rsid w:val="000A443B"/>
    <w:rsid w:val="000A7BF2"/>
    <w:rsid w:val="000A7FFE"/>
    <w:rsid w:val="000B419D"/>
    <w:rsid w:val="000B7BD7"/>
    <w:rsid w:val="000C64E4"/>
    <w:rsid w:val="000C64F0"/>
    <w:rsid w:val="000D09CB"/>
    <w:rsid w:val="000D6593"/>
    <w:rsid w:val="000D7BBD"/>
    <w:rsid w:val="000E0898"/>
    <w:rsid w:val="000E269E"/>
    <w:rsid w:val="000E3286"/>
    <w:rsid w:val="000E3547"/>
    <w:rsid w:val="000E3568"/>
    <w:rsid w:val="000F0B1C"/>
    <w:rsid w:val="000F3E94"/>
    <w:rsid w:val="00103845"/>
    <w:rsid w:val="00106BF1"/>
    <w:rsid w:val="00112123"/>
    <w:rsid w:val="00114315"/>
    <w:rsid w:val="00114C03"/>
    <w:rsid w:val="00115C26"/>
    <w:rsid w:val="00117A99"/>
    <w:rsid w:val="00120AAF"/>
    <w:rsid w:val="0012103B"/>
    <w:rsid w:val="0012231E"/>
    <w:rsid w:val="001245F7"/>
    <w:rsid w:val="001333B4"/>
    <w:rsid w:val="001333CD"/>
    <w:rsid w:val="001372A6"/>
    <w:rsid w:val="001423FA"/>
    <w:rsid w:val="0014282F"/>
    <w:rsid w:val="001449AA"/>
    <w:rsid w:val="00147061"/>
    <w:rsid w:val="00147602"/>
    <w:rsid w:val="00147CC6"/>
    <w:rsid w:val="00150D8C"/>
    <w:rsid w:val="00151503"/>
    <w:rsid w:val="001518B5"/>
    <w:rsid w:val="00151C08"/>
    <w:rsid w:val="001536B7"/>
    <w:rsid w:val="00155448"/>
    <w:rsid w:val="00155919"/>
    <w:rsid w:val="001609EA"/>
    <w:rsid w:val="001616F2"/>
    <w:rsid w:val="001659ED"/>
    <w:rsid w:val="00166721"/>
    <w:rsid w:val="001735C3"/>
    <w:rsid w:val="0017651B"/>
    <w:rsid w:val="00176F2A"/>
    <w:rsid w:val="001806D6"/>
    <w:rsid w:val="00187001"/>
    <w:rsid w:val="00191476"/>
    <w:rsid w:val="0019346B"/>
    <w:rsid w:val="00193C95"/>
    <w:rsid w:val="00194131"/>
    <w:rsid w:val="00195422"/>
    <w:rsid w:val="001957AF"/>
    <w:rsid w:val="001A1C04"/>
    <w:rsid w:val="001A21B9"/>
    <w:rsid w:val="001B3F89"/>
    <w:rsid w:val="001B456F"/>
    <w:rsid w:val="001B7569"/>
    <w:rsid w:val="001B7D9A"/>
    <w:rsid w:val="001C047F"/>
    <w:rsid w:val="001C286F"/>
    <w:rsid w:val="001D19AD"/>
    <w:rsid w:val="001D1B5E"/>
    <w:rsid w:val="001D1D93"/>
    <w:rsid w:val="001D260E"/>
    <w:rsid w:val="001D378E"/>
    <w:rsid w:val="001D40F8"/>
    <w:rsid w:val="001D6522"/>
    <w:rsid w:val="001D7B61"/>
    <w:rsid w:val="001E015D"/>
    <w:rsid w:val="001E119E"/>
    <w:rsid w:val="001E1C62"/>
    <w:rsid w:val="001E4FC8"/>
    <w:rsid w:val="001E56B6"/>
    <w:rsid w:val="001F11E5"/>
    <w:rsid w:val="001F4BB3"/>
    <w:rsid w:val="001F5376"/>
    <w:rsid w:val="001F53DB"/>
    <w:rsid w:val="001F6E7F"/>
    <w:rsid w:val="00200B28"/>
    <w:rsid w:val="0020739B"/>
    <w:rsid w:val="00212009"/>
    <w:rsid w:val="0021584E"/>
    <w:rsid w:val="00215C57"/>
    <w:rsid w:val="00216670"/>
    <w:rsid w:val="00217980"/>
    <w:rsid w:val="00225D6F"/>
    <w:rsid w:val="00227333"/>
    <w:rsid w:val="00231625"/>
    <w:rsid w:val="00232B99"/>
    <w:rsid w:val="00232EBF"/>
    <w:rsid w:val="00240EE7"/>
    <w:rsid w:val="00245991"/>
    <w:rsid w:val="002538D3"/>
    <w:rsid w:val="00254D05"/>
    <w:rsid w:val="00255939"/>
    <w:rsid w:val="00256A93"/>
    <w:rsid w:val="00264513"/>
    <w:rsid w:val="00264A8F"/>
    <w:rsid w:val="00266C9F"/>
    <w:rsid w:val="002709FF"/>
    <w:rsid w:val="002740A9"/>
    <w:rsid w:val="00277239"/>
    <w:rsid w:val="00282DF1"/>
    <w:rsid w:val="00285793"/>
    <w:rsid w:val="00287724"/>
    <w:rsid w:val="0029149F"/>
    <w:rsid w:val="00292B7F"/>
    <w:rsid w:val="00293EC0"/>
    <w:rsid w:val="00295EF7"/>
    <w:rsid w:val="00296339"/>
    <w:rsid w:val="00296C97"/>
    <w:rsid w:val="00297919"/>
    <w:rsid w:val="002A60C6"/>
    <w:rsid w:val="002A643A"/>
    <w:rsid w:val="002A70CB"/>
    <w:rsid w:val="002A7461"/>
    <w:rsid w:val="002A7EAA"/>
    <w:rsid w:val="002B084E"/>
    <w:rsid w:val="002B0DCF"/>
    <w:rsid w:val="002B2A94"/>
    <w:rsid w:val="002B4816"/>
    <w:rsid w:val="002B60E5"/>
    <w:rsid w:val="002B6916"/>
    <w:rsid w:val="002B6CEE"/>
    <w:rsid w:val="002B70CC"/>
    <w:rsid w:val="002C2E94"/>
    <w:rsid w:val="002C7405"/>
    <w:rsid w:val="002D0B5E"/>
    <w:rsid w:val="002D1CCB"/>
    <w:rsid w:val="002D2B05"/>
    <w:rsid w:val="002D3FBF"/>
    <w:rsid w:val="002D769F"/>
    <w:rsid w:val="002E4AF4"/>
    <w:rsid w:val="002E7B24"/>
    <w:rsid w:val="002F0C48"/>
    <w:rsid w:val="002F1756"/>
    <w:rsid w:val="002F254C"/>
    <w:rsid w:val="002F4D06"/>
    <w:rsid w:val="002F6A5A"/>
    <w:rsid w:val="002F6ED4"/>
    <w:rsid w:val="00302156"/>
    <w:rsid w:val="00306CA3"/>
    <w:rsid w:val="0030725F"/>
    <w:rsid w:val="0031098A"/>
    <w:rsid w:val="00311151"/>
    <w:rsid w:val="00312CF6"/>
    <w:rsid w:val="0032348B"/>
    <w:rsid w:val="00327969"/>
    <w:rsid w:val="00330ACD"/>
    <w:rsid w:val="00331619"/>
    <w:rsid w:val="003325D4"/>
    <w:rsid w:val="00332F15"/>
    <w:rsid w:val="00333D0D"/>
    <w:rsid w:val="00334BF4"/>
    <w:rsid w:val="00340323"/>
    <w:rsid w:val="0034567B"/>
    <w:rsid w:val="003518D3"/>
    <w:rsid w:val="00351AB2"/>
    <w:rsid w:val="0035298E"/>
    <w:rsid w:val="00352993"/>
    <w:rsid w:val="00356756"/>
    <w:rsid w:val="00356E1D"/>
    <w:rsid w:val="003626DD"/>
    <w:rsid w:val="003643E5"/>
    <w:rsid w:val="0036471A"/>
    <w:rsid w:val="00366B86"/>
    <w:rsid w:val="00366C1C"/>
    <w:rsid w:val="00372931"/>
    <w:rsid w:val="00377560"/>
    <w:rsid w:val="00377F28"/>
    <w:rsid w:val="0038103C"/>
    <w:rsid w:val="003818C5"/>
    <w:rsid w:val="00381B02"/>
    <w:rsid w:val="00384F95"/>
    <w:rsid w:val="003878DC"/>
    <w:rsid w:val="003934EB"/>
    <w:rsid w:val="00393DEC"/>
    <w:rsid w:val="003946AE"/>
    <w:rsid w:val="00394CE5"/>
    <w:rsid w:val="00395313"/>
    <w:rsid w:val="00396E4E"/>
    <w:rsid w:val="003A085B"/>
    <w:rsid w:val="003A3132"/>
    <w:rsid w:val="003A444B"/>
    <w:rsid w:val="003A4F32"/>
    <w:rsid w:val="003A6D39"/>
    <w:rsid w:val="003A752E"/>
    <w:rsid w:val="003A7C5A"/>
    <w:rsid w:val="003B0AE7"/>
    <w:rsid w:val="003B1D75"/>
    <w:rsid w:val="003B2AB0"/>
    <w:rsid w:val="003B3C87"/>
    <w:rsid w:val="003B3E1B"/>
    <w:rsid w:val="003B57F3"/>
    <w:rsid w:val="003B6488"/>
    <w:rsid w:val="003C373A"/>
    <w:rsid w:val="003C42E3"/>
    <w:rsid w:val="003C64F8"/>
    <w:rsid w:val="003D0198"/>
    <w:rsid w:val="003D1B9E"/>
    <w:rsid w:val="003D7131"/>
    <w:rsid w:val="003E0534"/>
    <w:rsid w:val="003E1E5C"/>
    <w:rsid w:val="003E25C6"/>
    <w:rsid w:val="003E4FD3"/>
    <w:rsid w:val="003E7DDE"/>
    <w:rsid w:val="003E7F8D"/>
    <w:rsid w:val="003F1860"/>
    <w:rsid w:val="003F5253"/>
    <w:rsid w:val="003F5D4D"/>
    <w:rsid w:val="003F6B40"/>
    <w:rsid w:val="003F753E"/>
    <w:rsid w:val="004006CD"/>
    <w:rsid w:val="0040085B"/>
    <w:rsid w:val="004032B4"/>
    <w:rsid w:val="00406F7D"/>
    <w:rsid w:val="00411333"/>
    <w:rsid w:val="0041178B"/>
    <w:rsid w:val="00413C8D"/>
    <w:rsid w:val="00415878"/>
    <w:rsid w:val="004170F2"/>
    <w:rsid w:val="0042047A"/>
    <w:rsid w:val="00420A04"/>
    <w:rsid w:val="00422AF3"/>
    <w:rsid w:val="00422AF8"/>
    <w:rsid w:val="004275C2"/>
    <w:rsid w:val="00430E11"/>
    <w:rsid w:val="00431C12"/>
    <w:rsid w:val="00440E83"/>
    <w:rsid w:val="00443ABF"/>
    <w:rsid w:val="00443EFD"/>
    <w:rsid w:val="00447027"/>
    <w:rsid w:val="00447780"/>
    <w:rsid w:val="004532CE"/>
    <w:rsid w:val="00460D27"/>
    <w:rsid w:val="004645CB"/>
    <w:rsid w:val="00465A32"/>
    <w:rsid w:val="00467539"/>
    <w:rsid w:val="004718DE"/>
    <w:rsid w:val="0047248D"/>
    <w:rsid w:val="00476ED2"/>
    <w:rsid w:val="0048116B"/>
    <w:rsid w:val="00483592"/>
    <w:rsid w:val="00492870"/>
    <w:rsid w:val="00492BCB"/>
    <w:rsid w:val="004933EE"/>
    <w:rsid w:val="00497A83"/>
    <w:rsid w:val="004A012E"/>
    <w:rsid w:val="004A0885"/>
    <w:rsid w:val="004A1F0C"/>
    <w:rsid w:val="004A2411"/>
    <w:rsid w:val="004A2ECA"/>
    <w:rsid w:val="004A2EDC"/>
    <w:rsid w:val="004A5EA5"/>
    <w:rsid w:val="004A78F7"/>
    <w:rsid w:val="004B0953"/>
    <w:rsid w:val="004B1A32"/>
    <w:rsid w:val="004B1F5A"/>
    <w:rsid w:val="004B24BF"/>
    <w:rsid w:val="004B2B4E"/>
    <w:rsid w:val="004B4067"/>
    <w:rsid w:val="004B5F69"/>
    <w:rsid w:val="004C6F6B"/>
    <w:rsid w:val="004D0EA3"/>
    <w:rsid w:val="004D621C"/>
    <w:rsid w:val="004E2BCF"/>
    <w:rsid w:val="004E435C"/>
    <w:rsid w:val="004E5916"/>
    <w:rsid w:val="004E5A7A"/>
    <w:rsid w:val="004F021F"/>
    <w:rsid w:val="004F3328"/>
    <w:rsid w:val="004F47DC"/>
    <w:rsid w:val="004F5F5D"/>
    <w:rsid w:val="004F62D6"/>
    <w:rsid w:val="004F677E"/>
    <w:rsid w:val="00500275"/>
    <w:rsid w:val="00500779"/>
    <w:rsid w:val="00501C46"/>
    <w:rsid w:val="00504F61"/>
    <w:rsid w:val="00506525"/>
    <w:rsid w:val="005117CA"/>
    <w:rsid w:val="005141E7"/>
    <w:rsid w:val="00514362"/>
    <w:rsid w:val="00517B72"/>
    <w:rsid w:val="00520FF1"/>
    <w:rsid w:val="0052361A"/>
    <w:rsid w:val="005251D5"/>
    <w:rsid w:val="00527AE5"/>
    <w:rsid w:val="00530305"/>
    <w:rsid w:val="00530C17"/>
    <w:rsid w:val="005320A3"/>
    <w:rsid w:val="00532B30"/>
    <w:rsid w:val="005332C5"/>
    <w:rsid w:val="005338E5"/>
    <w:rsid w:val="00533AA4"/>
    <w:rsid w:val="00540641"/>
    <w:rsid w:val="0054171D"/>
    <w:rsid w:val="00544BF5"/>
    <w:rsid w:val="005467B2"/>
    <w:rsid w:val="00547568"/>
    <w:rsid w:val="00552504"/>
    <w:rsid w:val="005528CB"/>
    <w:rsid w:val="00553957"/>
    <w:rsid w:val="00562410"/>
    <w:rsid w:val="0056251B"/>
    <w:rsid w:val="005633B6"/>
    <w:rsid w:val="0056356A"/>
    <w:rsid w:val="00571FA2"/>
    <w:rsid w:val="00582FB9"/>
    <w:rsid w:val="00583B69"/>
    <w:rsid w:val="00596260"/>
    <w:rsid w:val="005968A7"/>
    <w:rsid w:val="005A126C"/>
    <w:rsid w:val="005A1D65"/>
    <w:rsid w:val="005A2F18"/>
    <w:rsid w:val="005A524E"/>
    <w:rsid w:val="005A5B44"/>
    <w:rsid w:val="005B0842"/>
    <w:rsid w:val="005B4DC6"/>
    <w:rsid w:val="005C197A"/>
    <w:rsid w:val="005C1E4B"/>
    <w:rsid w:val="005C2909"/>
    <w:rsid w:val="005C4D61"/>
    <w:rsid w:val="005C5837"/>
    <w:rsid w:val="005D50E2"/>
    <w:rsid w:val="005D6F95"/>
    <w:rsid w:val="005D76FE"/>
    <w:rsid w:val="005E2692"/>
    <w:rsid w:val="005E3844"/>
    <w:rsid w:val="005E5124"/>
    <w:rsid w:val="0060298B"/>
    <w:rsid w:val="00603817"/>
    <w:rsid w:val="00607CF9"/>
    <w:rsid w:val="00612E45"/>
    <w:rsid w:val="00613212"/>
    <w:rsid w:val="006203F9"/>
    <w:rsid w:val="0062202B"/>
    <w:rsid w:val="00627463"/>
    <w:rsid w:val="00627DBA"/>
    <w:rsid w:val="00631073"/>
    <w:rsid w:val="00631082"/>
    <w:rsid w:val="00631372"/>
    <w:rsid w:val="00632184"/>
    <w:rsid w:val="006335A4"/>
    <w:rsid w:val="0063388A"/>
    <w:rsid w:val="00633F14"/>
    <w:rsid w:val="0063468F"/>
    <w:rsid w:val="006430C7"/>
    <w:rsid w:val="00643DDC"/>
    <w:rsid w:val="00645613"/>
    <w:rsid w:val="00645E5B"/>
    <w:rsid w:val="00645F88"/>
    <w:rsid w:val="00651318"/>
    <w:rsid w:val="006518E1"/>
    <w:rsid w:val="00652E93"/>
    <w:rsid w:val="0065585D"/>
    <w:rsid w:val="00655CEE"/>
    <w:rsid w:val="006578BF"/>
    <w:rsid w:val="00660DD9"/>
    <w:rsid w:val="00660E43"/>
    <w:rsid w:val="0066183C"/>
    <w:rsid w:val="006625BA"/>
    <w:rsid w:val="00664297"/>
    <w:rsid w:val="006652FA"/>
    <w:rsid w:val="0066565B"/>
    <w:rsid w:val="00676A73"/>
    <w:rsid w:val="00683AE3"/>
    <w:rsid w:val="006850BC"/>
    <w:rsid w:val="00685942"/>
    <w:rsid w:val="0069281F"/>
    <w:rsid w:val="006964B1"/>
    <w:rsid w:val="00696E5B"/>
    <w:rsid w:val="006A028C"/>
    <w:rsid w:val="006A1CA2"/>
    <w:rsid w:val="006A3ADC"/>
    <w:rsid w:val="006A61E7"/>
    <w:rsid w:val="006A7371"/>
    <w:rsid w:val="006B10B4"/>
    <w:rsid w:val="006B5513"/>
    <w:rsid w:val="006B5C5F"/>
    <w:rsid w:val="006B730E"/>
    <w:rsid w:val="006C0843"/>
    <w:rsid w:val="006C1545"/>
    <w:rsid w:val="006C286E"/>
    <w:rsid w:val="006C37E3"/>
    <w:rsid w:val="006C56FD"/>
    <w:rsid w:val="006C6317"/>
    <w:rsid w:val="006D1486"/>
    <w:rsid w:val="006D4C21"/>
    <w:rsid w:val="006D4F64"/>
    <w:rsid w:val="006D613D"/>
    <w:rsid w:val="006D7C08"/>
    <w:rsid w:val="006E3E4D"/>
    <w:rsid w:val="006E71BD"/>
    <w:rsid w:val="006E74B5"/>
    <w:rsid w:val="006E7E49"/>
    <w:rsid w:val="006F3130"/>
    <w:rsid w:val="006F506D"/>
    <w:rsid w:val="006F5D14"/>
    <w:rsid w:val="006F6725"/>
    <w:rsid w:val="006F7842"/>
    <w:rsid w:val="00700918"/>
    <w:rsid w:val="00701FB6"/>
    <w:rsid w:val="007101F2"/>
    <w:rsid w:val="00713E1C"/>
    <w:rsid w:val="00717CDE"/>
    <w:rsid w:val="0072209B"/>
    <w:rsid w:val="00725A42"/>
    <w:rsid w:val="007308A5"/>
    <w:rsid w:val="007326DF"/>
    <w:rsid w:val="00733714"/>
    <w:rsid w:val="00735DA6"/>
    <w:rsid w:val="0074113F"/>
    <w:rsid w:val="007412B6"/>
    <w:rsid w:val="00745105"/>
    <w:rsid w:val="007462E4"/>
    <w:rsid w:val="00747012"/>
    <w:rsid w:val="007519A3"/>
    <w:rsid w:val="00751B49"/>
    <w:rsid w:val="007538C2"/>
    <w:rsid w:val="00754036"/>
    <w:rsid w:val="00755829"/>
    <w:rsid w:val="00756A90"/>
    <w:rsid w:val="00763A7F"/>
    <w:rsid w:val="00763CA4"/>
    <w:rsid w:val="00771065"/>
    <w:rsid w:val="00771BCA"/>
    <w:rsid w:val="00773F21"/>
    <w:rsid w:val="00774B7F"/>
    <w:rsid w:val="007769A6"/>
    <w:rsid w:val="007776CF"/>
    <w:rsid w:val="00781C80"/>
    <w:rsid w:val="0078597B"/>
    <w:rsid w:val="00790646"/>
    <w:rsid w:val="00790C3A"/>
    <w:rsid w:val="007965D2"/>
    <w:rsid w:val="00797849"/>
    <w:rsid w:val="007A0119"/>
    <w:rsid w:val="007A2A1D"/>
    <w:rsid w:val="007A3CF6"/>
    <w:rsid w:val="007A7E7D"/>
    <w:rsid w:val="007B2C3C"/>
    <w:rsid w:val="007B4129"/>
    <w:rsid w:val="007B6893"/>
    <w:rsid w:val="007C16EC"/>
    <w:rsid w:val="007C3A23"/>
    <w:rsid w:val="007C5D87"/>
    <w:rsid w:val="007C6197"/>
    <w:rsid w:val="007C7C23"/>
    <w:rsid w:val="007D0352"/>
    <w:rsid w:val="007D0E2C"/>
    <w:rsid w:val="007D1989"/>
    <w:rsid w:val="007D386D"/>
    <w:rsid w:val="007D41AC"/>
    <w:rsid w:val="007D5CA4"/>
    <w:rsid w:val="007E185E"/>
    <w:rsid w:val="007E1E7A"/>
    <w:rsid w:val="007E59CD"/>
    <w:rsid w:val="007E653D"/>
    <w:rsid w:val="007F207B"/>
    <w:rsid w:val="007F41DD"/>
    <w:rsid w:val="007F4C6F"/>
    <w:rsid w:val="007F50B0"/>
    <w:rsid w:val="007F793C"/>
    <w:rsid w:val="00801F2C"/>
    <w:rsid w:val="00804066"/>
    <w:rsid w:val="00807FBA"/>
    <w:rsid w:val="00810C2E"/>
    <w:rsid w:val="008138BA"/>
    <w:rsid w:val="00814C51"/>
    <w:rsid w:val="00820539"/>
    <w:rsid w:val="00820A6F"/>
    <w:rsid w:val="0082133B"/>
    <w:rsid w:val="00822724"/>
    <w:rsid w:val="00823959"/>
    <w:rsid w:val="0082399D"/>
    <w:rsid w:val="00836C21"/>
    <w:rsid w:val="00841858"/>
    <w:rsid w:val="00843136"/>
    <w:rsid w:val="008438B7"/>
    <w:rsid w:val="008460E1"/>
    <w:rsid w:val="0084707F"/>
    <w:rsid w:val="0085219B"/>
    <w:rsid w:val="00852727"/>
    <w:rsid w:val="00853846"/>
    <w:rsid w:val="00854C69"/>
    <w:rsid w:val="008557A0"/>
    <w:rsid w:val="00861322"/>
    <w:rsid w:val="008633C4"/>
    <w:rsid w:val="00863A7D"/>
    <w:rsid w:val="00865D3D"/>
    <w:rsid w:val="00866A9A"/>
    <w:rsid w:val="00866EE9"/>
    <w:rsid w:val="0086753B"/>
    <w:rsid w:val="008754D1"/>
    <w:rsid w:val="008774F8"/>
    <w:rsid w:val="00880986"/>
    <w:rsid w:val="00881054"/>
    <w:rsid w:val="00885CA2"/>
    <w:rsid w:val="00890098"/>
    <w:rsid w:val="00891D8B"/>
    <w:rsid w:val="00892B14"/>
    <w:rsid w:val="00893F12"/>
    <w:rsid w:val="008A0EE5"/>
    <w:rsid w:val="008A2EFE"/>
    <w:rsid w:val="008A319A"/>
    <w:rsid w:val="008A446E"/>
    <w:rsid w:val="008A5DBC"/>
    <w:rsid w:val="008A6170"/>
    <w:rsid w:val="008B1180"/>
    <w:rsid w:val="008B1CDA"/>
    <w:rsid w:val="008B4229"/>
    <w:rsid w:val="008B4692"/>
    <w:rsid w:val="008B4A57"/>
    <w:rsid w:val="008C0A08"/>
    <w:rsid w:val="008C132A"/>
    <w:rsid w:val="008C2184"/>
    <w:rsid w:val="008C5D0B"/>
    <w:rsid w:val="008C5E9D"/>
    <w:rsid w:val="008C647E"/>
    <w:rsid w:val="008D11BA"/>
    <w:rsid w:val="008D1676"/>
    <w:rsid w:val="008D171E"/>
    <w:rsid w:val="008D34BF"/>
    <w:rsid w:val="008D5E9B"/>
    <w:rsid w:val="008D69AE"/>
    <w:rsid w:val="008E37BE"/>
    <w:rsid w:val="008E4664"/>
    <w:rsid w:val="008E6B42"/>
    <w:rsid w:val="008F50F2"/>
    <w:rsid w:val="008F572C"/>
    <w:rsid w:val="0090066B"/>
    <w:rsid w:val="00901F51"/>
    <w:rsid w:val="009023DF"/>
    <w:rsid w:val="00902E17"/>
    <w:rsid w:val="009051AE"/>
    <w:rsid w:val="0090523B"/>
    <w:rsid w:val="009059F2"/>
    <w:rsid w:val="00905F3A"/>
    <w:rsid w:val="00913542"/>
    <w:rsid w:val="00915976"/>
    <w:rsid w:val="009174AD"/>
    <w:rsid w:val="0091788A"/>
    <w:rsid w:val="0092138A"/>
    <w:rsid w:val="00921952"/>
    <w:rsid w:val="00922709"/>
    <w:rsid w:val="00923304"/>
    <w:rsid w:val="00925371"/>
    <w:rsid w:val="009275E5"/>
    <w:rsid w:val="0093335F"/>
    <w:rsid w:val="009411A4"/>
    <w:rsid w:val="0094228D"/>
    <w:rsid w:val="00942C8E"/>
    <w:rsid w:val="00944160"/>
    <w:rsid w:val="0094512B"/>
    <w:rsid w:val="009457F8"/>
    <w:rsid w:val="00946173"/>
    <w:rsid w:val="00946ABB"/>
    <w:rsid w:val="00946BF4"/>
    <w:rsid w:val="00946D24"/>
    <w:rsid w:val="00950852"/>
    <w:rsid w:val="00952C4A"/>
    <w:rsid w:val="00956569"/>
    <w:rsid w:val="009575C3"/>
    <w:rsid w:val="0096142A"/>
    <w:rsid w:val="00962583"/>
    <w:rsid w:val="009632E1"/>
    <w:rsid w:val="0096684E"/>
    <w:rsid w:val="00972B89"/>
    <w:rsid w:val="00985C66"/>
    <w:rsid w:val="00986E6D"/>
    <w:rsid w:val="0099514F"/>
    <w:rsid w:val="009A0385"/>
    <w:rsid w:val="009A079A"/>
    <w:rsid w:val="009A0F00"/>
    <w:rsid w:val="009A1172"/>
    <w:rsid w:val="009A3FF7"/>
    <w:rsid w:val="009A49DF"/>
    <w:rsid w:val="009B03C5"/>
    <w:rsid w:val="009B5261"/>
    <w:rsid w:val="009B5D9B"/>
    <w:rsid w:val="009C00F6"/>
    <w:rsid w:val="009C29BC"/>
    <w:rsid w:val="009C2DBB"/>
    <w:rsid w:val="009C4257"/>
    <w:rsid w:val="009C7697"/>
    <w:rsid w:val="009C7BF0"/>
    <w:rsid w:val="009D3155"/>
    <w:rsid w:val="009D4966"/>
    <w:rsid w:val="009D71E6"/>
    <w:rsid w:val="009D7AB0"/>
    <w:rsid w:val="009E49FE"/>
    <w:rsid w:val="009E5D66"/>
    <w:rsid w:val="009E641C"/>
    <w:rsid w:val="009E68F3"/>
    <w:rsid w:val="009F12CD"/>
    <w:rsid w:val="009F3223"/>
    <w:rsid w:val="009F4D92"/>
    <w:rsid w:val="009F67A1"/>
    <w:rsid w:val="00A0075C"/>
    <w:rsid w:val="00A009BC"/>
    <w:rsid w:val="00A01077"/>
    <w:rsid w:val="00A0248A"/>
    <w:rsid w:val="00A04687"/>
    <w:rsid w:val="00A04B81"/>
    <w:rsid w:val="00A05655"/>
    <w:rsid w:val="00A068F2"/>
    <w:rsid w:val="00A11429"/>
    <w:rsid w:val="00A170CB"/>
    <w:rsid w:val="00A20952"/>
    <w:rsid w:val="00A21AC6"/>
    <w:rsid w:val="00A2415A"/>
    <w:rsid w:val="00A27ED0"/>
    <w:rsid w:val="00A30101"/>
    <w:rsid w:val="00A3198C"/>
    <w:rsid w:val="00A3345B"/>
    <w:rsid w:val="00A369F0"/>
    <w:rsid w:val="00A36C1F"/>
    <w:rsid w:val="00A433B3"/>
    <w:rsid w:val="00A44144"/>
    <w:rsid w:val="00A45D7F"/>
    <w:rsid w:val="00A46D7B"/>
    <w:rsid w:val="00A47957"/>
    <w:rsid w:val="00A51C83"/>
    <w:rsid w:val="00A5317C"/>
    <w:rsid w:val="00A53BB8"/>
    <w:rsid w:val="00A54BD5"/>
    <w:rsid w:val="00A56388"/>
    <w:rsid w:val="00A56687"/>
    <w:rsid w:val="00A57788"/>
    <w:rsid w:val="00A6074A"/>
    <w:rsid w:val="00A609D1"/>
    <w:rsid w:val="00A6270C"/>
    <w:rsid w:val="00A62E2F"/>
    <w:rsid w:val="00A63981"/>
    <w:rsid w:val="00A6569A"/>
    <w:rsid w:val="00A67E6B"/>
    <w:rsid w:val="00A7474A"/>
    <w:rsid w:val="00A75D31"/>
    <w:rsid w:val="00A8107B"/>
    <w:rsid w:val="00A8206F"/>
    <w:rsid w:val="00A8427C"/>
    <w:rsid w:val="00A855E2"/>
    <w:rsid w:val="00A87C7C"/>
    <w:rsid w:val="00A90A25"/>
    <w:rsid w:val="00A97E61"/>
    <w:rsid w:val="00AA371F"/>
    <w:rsid w:val="00AB02D3"/>
    <w:rsid w:val="00AB2196"/>
    <w:rsid w:val="00AB7E59"/>
    <w:rsid w:val="00AC1D00"/>
    <w:rsid w:val="00AC25EB"/>
    <w:rsid w:val="00AC5848"/>
    <w:rsid w:val="00AC5D8C"/>
    <w:rsid w:val="00AD1611"/>
    <w:rsid w:val="00AD1988"/>
    <w:rsid w:val="00AD231E"/>
    <w:rsid w:val="00AD3643"/>
    <w:rsid w:val="00AD3F58"/>
    <w:rsid w:val="00AD5E73"/>
    <w:rsid w:val="00AD67B0"/>
    <w:rsid w:val="00AE013F"/>
    <w:rsid w:val="00AE0606"/>
    <w:rsid w:val="00AE25F9"/>
    <w:rsid w:val="00AE27B9"/>
    <w:rsid w:val="00AE45DC"/>
    <w:rsid w:val="00AE554A"/>
    <w:rsid w:val="00AF0819"/>
    <w:rsid w:val="00AF46FF"/>
    <w:rsid w:val="00AF6885"/>
    <w:rsid w:val="00B0146C"/>
    <w:rsid w:val="00B02B9A"/>
    <w:rsid w:val="00B0623C"/>
    <w:rsid w:val="00B0642B"/>
    <w:rsid w:val="00B06E68"/>
    <w:rsid w:val="00B1004E"/>
    <w:rsid w:val="00B11CAF"/>
    <w:rsid w:val="00B13C8A"/>
    <w:rsid w:val="00B14984"/>
    <w:rsid w:val="00B238F6"/>
    <w:rsid w:val="00B26067"/>
    <w:rsid w:val="00B26AA5"/>
    <w:rsid w:val="00B40639"/>
    <w:rsid w:val="00B408A5"/>
    <w:rsid w:val="00B41401"/>
    <w:rsid w:val="00B42D9E"/>
    <w:rsid w:val="00B44D4C"/>
    <w:rsid w:val="00B4545A"/>
    <w:rsid w:val="00B46FB3"/>
    <w:rsid w:val="00B51993"/>
    <w:rsid w:val="00B523ED"/>
    <w:rsid w:val="00B5716E"/>
    <w:rsid w:val="00B631E5"/>
    <w:rsid w:val="00B656B8"/>
    <w:rsid w:val="00B67444"/>
    <w:rsid w:val="00B710BB"/>
    <w:rsid w:val="00B71A26"/>
    <w:rsid w:val="00B7543F"/>
    <w:rsid w:val="00B75500"/>
    <w:rsid w:val="00B762DF"/>
    <w:rsid w:val="00B82103"/>
    <w:rsid w:val="00B82395"/>
    <w:rsid w:val="00B82AE3"/>
    <w:rsid w:val="00B864D9"/>
    <w:rsid w:val="00B929A3"/>
    <w:rsid w:val="00BA0394"/>
    <w:rsid w:val="00BA0A97"/>
    <w:rsid w:val="00BA53B6"/>
    <w:rsid w:val="00BA7380"/>
    <w:rsid w:val="00BB2A6E"/>
    <w:rsid w:val="00BB31F5"/>
    <w:rsid w:val="00BB479A"/>
    <w:rsid w:val="00BB58F9"/>
    <w:rsid w:val="00BC1014"/>
    <w:rsid w:val="00BD561C"/>
    <w:rsid w:val="00BE384C"/>
    <w:rsid w:val="00BE4CA1"/>
    <w:rsid w:val="00BE6FAC"/>
    <w:rsid w:val="00BE77D2"/>
    <w:rsid w:val="00BF1F37"/>
    <w:rsid w:val="00BF33EF"/>
    <w:rsid w:val="00BF3DB7"/>
    <w:rsid w:val="00C0293C"/>
    <w:rsid w:val="00C050CF"/>
    <w:rsid w:val="00C1042F"/>
    <w:rsid w:val="00C221F7"/>
    <w:rsid w:val="00C26730"/>
    <w:rsid w:val="00C31AA8"/>
    <w:rsid w:val="00C34352"/>
    <w:rsid w:val="00C3512A"/>
    <w:rsid w:val="00C4273A"/>
    <w:rsid w:val="00C45A73"/>
    <w:rsid w:val="00C50186"/>
    <w:rsid w:val="00C52FC3"/>
    <w:rsid w:val="00C574FB"/>
    <w:rsid w:val="00C5783B"/>
    <w:rsid w:val="00C629A2"/>
    <w:rsid w:val="00C63D82"/>
    <w:rsid w:val="00C64DD7"/>
    <w:rsid w:val="00C669EC"/>
    <w:rsid w:val="00C73FD0"/>
    <w:rsid w:val="00C8083F"/>
    <w:rsid w:val="00C82B9A"/>
    <w:rsid w:val="00C8351B"/>
    <w:rsid w:val="00C91208"/>
    <w:rsid w:val="00C92763"/>
    <w:rsid w:val="00C934C0"/>
    <w:rsid w:val="00C95C9D"/>
    <w:rsid w:val="00CA3393"/>
    <w:rsid w:val="00CA35D9"/>
    <w:rsid w:val="00CA675B"/>
    <w:rsid w:val="00CA7C6D"/>
    <w:rsid w:val="00CB2855"/>
    <w:rsid w:val="00CB3624"/>
    <w:rsid w:val="00CB5191"/>
    <w:rsid w:val="00CB636B"/>
    <w:rsid w:val="00CB6CED"/>
    <w:rsid w:val="00CB7E86"/>
    <w:rsid w:val="00CC3B5D"/>
    <w:rsid w:val="00CC5ACA"/>
    <w:rsid w:val="00CC5B0B"/>
    <w:rsid w:val="00CC7A9C"/>
    <w:rsid w:val="00CD00BA"/>
    <w:rsid w:val="00CD03DB"/>
    <w:rsid w:val="00CD1341"/>
    <w:rsid w:val="00CD4C56"/>
    <w:rsid w:val="00CD5DA8"/>
    <w:rsid w:val="00CD70ED"/>
    <w:rsid w:val="00CD76BE"/>
    <w:rsid w:val="00CE0895"/>
    <w:rsid w:val="00CE159E"/>
    <w:rsid w:val="00CE440F"/>
    <w:rsid w:val="00CE4A66"/>
    <w:rsid w:val="00CE651E"/>
    <w:rsid w:val="00CF0F5C"/>
    <w:rsid w:val="00CF2893"/>
    <w:rsid w:val="00CF5B7B"/>
    <w:rsid w:val="00CF5FBB"/>
    <w:rsid w:val="00CF6361"/>
    <w:rsid w:val="00CF7E05"/>
    <w:rsid w:val="00CF7FF6"/>
    <w:rsid w:val="00D03D3B"/>
    <w:rsid w:val="00D103B9"/>
    <w:rsid w:val="00D10B8B"/>
    <w:rsid w:val="00D13453"/>
    <w:rsid w:val="00D1596A"/>
    <w:rsid w:val="00D16361"/>
    <w:rsid w:val="00D21409"/>
    <w:rsid w:val="00D21D29"/>
    <w:rsid w:val="00D224FE"/>
    <w:rsid w:val="00D273E5"/>
    <w:rsid w:val="00D3048A"/>
    <w:rsid w:val="00D32B49"/>
    <w:rsid w:val="00D32CA1"/>
    <w:rsid w:val="00D401A5"/>
    <w:rsid w:val="00D461BC"/>
    <w:rsid w:val="00D50B33"/>
    <w:rsid w:val="00D5240D"/>
    <w:rsid w:val="00D52DBC"/>
    <w:rsid w:val="00D53850"/>
    <w:rsid w:val="00D562D0"/>
    <w:rsid w:val="00D60918"/>
    <w:rsid w:val="00D61CAD"/>
    <w:rsid w:val="00D62C0C"/>
    <w:rsid w:val="00D63643"/>
    <w:rsid w:val="00D638E8"/>
    <w:rsid w:val="00D65B55"/>
    <w:rsid w:val="00D67784"/>
    <w:rsid w:val="00D71BD1"/>
    <w:rsid w:val="00D763DB"/>
    <w:rsid w:val="00D76E78"/>
    <w:rsid w:val="00D7755E"/>
    <w:rsid w:val="00D77D35"/>
    <w:rsid w:val="00D82659"/>
    <w:rsid w:val="00D82FAF"/>
    <w:rsid w:val="00D833B8"/>
    <w:rsid w:val="00D8388A"/>
    <w:rsid w:val="00D90B1E"/>
    <w:rsid w:val="00D9145B"/>
    <w:rsid w:val="00D923D2"/>
    <w:rsid w:val="00D9401F"/>
    <w:rsid w:val="00D95631"/>
    <w:rsid w:val="00DA093B"/>
    <w:rsid w:val="00DA0B78"/>
    <w:rsid w:val="00DA1864"/>
    <w:rsid w:val="00DA3E58"/>
    <w:rsid w:val="00DA6B59"/>
    <w:rsid w:val="00DA6D58"/>
    <w:rsid w:val="00DB1402"/>
    <w:rsid w:val="00DB1D87"/>
    <w:rsid w:val="00DB55D9"/>
    <w:rsid w:val="00DB64A3"/>
    <w:rsid w:val="00DC4534"/>
    <w:rsid w:val="00DC6F8B"/>
    <w:rsid w:val="00DD0394"/>
    <w:rsid w:val="00DD1AEC"/>
    <w:rsid w:val="00DD39D6"/>
    <w:rsid w:val="00DD7DA0"/>
    <w:rsid w:val="00DE1493"/>
    <w:rsid w:val="00DE14E7"/>
    <w:rsid w:val="00DE1F24"/>
    <w:rsid w:val="00DE56DC"/>
    <w:rsid w:val="00DE5B4B"/>
    <w:rsid w:val="00DE7A48"/>
    <w:rsid w:val="00DF37C5"/>
    <w:rsid w:val="00DF3A4F"/>
    <w:rsid w:val="00DF50DF"/>
    <w:rsid w:val="00E007FE"/>
    <w:rsid w:val="00E02B9D"/>
    <w:rsid w:val="00E037B6"/>
    <w:rsid w:val="00E049F4"/>
    <w:rsid w:val="00E101A9"/>
    <w:rsid w:val="00E12E30"/>
    <w:rsid w:val="00E15A14"/>
    <w:rsid w:val="00E23439"/>
    <w:rsid w:val="00E23DB0"/>
    <w:rsid w:val="00E24820"/>
    <w:rsid w:val="00E26FBE"/>
    <w:rsid w:val="00E340C6"/>
    <w:rsid w:val="00E36B27"/>
    <w:rsid w:val="00E40923"/>
    <w:rsid w:val="00E410ED"/>
    <w:rsid w:val="00E415BD"/>
    <w:rsid w:val="00E425CB"/>
    <w:rsid w:val="00E439E4"/>
    <w:rsid w:val="00E473D0"/>
    <w:rsid w:val="00E55676"/>
    <w:rsid w:val="00E67F9C"/>
    <w:rsid w:val="00E70242"/>
    <w:rsid w:val="00E7122C"/>
    <w:rsid w:val="00E72B68"/>
    <w:rsid w:val="00E74AF9"/>
    <w:rsid w:val="00E835A4"/>
    <w:rsid w:val="00E8747D"/>
    <w:rsid w:val="00E91119"/>
    <w:rsid w:val="00E92A19"/>
    <w:rsid w:val="00E93747"/>
    <w:rsid w:val="00E97A3A"/>
    <w:rsid w:val="00EA4AAC"/>
    <w:rsid w:val="00EB1682"/>
    <w:rsid w:val="00EB197D"/>
    <w:rsid w:val="00EB39ED"/>
    <w:rsid w:val="00EB4136"/>
    <w:rsid w:val="00EC134D"/>
    <w:rsid w:val="00EC155C"/>
    <w:rsid w:val="00EC3AA8"/>
    <w:rsid w:val="00EC682D"/>
    <w:rsid w:val="00ED2192"/>
    <w:rsid w:val="00ED324E"/>
    <w:rsid w:val="00ED3AF3"/>
    <w:rsid w:val="00ED7267"/>
    <w:rsid w:val="00ED784B"/>
    <w:rsid w:val="00ED7AF1"/>
    <w:rsid w:val="00EE3A4D"/>
    <w:rsid w:val="00EF1190"/>
    <w:rsid w:val="00EF12FF"/>
    <w:rsid w:val="00EF1740"/>
    <w:rsid w:val="00EF1BD6"/>
    <w:rsid w:val="00EF52CE"/>
    <w:rsid w:val="00EF6A44"/>
    <w:rsid w:val="00EF6D6B"/>
    <w:rsid w:val="00F01C26"/>
    <w:rsid w:val="00F02FA9"/>
    <w:rsid w:val="00F0501C"/>
    <w:rsid w:val="00F05C1E"/>
    <w:rsid w:val="00F114C1"/>
    <w:rsid w:val="00F13BAC"/>
    <w:rsid w:val="00F14F51"/>
    <w:rsid w:val="00F15FA3"/>
    <w:rsid w:val="00F1670E"/>
    <w:rsid w:val="00F24252"/>
    <w:rsid w:val="00F268CF"/>
    <w:rsid w:val="00F30194"/>
    <w:rsid w:val="00F340B0"/>
    <w:rsid w:val="00F355FD"/>
    <w:rsid w:val="00F35823"/>
    <w:rsid w:val="00F36B63"/>
    <w:rsid w:val="00F40A44"/>
    <w:rsid w:val="00F42D97"/>
    <w:rsid w:val="00F451C9"/>
    <w:rsid w:val="00F461E8"/>
    <w:rsid w:val="00F47E42"/>
    <w:rsid w:val="00F51D72"/>
    <w:rsid w:val="00F65C84"/>
    <w:rsid w:val="00F719EB"/>
    <w:rsid w:val="00F762DE"/>
    <w:rsid w:val="00F817E4"/>
    <w:rsid w:val="00F83D5A"/>
    <w:rsid w:val="00F846D1"/>
    <w:rsid w:val="00F9084E"/>
    <w:rsid w:val="00F96BBA"/>
    <w:rsid w:val="00FA3F96"/>
    <w:rsid w:val="00FA451D"/>
    <w:rsid w:val="00FA6360"/>
    <w:rsid w:val="00FC3989"/>
    <w:rsid w:val="00FC3D7A"/>
    <w:rsid w:val="00FC4359"/>
    <w:rsid w:val="00FC6663"/>
    <w:rsid w:val="00FC6F32"/>
    <w:rsid w:val="00FC6FD0"/>
    <w:rsid w:val="00FD0848"/>
    <w:rsid w:val="00FD0B7D"/>
    <w:rsid w:val="00FD1BED"/>
    <w:rsid w:val="00FD4C58"/>
    <w:rsid w:val="00FD4F90"/>
    <w:rsid w:val="00FD5744"/>
    <w:rsid w:val="00FD7181"/>
    <w:rsid w:val="00FD75E3"/>
    <w:rsid w:val="00FE5DE0"/>
    <w:rsid w:val="00FE6855"/>
    <w:rsid w:val="00FE72CD"/>
    <w:rsid w:val="00FF0463"/>
    <w:rsid w:val="00FF128C"/>
    <w:rsid w:val="00FF14E6"/>
    <w:rsid w:val="00FF288B"/>
    <w:rsid w:val="00F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9962"/>
  <w15:chartTrackingRefBased/>
  <w15:docId w15:val="{97925BFA-AC28-4E06-B189-6FB5E99F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96E5B"/>
    <w:pPr>
      <w:ind w:left="1068"/>
      <w:contextualSpacing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74E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939"/>
    <w:pPr>
      <w:keepNext/>
      <w:keepLines/>
      <w:numPr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09B"/>
    <w:pPr>
      <w:keepNext/>
      <w:keepLines/>
      <w:numPr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0ED"/>
    <w:pPr>
      <w:keepNext/>
      <w:keepLines/>
      <w:numPr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677E"/>
    <w:pPr>
      <w:ind w:left="720"/>
    </w:pPr>
  </w:style>
  <w:style w:type="paragraph" w:styleId="FootnoteText">
    <w:name w:val="footnote text"/>
    <w:basedOn w:val="Normal"/>
    <w:link w:val="FootnoteTextChar"/>
    <w:uiPriority w:val="99"/>
    <w:unhideWhenUsed/>
    <w:rsid w:val="002F6A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6A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6A5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52FC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5593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209B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78BF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145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145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145B"/>
    <w:rPr>
      <w:vertAlign w:val="superscript"/>
    </w:rPr>
  </w:style>
  <w:style w:type="paragraph" w:customStyle="1" w:styleId="Default">
    <w:name w:val="Default"/>
    <w:rsid w:val="00504F61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0ED"/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paragraph" w:styleId="NoSpacing">
    <w:name w:val="No Spacing"/>
    <w:basedOn w:val="ListParagraph"/>
    <w:uiPriority w:val="1"/>
    <w:qFormat/>
    <w:rsid w:val="00696E5B"/>
    <w:pPr>
      <w:numPr>
        <w:numId w:val="19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E23439"/>
    <w:pPr>
      <w:spacing w:after="0" w:line="240" w:lineRule="auto"/>
      <w:ind w:left="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C574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51AB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CA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E0534"/>
    <w:rPr>
      <w:i/>
      <w:iCs/>
    </w:rPr>
  </w:style>
  <w:style w:type="character" w:customStyle="1" w:styleId="e24kjd">
    <w:name w:val="e24kjd"/>
    <w:basedOn w:val="DefaultParagraphFont"/>
    <w:rsid w:val="00FF7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FCBDF-021A-4263-A527-D20CE98D6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4</Pages>
  <Words>1178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142</cp:revision>
  <cp:lastPrinted>2020-05-26T12:11:00Z</cp:lastPrinted>
  <dcterms:created xsi:type="dcterms:W3CDTF">2020-05-26T08:57:00Z</dcterms:created>
  <dcterms:modified xsi:type="dcterms:W3CDTF">2020-05-31T14:45:00Z</dcterms:modified>
</cp:coreProperties>
</file>