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E73DF" w14:textId="0B66CE51" w:rsidR="00166721" w:rsidRDefault="007A0119" w:rsidP="00696E5B">
      <w:pPr>
        <w:pStyle w:val="Title"/>
      </w:pPr>
      <w:r>
        <w:t>LP4-Précession dans les domaines macroscopiques et microscopiques</w:t>
      </w:r>
    </w:p>
    <w:p w14:paraId="43E0B32A" w14:textId="420595F3" w:rsidR="00696E5B" w:rsidRDefault="005320A3" w:rsidP="005320A3">
      <w:pPr>
        <w:pStyle w:val="Heading1"/>
      </w:pPr>
      <w:r>
        <w:t>Notes Taylor : Mécanique Classique</w:t>
      </w:r>
      <w:r w:rsidR="008E4664">
        <w:t xml:space="preserve"> Chapitre 10</w:t>
      </w:r>
    </w:p>
    <w:p w14:paraId="6B566A82" w14:textId="6272F281" w:rsidR="008E4664" w:rsidRDefault="008E4664" w:rsidP="008E4664">
      <w:pPr>
        <w:pStyle w:val="NoSpacing"/>
      </w:pPr>
      <w:r>
        <w:t xml:space="preserve">Pour la mécanique des corps : </w:t>
      </w:r>
      <w:r w:rsidR="00411333">
        <w:t xml:space="preserve">La </w:t>
      </w:r>
      <w:r w:rsidR="00411333">
        <w:rPr>
          <w:b/>
          <w:bCs/>
        </w:rPr>
        <w:t xml:space="preserve">quantité de mouvement </w:t>
      </w:r>
      <w:r w:rsidR="00411333">
        <w:t xml:space="preserve">est égale à la quantité de mouvement du centre de masse auquel on attribue la masse totale du système. </w:t>
      </w:r>
      <w:r w:rsidR="00E049F4">
        <w:t xml:space="preserve">Le </w:t>
      </w:r>
      <w:r w:rsidR="00E049F4" w:rsidRPr="00E049F4">
        <w:rPr>
          <w:b/>
          <w:bCs/>
        </w:rPr>
        <w:t>taux de variation</w:t>
      </w:r>
      <w:r w:rsidR="00E049F4">
        <w:t xml:space="preserve"> de </w:t>
      </w:r>
      <w:r w:rsidR="00E049F4" w:rsidRPr="00E049F4">
        <w:t>la quantité de mouvement</w:t>
      </w:r>
      <w:r w:rsidR="00E049F4">
        <w:rPr>
          <w:b/>
          <w:bCs/>
        </w:rPr>
        <w:t xml:space="preserve"> </w:t>
      </w:r>
      <w:r w:rsidR="00E049F4">
        <w:t xml:space="preserve">est </w:t>
      </w:r>
      <w:r w:rsidR="009C2DBB">
        <w:t>égal</w:t>
      </w:r>
      <w:r w:rsidR="00E049F4">
        <w:t xml:space="preserve"> aux forces extérieures</w:t>
      </w:r>
      <w:r w:rsidR="00212009">
        <w:t xml:space="preserve"> s’exerçant sur le système</w:t>
      </w:r>
      <w:r w:rsidR="00E049F4">
        <w:t xml:space="preserve">. </w:t>
      </w:r>
    </w:p>
    <w:p w14:paraId="7C542F95" w14:textId="5F10E6CB" w:rsidR="00E049F4" w:rsidRDefault="009C2DBB" w:rsidP="008E4664">
      <w:pPr>
        <w:pStyle w:val="NoSpacing"/>
      </w:pPr>
      <w:r>
        <w:t xml:space="preserve">En ce qui concerne le </w:t>
      </w:r>
      <w:r w:rsidRPr="00D50B33">
        <w:rPr>
          <w:b/>
          <w:bCs/>
        </w:rPr>
        <w:t>moment cinétique</w:t>
      </w:r>
      <w:r w:rsidR="00DE1F24">
        <w:t xml:space="preserve">, il est la somme d’un </w:t>
      </w:r>
      <w:r w:rsidR="00DE1F24" w:rsidRPr="00D50B33">
        <w:rPr>
          <w:b/>
          <w:bCs/>
        </w:rPr>
        <w:t>moment cinétique orbital</w:t>
      </w:r>
      <w:r w:rsidR="00DE1F24">
        <w:t xml:space="preserve"> (moment cinétique du centre de masse auquel on attribue la masse total</w:t>
      </w:r>
      <w:r w:rsidR="00D50B33">
        <w:t>e</w:t>
      </w:r>
      <w:r w:rsidR="00DE1F24">
        <w:t xml:space="preserve"> du système) + d’un </w:t>
      </w:r>
      <w:r w:rsidR="00DE1F24" w:rsidRPr="00D50B33">
        <w:rPr>
          <w:b/>
          <w:bCs/>
        </w:rPr>
        <w:t>moment cinétique propre</w:t>
      </w:r>
      <w:r w:rsidR="00DE1F24">
        <w:t xml:space="preserve"> (moment cinétique du système </w:t>
      </w:r>
      <w:r w:rsidR="00F13BAC">
        <w:t xml:space="preserve">dans le </w:t>
      </w:r>
      <w:proofErr w:type="gramStart"/>
      <w:r w:rsidR="00F13BAC">
        <w:t>référentiel</w:t>
      </w:r>
      <w:proofErr w:type="gramEnd"/>
      <w:r w:rsidR="00F13BAC">
        <w:t xml:space="preserve"> du</w:t>
      </w:r>
      <w:r w:rsidR="00DE1F24">
        <w:t xml:space="preserve"> centre de masse)</w:t>
      </w:r>
    </w:p>
    <w:p w14:paraId="4AE240DE" w14:textId="6D8E1542" w:rsidR="00DE1F24" w:rsidRPr="00311151" w:rsidRDefault="00B7543F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L=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orb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pr</m:t>
                  </m:r>
                </m:sub>
              </m:sSub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Théorème de Koenig</m:t>
                  </m:r>
                </m:e>
              </m:d>
            </m:e>
          </m:eqArr>
        </m:oMath>
      </m:oMathPara>
    </w:p>
    <w:p w14:paraId="7ED27C55" w14:textId="77777777" w:rsidR="00311151" w:rsidRPr="00311151" w:rsidRDefault="00311151" w:rsidP="00DE1F24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</w:p>
    <w:p w14:paraId="36AE4E07" w14:textId="6C60BAB8" w:rsidR="005320A3" w:rsidRDefault="008A5DBC" w:rsidP="00645E5B">
      <w:pPr>
        <w:pStyle w:val="NoSpacing"/>
      </w:pPr>
      <w:r>
        <w:t xml:space="preserve">Le </w:t>
      </w:r>
      <w:r w:rsidRPr="001E4FC8">
        <w:rPr>
          <w:b/>
          <w:bCs/>
        </w:rPr>
        <w:t>taux de variation du moment cinétique</w:t>
      </w:r>
      <w:r>
        <w:t xml:space="preserve"> orbital est égal aux moments des forces extérieures s’exerçant sur le centre de masse. </w:t>
      </w:r>
      <w:r w:rsidR="00097733" w:rsidRPr="001E4FC8">
        <w:rPr>
          <w:b/>
          <w:bCs/>
        </w:rPr>
        <w:t>Le taux de variation</w:t>
      </w:r>
      <w:r w:rsidR="00097733">
        <w:t xml:space="preserve"> du moment cinétique propre est égal au moment des forces extérieures dans le référentiel barycentrique. </w:t>
      </w:r>
      <w:r w:rsidR="00097733" w:rsidRPr="00240EE7">
        <w:rPr>
          <w:i/>
          <w:iCs/>
          <w:color w:val="FF0000"/>
        </w:rPr>
        <w:t>Cette propriété est étonnante car le référentiel lié au centre d’inertie est souvent non galiléen</w:t>
      </w:r>
      <w:r w:rsidR="00097733">
        <w:t>…</w:t>
      </w:r>
    </w:p>
    <w:p w14:paraId="535E5155" w14:textId="59FB0613" w:rsidR="00BB479A" w:rsidRDefault="00BB479A" w:rsidP="00645E5B">
      <w:pPr>
        <w:pStyle w:val="NoSpacing"/>
      </w:pPr>
      <w:r>
        <w:t xml:space="preserve">La vitesse d’un point du système se définit facilement par rapport à l’axe de rotation : </w:t>
      </w:r>
    </w:p>
    <w:p w14:paraId="3331A6ED" w14:textId="61A3997A" w:rsidR="00A3345B" w:rsidRDefault="00B7543F" w:rsidP="00BB479A">
      <w:pPr>
        <w:pStyle w:val="NoSpacing"/>
        <w:numPr>
          <w:ilvl w:val="0"/>
          <w:numId w:val="0"/>
        </w:numPr>
        <w:ind w:left="2124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B479A">
        <w:t xml:space="preserve"> .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</m:oMath>
      <w:r w:rsidR="00BB479A">
        <w:rPr>
          <w:rFonts w:eastAsiaTheme="minorEastAsia"/>
        </w:rPr>
        <w:t xml:space="preserve"> </w:t>
      </w:r>
      <w:proofErr w:type="gramStart"/>
      <w:r w:rsidR="00BB479A">
        <w:rPr>
          <w:rFonts w:eastAsiaTheme="minorEastAsia"/>
        </w:rPr>
        <w:t>est</w:t>
      </w:r>
      <w:proofErr w:type="gramEnd"/>
      <w:r w:rsidR="00BB479A">
        <w:rPr>
          <w:rFonts w:eastAsiaTheme="minorEastAsia"/>
        </w:rPr>
        <w:t xml:space="preserve"> le vecteur reliant M à un point situé sur l’axe instantané de rotation. </w:t>
      </w:r>
      <w:r w:rsidR="008B1CDA">
        <w:rPr>
          <w:rFonts w:eastAsiaTheme="minorEastAsia"/>
        </w:rPr>
        <w:t>On suppose que le centre de masse du système est immobile sinon, il faut l’ajouter.</w:t>
      </w:r>
    </w:p>
    <w:p w14:paraId="48469BBA" w14:textId="7B85346B" w:rsidR="006E71BD" w:rsidRDefault="006E71BD" w:rsidP="008B1CDA">
      <w:pPr>
        <w:pStyle w:val="NoSpacing"/>
      </w:pPr>
      <w:r>
        <w:t>On se ramène toujours à un</w:t>
      </w:r>
      <w:r w:rsidR="00311151">
        <w:t xml:space="preserve"> </w:t>
      </w:r>
      <w:r w:rsidR="00311151" w:rsidRPr="006E71BD">
        <w:rPr>
          <w:b/>
          <w:bCs/>
        </w:rPr>
        <w:t>moment cinétique</w:t>
      </w:r>
      <w:r>
        <w:rPr>
          <w:b/>
          <w:bCs/>
        </w:rPr>
        <w:t xml:space="preserve"> </w:t>
      </w:r>
      <w:r w:rsidRPr="0056356A">
        <w:rPr>
          <w:b/>
          <w:bCs/>
        </w:rPr>
        <w:t>par rapport à un point fixe</w:t>
      </w:r>
      <w:r>
        <w:t xml:space="preserve"> du système. </w:t>
      </w:r>
      <w:r w:rsidR="00311151">
        <w:t>(</w:t>
      </w:r>
      <w:proofErr w:type="gramStart"/>
      <w:r w:rsidR="00311151">
        <w:t>si</w:t>
      </w:r>
      <w:proofErr w:type="gramEnd"/>
      <w:r w:rsidR="00311151">
        <w:t xml:space="preserve"> on </w:t>
      </w:r>
      <w:r w:rsidR="009C29BC">
        <w:t>n</w:t>
      </w:r>
      <w:r>
        <w:t>e</w:t>
      </w:r>
      <w:r w:rsidR="00311151">
        <w:t xml:space="preserve"> trouve pas</w:t>
      </w:r>
      <w:r>
        <w:t xml:space="preserve"> de point fixe</w:t>
      </w:r>
      <w:r w:rsidR="00311151">
        <w:t xml:space="preserve">, on utilise le </w:t>
      </w:r>
      <w:r w:rsidR="00683AE3">
        <w:t>T</w:t>
      </w:r>
      <w:r w:rsidR="00311151">
        <w:t xml:space="preserve">héorème de </w:t>
      </w:r>
      <w:r w:rsidR="00683AE3">
        <w:t>K</w:t>
      </w:r>
      <w:r w:rsidR="00311151">
        <w:t>oenig pour se placer dans le référentiel du centre d</w:t>
      </w:r>
      <w:r w:rsidR="001C047F">
        <w:t>e masse</w:t>
      </w:r>
      <w:r w:rsidR="00311151">
        <w:t xml:space="preserve"> du système.</w:t>
      </w:r>
      <w:r w:rsidR="001C047F">
        <w:t xml:space="preserve"> </w:t>
      </w:r>
      <w:r w:rsidR="00311151">
        <w:t xml:space="preserve"> </w:t>
      </w:r>
      <w:r w:rsidR="001C047F">
        <w:t>Le centre de masse est par définition immobile dans ce référentiel.</w:t>
      </w:r>
      <w:r>
        <w:t>)</w:t>
      </w:r>
      <w:r w:rsidR="00660E43">
        <w:t xml:space="preserve"> </w:t>
      </w:r>
    </w:p>
    <w:p w14:paraId="5C43DA86" w14:textId="6967F0FD" w:rsidR="008B1CDA" w:rsidRDefault="006203F9" w:rsidP="008B1CDA">
      <w:pPr>
        <w:pStyle w:val="NoSpacing"/>
      </w:pPr>
      <w:r>
        <w:t xml:space="preserve">Dans ce cas, le moment cinétique n’est pas toujours parallèle au vecteur rotation. </w:t>
      </w:r>
      <w:r w:rsidR="006A028C">
        <w:t xml:space="preserve">En revanche, on utilise la matrice d’inertie qui est un tenseur d’ordre 2 pour aboutir à la relation 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=I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. </m:t>
        </m:r>
      </m:oMath>
      <w:r w:rsidR="0056356A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I </m:t>
        </m:r>
      </m:oMath>
      <w:r w:rsidR="0056356A" w:rsidRPr="0056356A">
        <w:rPr>
          <w:rFonts w:eastAsiaTheme="minorEastAsia"/>
          <w:b/>
          <w:bCs/>
        </w:rPr>
        <w:t>est matrice d’inertie</w:t>
      </w:r>
      <w:r w:rsidR="0056356A">
        <w:rPr>
          <w:rFonts w:eastAsiaTheme="minorEastAsia"/>
        </w:rPr>
        <w:t xml:space="preserve"> qui est symétrique. </w:t>
      </w:r>
      <w:r w:rsidR="003F753E">
        <w:t>Les composantes de cette matrice sont appelé</w:t>
      </w:r>
      <w:r w:rsidR="00193C95">
        <w:t>e</w:t>
      </w:r>
      <w:r w:rsidR="003F753E">
        <w:t xml:space="preserve">s </w:t>
      </w:r>
      <w:r w:rsidR="003F753E" w:rsidRPr="003F753E">
        <w:rPr>
          <w:b/>
          <w:bCs/>
        </w:rPr>
        <w:t>moment d’inertie</w:t>
      </w:r>
      <w:r w:rsidR="003F753E">
        <w:t xml:space="preserve"> si ce sont les éléments diagonaux ou </w:t>
      </w:r>
      <w:r w:rsidR="003F753E" w:rsidRPr="003F753E">
        <w:rPr>
          <w:b/>
          <w:bCs/>
        </w:rPr>
        <w:t>produit d’inertie</w:t>
      </w:r>
      <w:r w:rsidR="003F753E">
        <w:t xml:space="preserve"> si ce sont les élément</w:t>
      </w:r>
      <w:r w:rsidR="00C221F7">
        <w:t>s</w:t>
      </w:r>
      <w:r w:rsidR="003F753E">
        <w:t xml:space="preserve"> non diagonaux. Pour les système possédant un plan de symétrie z=0, on remarque que les produits de symétrie intégrant sur la composante z s’annulent.</w:t>
      </w:r>
      <w:r w:rsidR="00193C95">
        <w:t xml:space="preserve"> </w:t>
      </w:r>
      <w:r w:rsidR="003F753E">
        <w:t xml:space="preserve"> </w:t>
      </w:r>
      <w:r w:rsidR="001D260E">
        <w:t xml:space="preserve">Donc, un solide avec une symétrie de rotation a tous ses produits d’inertie nuls. </w:t>
      </w:r>
    </w:p>
    <w:p w14:paraId="5395037C" w14:textId="215BBBB7" w:rsidR="00D71BD1" w:rsidRPr="007F793C" w:rsidRDefault="00D71BD1" w:rsidP="008B1CDA">
      <w:pPr>
        <w:pStyle w:val="NoSpacing"/>
      </w:pPr>
      <w:r>
        <w:t xml:space="preserve">Comme la matrice d’inertie est symétrique, il est possible de trouver une base </w:t>
      </w:r>
      <w:r w:rsidR="007F793C">
        <w:t xml:space="preserve">orthogonale </w:t>
      </w:r>
      <w:r>
        <w:t xml:space="preserve">(solidaire du point fixe </w:t>
      </w:r>
      <w:proofErr w:type="spellStart"/>
      <w:r>
        <w:t>ie</w:t>
      </w:r>
      <w:proofErr w:type="spellEnd"/>
      <w:r>
        <w:t xml:space="preserve"> origine du repère) dans lequel </w:t>
      </w:r>
      <w:r w:rsidR="007B6893">
        <w:t xml:space="preserve">on ne garde que les éléments diagonaux. </w:t>
      </w:r>
      <w:r w:rsidR="007F793C">
        <w:t xml:space="preserve">Ces axes sont appelés </w:t>
      </w:r>
      <w:r w:rsidR="007F793C" w:rsidRPr="007F793C">
        <w:rPr>
          <w:b/>
          <w:bCs/>
        </w:rPr>
        <w:t>axes principaux</w:t>
      </w:r>
      <w:r w:rsidR="007F793C">
        <w:t xml:space="preserve">. Si le vecteur rotation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 xml:space="preserve">  </m:t>
        </m:r>
      </m:oMath>
      <w:r w:rsidR="007F793C">
        <w:rPr>
          <w:rFonts w:eastAsiaTheme="minorEastAsia"/>
        </w:rPr>
        <w:t xml:space="preserve">est parallèle à un de ces axes de rotation, alors le moment cinétique est parallèle à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.</m:t>
        </m:r>
      </m:oMath>
    </w:p>
    <w:p w14:paraId="573D1A4F" w14:textId="1A22D2C9" w:rsidR="007F793C" w:rsidRPr="00B864D9" w:rsidRDefault="006F6725" w:rsidP="008B1CDA">
      <w:pPr>
        <w:pStyle w:val="NoSpacing"/>
      </w:pPr>
      <w:r>
        <w:rPr>
          <w:rFonts w:eastAsiaTheme="minorEastAsia"/>
          <w:b/>
          <w:bCs/>
        </w:rPr>
        <w:t xml:space="preserve">Résultat important pour l’énergie cinétique : </w:t>
      </w:r>
      <m:oMath>
        <m:r>
          <m:rPr>
            <m:sty m:val="bi"/>
          </m:rP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B929A3">
        <w:rPr>
          <w:rFonts w:eastAsiaTheme="minorEastAsia"/>
          <w:b/>
          <w:bCs/>
        </w:rPr>
        <w:t xml:space="preserve"> </w:t>
      </w:r>
      <w:r w:rsidR="00B929A3">
        <w:rPr>
          <w:rFonts w:eastAsiaTheme="minorEastAsia"/>
        </w:rPr>
        <w:t>avec les valeurs propres (</w:t>
      </w:r>
      <w:proofErr w:type="spellStart"/>
      <w:r w:rsidR="00B929A3">
        <w:rPr>
          <w:rFonts w:eastAsiaTheme="minorEastAsia"/>
        </w:rPr>
        <w:t>ie</w:t>
      </w:r>
      <w:proofErr w:type="spellEnd"/>
      <w:r w:rsidR="00B929A3">
        <w:rPr>
          <w:rFonts w:eastAsiaTheme="minorEastAsia"/>
        </w:rPr>
        <w:t xml:space="preserve"> moment d’inertie selon les axes principaux). </w:t>
      </w:r>
    </w:p>
    <w:p w14:paraId="44FD1EE5" w14:textId="0D597BD6" w:rsidR="00B864D9" w:rsidRPr="001E1C62" w:rsidRDefault="002740A9" w:rsidP="008B1CDA">
      <w:pPr>
        <w:pStyle w:val="NoSpacing"/>
      </w:pPr>
      <w:r>
        <w:rPr>
          <w:b/>
          <w:bCs/>
        </w:rPr>
        <w:t xml:space="preserve">Précession d’une toupie soumise à un moment de force faible : </w:t>
      </w:r>
      <w:r w:rsidR="009B5261">
        <w:rPr>
          <w:b/>
          <w:bCs/>
        </w:rPr>
        <w:t xml:space="preserve"> </w:t>
      </w:r>
      <w:r w:rsidR="009B5261">
        <w:t xml:space="preserve">On suppose que la toupie tourne autour de son axe de symétrie qui est un axe principal. Donc le moment </w:t>
      </w:r>
      <w:r w:rsidR="009B5261">
        <w:lastRenderedPageBreak/>
        <w:t xml:space="preserve">cinétique est parallèle à l’axe principal. </w:t>
      </w:r>
      <w:proofErr w:type="gramStart"/>
      <w:r w:rsidR="0032348B">
        <w:t>Si il</w:t>
      </w:r>
      <w:proofErr w:type="gramEnd"/>
      <w:r w:rsidR="0032348B">
        <w:t xml:space="preserve"> n’y a pas de moment de force, il n’y a pas de variation du moment cinétique dont pas de variation du vecteur rotation. </w:t>
      </w:r>
      <w:r w:rsidR="002D769F">
        <w:t xml:space="preserve">En revanche, les forces de pesanteurs induisent un moment non nul si la toupie fait un angle </w:t>
      </w:r>
      <m:oMath>
        <m:r>
          <w:rPr>
            <w:rFonts w:ascii="Cambria Math" w:hAnsi="Cambria Math"/>
          </w:rPr>
          <m:t xml:space="preserve">θ </m:t>
        </m:r>
      </m:oMath>
      <w:r w:rsidR="002D769F">
        <w:rPr>
          <w:rFonts w:eastAsiaTheme="minorEastAsia"/>
        </w:rPr>
        <w:t>avec la verticale</w:t>
      </w:r>
      <w:r w:rsidR="00B02B9A">
        <w:rPr>
          <w:rFonts w:eastAsiaTheme="minorEastAsia"/>
        </w:rPr>
        <w:t xml:space="preserve"> et donc une variation du vecteur rotation a lieu.</w:t>
      </w:r>
      <w:r w:rsidR="007E185E">
        <w:rPr>
          <w:rFonts w:eastAsiaTheme="minorEastAsia"/>
        </w:rPr>
        <w:t xml:space="preserve"> Si le moment des forces est faible, on peut faire une approximation et considérer que les composantes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7E185E">
        <w:rPr>
          <w:rFonts w:eastAsiaTheme="minorEastAsia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7E185E">
        <w:rPr>
          <w:rFonts w:eastAsiaTheme="minorEastAsia"/>
        </w:rPr>
        <w:t xml:space="preserve"> restent négligeable : Le moment cinétique continu à être parallèle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92138A">
        <w:rPr>
          <w:rFonts w:eastAsiaTheme="minorEastAsia"/>
        </w:rPr>
        <w:t xml:space="preserve"> Le théorème du moment cinétique </w:t>
      </w:r>
      <w:r w:rsidR="00C95C9D">
        <w:rPr>
          <w:rFonts w:eastAsiaTheme="minorEastAsia"/>
        </w:rPr>
        <w:t xml:space="preserve">permet d’exprimer dans cette approximation la variation du vecteur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C95C9D">
        <w:rPr>
          <w:rFonts w:eastAsiaTheme="minorEastAsia"/>
        </w:rPr>
        <w:t xml:space="preserve"> On remarque qu’il tourne autour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</m:oMath>
      <w:r w:rsidR="00C95C9D">
        <w:rPr>
          <w:rFonts w:eastAsiaTheme="minorEastAsia"/>
        </w:rPr>
        <w:t xml:space="preserve"> avec une vitesse de rotation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MgR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ω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z</m:t>
            </m:r>
          </m:sub>
        </m:sSub>
        <m:r>
          <w:rPr>
            <w:rFonts w:ascii="Cambria Math" w:eastAsiaTheme="minorEastAsia" w:hAnsi="Cambria Math"/>
          </w:rPr>
          <m:t>.</m:t>
        </m:r>
      </m:oMath>
      <w:r w:rsidR="00820539">
        <w:rPr>
          <w:rFonts w:eastAsiaTheme="minorEastAsia"/>
        </w:rPr>
        <w:t xml:space="preserve"> (R étant la distance du point fixe au centre de </w:t>
      </w:r>
      <w:r w:rsidR="00A54BD5">
        <w:rPr>
          <w:rFonts w:eastAsiaTheme="minorEastAsia"/>
        </w:rPr>
        <w:t>masse</w:t>
      </w:r>
      <w:r w:rsidR="00820539">
        <w:rPr>
          <w:rFonts w:eastAsiaTheme="minorEastAsia"/>
        </w:rPr>
        <w:t>.</w:t>
      </w:r>
      <w:r w:rsidR="00254D05">
        <w:rPr>
          <w:rFonts w:eastAsiaTheme="minorEastAsia"/>
        </w:rPr>
        <w:t xml:space="preserve"> Ce mouvement s’appelle </w:t>
      </w:r>
      <w:r w:rsidR="00254D05" w:rsidRPr="00254D05">
        <w:rPr>
          <w:rFonts w:eastAsiaTheme="minorEastAsia"/>
          <w:b/>
          <w:bCs/>
        </w:rPr>
        <w:t>précession</w:t>
      </w:r>
      <w:r w:rsidR="00254D05">
        <w:rPr>
          <w:rFonts w:eastAsiaTheme="minorEastAsia"/>
        </w:rPr>
        <w:t>.</w:t>
      </w:r>
      <w:r w:rsidR="00820539">
        <w:rPr>
          <w:rFonts w:eastAsiaTheme="minorEastAsia"/>
        </w:rPr>
        <w:t xml:space="preserve"> </w:t>
      </w:r>
    </w:p>
    <w:p w14:paraId="0709CC1F" w14:textId="591C2CA3" w:rsidR="0040085B" w:rsidRDefault="001E1C62" w:rsidP="008B1CDA">
      <w:pPr>
        <w:pStyle w:val="NoSpacing"/>
      </w:pPr>
      <w:r>
        <w:rPr>
          <w:b/>
          <w:bCs/>
        </w:rPr>
        <w:t>Equation d’</w:t>
      </w:r>
      <w:r w:rsidR="009E68F3">
        <w:rPr>
          <w:b/>
          <w:bCs/>
        </w:rPr>
        <w:t>E</w:t>
      </w:r>
      <w:r>
        <w:rPr>
          <w:b/>
          <w:bCs/>
        </w:rPr>
        <w:t>uler :</w:t>
      </w:r>
      <w:r w:rsidR="00DC6F8B">
        <w:rPr>
          <w:b/>
          <w:bCs/>
        </w:rPr>
        <w:t xml:space="preserve"> </w:t>
      </w:r>
      <w:r w:rsidR="00DC6F8B">
        <w:t>Il y a deux référentiels</w:t>
      </w:r>
      <w:r w:rsidR="006964B1">
        <w:t xml:space="preserve">. Le référentiel inertiel et le référentiel lié au corps en mouvement. On choisit comme origine un point fixe ou le centre de masse. </w:t>
      </w:r>
      <w:r w:rsidR="00240EE7">
        <w:t>Pour appliquer le théorème du moment cinétique, nous avons vu qu’il faut soit se placer dans le référentiel d’inertie. Ou le référentiel du centre de masse (</w:t>
      </w:r>
      <w:r w:rsidR="00240EE7" w:rsidRPr="00240EE7">
        <w:rPr>
          <w:color w:val="FF0000"/>
        </w:rPr>
        <w:t>on s’est d’ailleurs étonné que ce référentiel présente une forme similaire du</w:t>
      </w:r>
      <w:r w:rsidR="00240EE7">
        <w:t xml:space="preserve"> théorème du moment cinétique </w:t>
      </w:r>
      <w:proofErr w:type="spellStart"/>
      <w:r w:rsidR="00240EE7">
        <w:t>cf</w:t>
      </w:r>
      <w:proofErr w:type="spellEnd"/>
      <w:r w:rsidR="00240EE7">
        <w:t xml:space="preserve"> plus </w:t>
      </w:r>
      <w:proofErr w:type="gramStart"/>
      <w:r w:rsidR="00240EE7">
        <w:t>haut</w:t>
      </w:r>
      <w:r w:rsidR="00240EE7" w:rsidRPr="00240EE7">
        <w:t xml:space="preserve"> </w:t>
      </w:r>
      <w:r w:rsidR="00240EE7">
        <w:t>)</w:t>
      </w:r>
      <w:proofErr w:type="gramEnd"/>
      <w:r w:rsidR="00240EE7">
        <w:t>. Attention, le référentiel du centre de masse n’est pas un référentiel tournant !!!!</w:t>
      </w:r>
      <w:r w:rsidR="004C6F6B">
        <w:t xml:space="preserve"> C’est juste le référentiel inertiel en translation autour du centre de masse ! </w:t>
      </w:r>
      <w:r w:rsidR="0040085B">
        <w:t xml:space="preserve">En utilisant les formules de dérivations de vecteur, on a : </w:t>
      </w:r>
    </w:p>
    <w:p w14:paraId="3CF07EC9" w14:textId="17D9A057" w:rsidR="001E1C62" w:rsidRPr="00D03D3B" w:rsidRDefault="00B7543F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inertiel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tournant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  <m:r>
            <w:rPr>
              <w:rFonts w:ascii="Cambria Math" w:hAnsi="Cambria Math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14:paraId="7AA23041" w14:textId="325ED738" w:rsidR="005A126C" w:rsidRDefault="00D03D3B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rFonts w:eastAsiaTheme="minorEastAsia"/>
        </w:rPr>
        <w:t xml:space="preserve">Donc par application du théorème du moment cinétique :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</m:acc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+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ω</m:t>
            </m:r>
          </m:e>
        </m:acc>
        <m:r>
          <w:rPr>
            <w:rFonts w:ascii="Cambria Math" w:hAnsi="Cambria Math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</m:acc>
      </m:oMath>
      <w:r w:rsidR="00CF2893">
        <w:rPr>
          <w:rFonts w:eastAsiaTheme="minorEastAsia"/>
        </w:rPr>
        <w:t xml:space="preserve"> où la dérivée est prise dans le référentiel tournant qui est le référentiel d’axe principaux ! </w:t>
      </w:r>
    </w:p>
    <w:p w14:paraId="3FBEF1A1" w14:textId="33F845E4" w:rsidR="00015544" w:rsidRDefault="00015544" w:rsidP="0040085B">
      <w:pPr>
        <w:pStyle w:val="NoSpacing"/>
        <w:numPr>
          <w:ilvl w:val="0"/>
          <w:numId w:val="0"/>
        </w:numPr>
        <w:ind w:left="1428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225834" wp14:editId="52ABF325">
            <wp:simplePos x="0" y="0"/>
            <wp:positionH relativeFrom="margin">
              <wp:posOffset>1365885</wp:posOffset>
            </wp:positionH>
            <wp:positionV relativeFrom="paragraph">
              <wp:posOffset>523875</wp:posOffset>
            </wp:positionV>
            <wp:extent cx="3922395" cy="721360"/>
            <wp:effectExtent l="0" t="0" r="1905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893">
        <w:rPr>
          <w:rFonts w:eastAsiaTheme="minorEastAsia"/>
        </w:rPr>
        <w:t xml:space="preserve">Donc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3A6D39">
        <w:rPr>
          <w:rFonts w:eastAsiaTheme="minorEastAsia"/>
        </w:rPr>
        <w:t>.</w:t>
      </w:r>
    </w:p>
    <w:p w14:paraId="12E8EAA5" w14:textId="7C0DAECF" w:rsidR="00D03D3B" w:rsidRPr="00D03D3B" w:rsidRDefault="00C64DD7" w:rsidP="0040085B">
      <w:pPr>
        <w:pStyle w:val="NoSpacing"/>
        <w:numPr>
          <w:ilvl w:val="0"/>
          <w:numId w:val="0"/>
        </w:numPr>
        <w:ind w:left="1428"/>
      </w:pPr>
      <w:r>
        <w:rPr>
          <w:rFonts w:eastAsiaTheme="minorEastAsia"/>
        </w:rPr>
        <w:t xml:space="preserve"> </w:t>
      </w:r>
      <w:bookmarkStart w:id="0" w:name="_GoBack"/>
      <w:bookmarkEnd w:id="0"/>
    </w:p>
    <w:sectPr w:rsidR="00D03D3B" w:rsidRPr="00D03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697B4" w14:textId="77777777" w:rsidR="00B7543F" w:rsidRDefault="00B7543F" w:rsidP="00696E5B">
      <w:r>
        <w:separator/>
      </w:r>
    </w:p>
  </w:endnote>
  <w:endnote w:type="continuationSeparator" w:id="0">
    <w:p w14:paraId="28B4A720" w14:textId="77777777" w:rsidR="00B7543F" w:rsidRDefault="00B7543F" w:rsidP="00696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A9632" w14:textId="77777777" w:rsidR="00B7543F" w:rsidRDefault="00B7543F" w:rsidP="00696E5B">
      <w:r>
        <w:separator/>
      </w:r>
    </w:p>
  </w:footnote>
  <w:footnote w:type="continuationSeparator" w:id="0">
    <w:p w14:paraId="2B34F228" w14:textId="77777777" w:rsidR="00B7543F" w:rsidRDefault="00B7543F" w:rsidP="00696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B7946"/>
    <w:multiLevelType w:val="hybridMultilevel"/>
    <w:tmpl w:val="230CEF94"/>
    <w:lvl w:ilvl="0" w:tplc="9D2C2E7C">
      <w:start w:val="1"/>
      <w:numFmt w:val="upperLetter"/>
      <w:pStyle w:val="Heading2"/>
      <w:lvlText w:val="%1-"/>
      <w:lvlJc w:val="left"/>
      <w:pPr>
        <w:ind w:left="106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3B5348"/>
    <w:multiLevelType w:val="hybridMultilevel"/>
    <w:tmpl w:val="651EC534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D307555"/>
    <w:multiLevelType w:val="hybridMultilevel"/>
    <w:tmpl w:val="D4D6CAA0"/>
    <w:lvl w:ilvl="0" w:tplc="76DAE30C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08E2C18"/>
    <w:multiLevelType w:val="hybridMultilevel"/>
    <w:tmpl w:val="BBE8430A"/>
    <w:lvl w:ilvl="0" w:tplc="535E9B48">
      <w:start w:val="2009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032B1C"/>
    <w:multiLevelType w:val="hybridMultilevel"/>
    <w:tmpl w:val="E9342E5C"/>
    <w:lvl w:ilvl="0" w:tplc="F16C4AB8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6C166BE"/>
    <w:multiLevelType w:val="hybridMultilevel"/>
    <w:tmpl w:val="889067C0"/>
    <w:lvl w:ilvl="0" w:tplc="B23C24A2">
      <w:numFmt w:val="bullet"/>
      <w:pStyle w:val="NoSpacing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FE1DB7"/>
    <w:multiLevelType w:val="hybridMultilevel"/>
    <w:tmpl w:val="FB08EC66"/>
    <w:lvl w:ilvl="0" w:tplc="C74C2890">
      <w:start w:val="1"/>
      <w:numFmt w:val="decimal"/>
      <w:pStyle w:val="Heading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A4FCD"/>
    <w:multiLevelType w:val="hybridMultilevel"/>
    <w:tmpl w:val="3D7AF622"/>
    <w:lvl w:ilvl="0" w:tplc="8CF883B6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5BA54CA"/>
    <w:multiLevelType w:val="hybridMultilevel"/>
    <w:tmpl w:val="5F70A96A"/>
    <w:lvl w:ilvl="0" w:tplc="F2E4D420">
      <w:numFmt w:val="bullet"/>
      <w:lvlText w:val="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1994DB5"/>
    <w:multiLevelType w:val="hybridMultilevel"/>
    <w:tmpl w:val="59F205D8"/>
    <w:lvl w:ilvl="0" w:tplc="A154A83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43736F8"/>
    <w:multiLevelType w:val="hybridMultilevel"/>
    <w:tmpl w:val="757A2BFA"/>
    <w:lvl w:ilvl="0" w:tplc="1480CBA0">
      <w:start w:val="1"/>
      <w:numFmt w:val="upperLetter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3D11E51"/>
    <w:multiLevelType w:val="hybridMultilevel"/>
    <w:tmpl w:val="6B94A04E"/>
    <w:lvl w:ilvl="0" w:tplc="5864500A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0757B1"/>
    <w:multiLevelType w:val="hybridMultilevel"/>
    <w:tmpl w:val="230ABF02"/>
    <w:lvl w:ilvl="0" w:tplc="416C3AD4">
      <w:start w:val="1"/>
      <w:numFmt w:val="decimal"/>
      <w:lvlText w:val="%1-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60D2D88"/>
    <w:multiLevelType w:val="hybridMultilevel"/>
    <w:tmpl w:val="6246B37A"/>
    <w:lvl w:ilvl="0" w:tplc="C19C39B6">
      <w:start w:val="1"/>
      <w:numFmt w:val="lowerLetter"/>
      <w:pStyle w:val="Heading4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671C2"/>
    <w:multiLevelType w:val="hybridMultilevel"/>
    <w:tmpl w:val="A0A210DE"/>
    <w:lvl w:ilvl="0" w:tplc="7E4232B4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C911830"/>
    <w:multiLevelType w:val="hybridMultilevel"/>
    <w:tmpl w:val="169CD8F2"/>
    <w:lvl w:ilvl="0" w:tplc="4B5443E4">
      <w:start w:val="2009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13"/>
  </w:num>
  <w:num w:numId="6">
    <w:abstractNumId w:val="9"/>
  </w:num>
  <w:num w:numId="7">
    <w:abstractNumId w:val="13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15"/>
  </w:num>
  <w:num w:numId="10">
    <w:abstractNumId w:val="0"/>
  </w:num>
  <w:num w:numId="11">
    <w:abstractNumId w:val="3"/>
  </w:num>
  <w:num w:numId="12">
    <w:abstractNumId w:val="4"/>
  </w:num>
  <w:num w:numId="13">
    <w:abstractNumId w:val="12"/>
  </w:num>
  <w:num w:numId="14">
    <w:abstractNumId w:val="7"/>
  </w:num>
  <w:num w:numId="15">
    <w:abstractNumId w:val="8"/>
  </w:num>
  <w:num w:numId="16">
    <w:abstractNumId w:val="1"/>
  </w:num>
  <w:num w:numId="17">
    <w:abstractNumId w:val="10"/>
  </w:num>
  <w:num w:numId="18">
    <w:abstractNumId w:val="0"/>
    <w:lvlOverride w:ilvl="0">
      <w:startOverride w:val="1"/>
    </w:lvlOverride>
  </w:num>
  <w:num w:numId="1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90"/>
    <w:rsid w:val="00000A90"/>
    <w:rsid w:val="000074EF"/>
    <w:rsid w:val="0001060F"/>
    <w:rsid w:val="00012DED"/>
    <w:rsid w:val="00015544"/>
    <w:rsid w:val="00023E3B"/>
    <w:rsid w:val="0003131B"/>
    <w:rsid w:val="00034E69"/>
    <w:rsid w:val="00040005"/>
    <w:rsid w:val="000426C6"/>
    <w:rsid w:val="00047D1A"/>
    <w:rsid w:val="00050946"/>
    <w:rsid w:val="0005201C"/>
    <w:rsid w:val="00054031"/>
    <w:rsid w:val="000543CF"/>
    <w:rsid w:val="00062CEC"/>
    <w:rsid w:val="0006413B"/>
    <w:rsid w:val="00064A6E"/>
    <w:rsid w:val="00065EEE"/>
    <w:rsid w:val="000669A3"/>
    <w:rsid w:val="00070FED"/>
    <w:rsid w:val="00071F81"/>
    <w:rsid w:val="00073DA7"/>
    <w:rsid w:val="00075FE6"/>
    <w:rsid w:val="0008063F"/>
    <w:rsid w:val="000808E6"/>
    <w:rsid w:val="00086628"/>
    <w:rsid w:val="00087500"/>
    <w:rsid w:val="00090E3F"/>
    <w:rsid w:val="00097733"/>
    <w:rsid w:val="000A00B1"/>
    <w:rsid w:val="000A0D4A"/>
    <w:rsid w:val="000A404F"/>
    <w:rsid w:val="000A7BF2"/>
    <w:rsid w:val="000A7FFE"/>
    <w:rsid w:val="000B419D"/>
    <w:rsid w:val="000B7BD7"/>
    <w:rsid w:val="000C64E4"/>
    <w:rsid w:val="000C64F0"/>
    <w:rsid w:val="000D09CB"/>
    <w:rsid w:val="000D6593"/>
    <w:rsid w:val="000D7BBD"/>
    <w:rsid w:val="000E269E"/>
    <w:rsid w:val="000E3286"/>
    <w:rsid w:val="000E3547"/>
    <w:rsid w:val="000E3568"/>
    <w:rsid w:val="000F0B1C"/>
    <w:rsid w:val="000F3E94"/>
    <w:rsid w:val="00103845"/>
    <w:rsid w:val="00106BF1"/>
    <w:rsid w:val="00112123"/>
    <w:rsid w:val="00114315"/>
    <w:rsid w:val="00114C03"/>
    <w:rsid w:val="00115C26"/>
    <w:rsid w:val="00117A99"/>
    <w:rsid w:val="00120AAF"/>
    <w:rsid w:val="0012103B"/>
    <w:rsid w:val="0012231E"/>
    <w:rsid w:val="001245F7"/>
    <w:rsid w:val="001333B4"/>
    <w:rsid w:val="001372A6"/>
    <w:rsid w:val="001423FA"/>
    <w:rsid w:val="0014282F"/>
    <w:rsid w:val="00147602"/>
    <w:rsid w:val="00147CC6"/>
    <w:rsid w:val="00150D8C"/>
    <w:rsid w:val="00151503"/>
    <w:rsid w:val="001518B5"/>
    <w:rsid w:val="00151C08"/>
    <w:rsid w:val="001536B7"/>
    <w:rsid w:val="00155448"/>
    <w:rsid w:val="00155919"/>
    <w:rsid w:val="001609EA"/>
    <w:rsid w:val="001616F2"/>
    <w:rsid w:val="001659ED"/>
    <w:rsid w:val="00166721"/>
    <w:rsid w:val="001735C3"/>
    <w:rsid w:val="0017651B"/>
    <w:rsid w:val="00176F2A"/>
    <w:rsid w:val="001806D6"/>
    <w:rsid w:val="00187001"/>
    <w:rsid w:val="00191476"/>
    <w:rsid w:val="0019346B"/>
    <w:rsid w:val="00193C95"/>
    <w:rsid w:val="00194131"/>
    <w:rsid w:val="00195422"/>
    <w:rsid w:val="001957AF"/>
    <w:rsid w:val="001A1C04"/>
    <w:rsid w:val="001A21B9"/>
    <w:rsid w:val="001B3F89"/>
    <w:rsid w:val="001B456F"/>
    <w:rsid w:val="001B7569"/>
    <w:rsid w:val="001B7D9A"/>
    <w:rsid w:val="001C047F"/>
    <w:rsid w:val="001C286F"/>
    <w:rsid w:val="001D19AD"/>
    <w:rsid w:val="001D1B5E"/>
    <w:rsid w:val="001D1D93"/>
    <w:rsid w:val="001D260E"/>
    <w:rsid w:val="001D378E"/>
    <w:rsid w:val="001D40F8"/>
    <w:rsid w:val="001D6522"/>
    <w:rsid w:val="001D7B61"/>
    <w:rsid w:val="001E015D"/>
    <w:rsid w:val="001E119E"/>
    <w:rsid w:val="001E1C62"/>
    <w:rsid w:val="001E4FC8"/>
    <w:rsid w:val="001E56B6"/>
    <w:rsid w:val="001F11E5"/>
    <w:rsid w:val="001F4BB3"/>
    <w:rsid w:val="001F5376"/>
    <w:rsid w:val="001F53DB"/>
    <w:rsid w:val="001F6E7F"/>
    <w:rsid w:val="00200B28"/>
    <w:rsid w:val="0020739B"/>
    <w:rsid w:val="00212009"/>
    <w:rsid w:val="0021584E"/>
    <w:rsid w:val="00215C57"/>
    <w:rsid w:val="00216670"/>
    <w:rsid w:val="00217980"/>
    <w:rsid w:val="00225D6F"/>
    <w:rsid w:val="00227333"/>
    <w:rsid w:val="00231625"/>
    <w:rsid w:val="00232B99"/>
    <w:rsid w:val="00232EBF"/>
    <w:rsid w:val="00240EE7"/>
    <w:rsid w:val="00245991"/>
    <w:rsid w:val="002538D3"/>
    <w:rsid w:val="00254D05"/>
    <w:rsid w:val="00255939"/>
    <w:rsid w:val="00256A93"/>
    <w:rsid w:val="00264513"/>
    <w:rsid w:val="00264A8F"/>
    <w:rsid w:val="00266C9F"/>
    <w:rsid w:val="002709FF"/>
    <w:rsid w:val="002740A9"/>
    <w:rsid w:val="00277239"/>
    <w:rsid w:val="00282DF1"/>
    <w:rsid w:val="00285793"/>
    <w:rsid w:val="00287724"/>
    <w:rsid w:val="0029149F"/>
    <w:rsid w:val="00292B7F"/>
    <w:rsid w:val="00293EC0"/>
    <w:rsid w:val="00295EF7"/>
    <w:rsid w:val="00296339"/>
    <w:rsid w:val="00296C97"/>
    <w:rsid w:val="00297919"/>
    <w:rsid w:val="002A60C6"/>
    <w:rsid w:val="002A643A"/>
    <w:rsid w:val="002A7461"/>
    <w:rsid w:val="002A7EAA"/>
    <w:rsid w:val="002B084E"/>
    <w:rsid w:val="002B0DCF"/>
    <w:rsid w:val="002B2A94"/>
    <w:rsid w:val="002B4816"/>
    <w:rsid w:val="002B60E5"/>
    <w:rsid w:val="002B6916"/>
    <w:rsid w:val="002B6CEE"/>
    <w:rsid w:val="002B70CC"/>
    <w:rsid w:val="002C2E94"/>
    <w:rsid w:val="002C7405"/>
    <w:rsid w:val="002D0B5E"/>
    <w:rsid w:val="002D1CCB"/>
    <w:rsid w:val="002D2B05"/>
    <w:rsid w:val="002D3FBF"/>
    <w:rsid w:val="002D769F"/>
    <w:rsid w:val="002E4AF4"/>
    <w:rsid w:val="002E7B24"/>
    <w:rsid w:val="002F0C48"/>
    <w:rsid w:val="002F1756"/>
    <w:rsid w:val="002F254C"/>
    <w:rsid w:val="002F4D06"/>
    <w:rsid w:val="002F6A5A"/>
    <w:rsid w:val="002F6ED4"/>
    <w:rsid w:val="00302156"/>
    <w:rsid w:val="00306CA3"/>
    <w:rsid w:val="0030725F"/>
    <w:rsid w:val="0031098A"/>
    <w:rsid w:val="00311151"/>
    <w:rsid w:val="00312CF6"/>
    <w:rsid w:val="0032348B"/>
    <w:rsid w:val="00327969"/>
    <w:rsid w:val="00330ACD"/>
    <w:rsid w:val="00331619"/>
    <w:rsid w:val="003325D4"/>
    <w:rsid w:val="00332F15"/>
    <w:rsid w:val="00333D0D"/>
    <w:rsid w:val="00340323"/>
    <w:rsid w:val="0034567B"/>
    <w:rsid w:val="003518D3"/>
    <w:rsid w:val="00351AB2"/>
    <w:rsid w:val="0035298E"/>
    <w:rsid w:val="00352993"/>
    <w:rsid w:val="00356756"/>
    <w:rsid w:val="00356E1D"/>
    <w:rsid w:val="003626DD"/>
    <w:rsid w:val="003643E5"/>
    <w:rsid w:val="0036471A"/>
    <w:rsid w:val="00366B86"/>
    <w:rsid w:val="00366C1C"/>
    <w:rsid w:val="00372931"/>
    <w:rsid w:val="00377560"/>
    <w:rsid w:val="00377F28"/>
    <w:rsid w:val="0038103C"/>
    <w:rsid w:val="003818C5"/>
    <w:rsid w:val="00381B02"/>
    <w:rsid w:val="00384F95"/>
    <w:rsid w:val="003878DC"/>
    <w:rsid w:val="003934EB"/>
    <w:rsid w:val="00393DEC"/>
    <w:rsid w:val="003946AE"/>
    <w:rsid w:val="00394CE5"/>
    <w:rsid w:val="00395313"/>
    <w:rsid w:val="00396E4E"/>
    <w:rsid w:val="003A085B"/>
    <w:rsid w:val="003A3132"/>
    <w:rsid w:val="003A444B"/>
    <w:rsid w:val="003A4F32"/>
    <w:rsid w:val="003A6D39"/>
    <w:rsid w:val="003A752E"/>
    <w:rsid w:val="003B0AE7"/>
    <w:rsid w:val="003B1D75"/>
    <w:rsid w:val="003B2AB0"/>
    <w:rsid w:val="003B3C87"/>
    <w:rsid w:val="003B3E1B"/>
    <w:rsid w:val="003B57F3"/>
    <w:rsid w:val="003B6488"/>
    <w:rsid w:val="003C373A"/>
    <w:rsid w:val="003C42E3"/>
    <w:rsid w:val="003C64F8"/>
    <w:rsid w:val="003D0198"/>
    <w:rsid w:val="003D1B9E"/>
    <w:rsid w:val="003D7131"/>
    <w:rsid w:val="003E0534"/>
    <w:rsid w:val="003E1E5C"/>
    <w:rsid w:val="003E25C6"/>
    <w:rsid w:val="003E4FD3"/>
    <w:rsid w:val="003E7DDE"/>
    <w:rsid w:val="003E7F8D"/>
    <w:rsid w:val="003F1860"/>
    <w:rsid w:val="003F5253"/>
    <w:rsid w:val="003F5D4D"/>
    <w:rsid w:val="003F6B40"/>
    <w:rsid w:val="003F753E"/>
    <w:rsid w:val="0040085B"/>
    <w:rsid w:val="004032B4"/>
    <w:rsid w:val="00406F7D"/>
    <w:rsid w:val="00411333"/>
    <w:rsid w:val="0041178B"/>
    <w:rsid w:val="00413C8D"/>
    <w:rsid w:val="00415878"/>
    <w:rsid w:val="004170F2"/>
    <w:rsid w:val="0042047A"/>
    <w:rsid w:val="00420A04"/>
    <w:rsid w:val="00422AF3"/>
    <w:rsid w:val="00422AF8"/>
    <w:rsid w:val="004275C2"/>
    <w:rsid w:val="00430E11"/>
    <w:rsid w:val="00440E83"/>
    <w:rsid w:val="00443ABF"/>
    <w:rsid w:val="00443EFD"/>
    <w:rsid w:val="00447027"/>
    <w:rsid w:val="00447780"/>
    <w:rsid w:val="004532CE"/>
    <w:rsid w:val="00460D27"/>
    <w:rsid w:val="004645CB"/>
    <w:rsid w:val="00465A32"/>
    <w:rsid w:val="00467539"/>
    <w:rsid w:val="004718DE"/>
    <w:rsid w:val="0047248D"/>
    <w:rsid w:val="00476ED2"/>
    <w:rsid w:val="0048116B"/>
    <w:rsid w:val="00483592"/>
    <w:rsid w:val="00492870"/>
    <w:rsid w:val="00492BCB"/>
    <w:rsid w:val="004933EE"/>
    <w:rsid w:val="004A012E"/>
    <w:rsid w:val="004A1F0C"/>
    <w:rsid w:val="004A2411"/>
    <w:rsid w:val="004A2ECA"/>
    <w:rsid w:val="004A2EDC"/>
    <w:rsid w:val="004A5EA5"/>
    <w:rsid w:val="004A78F7"/>
    <w:rsid w:val="004B0953"/>
    <w:rsid w:val="004B1A32"/>
    <w:rsid w:val="004B1F5A"/>
    <w:rsid w:val="004B24BF"/>
    <w:rsid w:val="004B2B4E"/>
    <w:rsid w:val="004B4067"/>
    <w:rsid w:val="004B5F69"/>
    <w:rsid w:val="004C6F6B"/>
    <w:rsid w:val="004D621C"/>
    <w:rsid w:val="004E2BCF"/>
    <w:rsid w:val="004E435C"/>
    <w:rsid w:val="004E5916"/>
    <w:rsid w:val="004E5A7A"/>
    <w:rsid w:val="004F021F"/>
    <w:rsid w:val="004F3328"/>
    <w:rsid w:val="004F47DC"/>
    <w:rsid w:val="004F5F5D"/>
    <w:rsid w:val="004F62D6"/>
    <w:rsid w:val="004F677E"/>
    <w:rsid w:val="00500275"/>
    <w:rsid w:val="00500779"/>
    <w:rsid w:val="00501C46"/>
    <w:rsid w:val="00504F61"/>
    <w:rsid w:val="00506525"/>
    <w:rsid w:val="005117CA"/>
    <w:rsid w:val="005141E7"/>
    <w:rsid w:val="00514362"/>
    <w:rsid w:val="00517B72"/>
    <w:rsid w:val="00520FF1"/>
    <w:rsid w:val="0052361A"/>
    <w:rsid w:val="005251D5"/>
    <w:rsid w:val="00527AE5"/>
    <w:rsid w:val="00530305"/>
    <w:rsid w:val="00530C17"/>
    <w:rsid w:val="005320A3"/>
    <w:rsid w:val="00532B30"/>
    <w:rsid w:val="005332C5"/>
    <w:rsid w:val="005338E5"/>
    <w:rsid w:val="00533AA4"/>
    <w:rsid w:val="00540641"/>
    <w:rsid w:val="0054171D"/>
    <w:rsid w:val="00544BF5"/>
    <w:rsid w:val="005467B2"/>
    <w:rsid w:val="00547568"/>
    <w:rsid w:val="00552504"/>
    <w:rsid w:val="005528CB"/>
    <w:rsid w:val="00553957"/>
    <w:rsid w:val="00562410"/>
    <w:rsid w:val="0056251B"/>
    <w:rsid w:val="005633B6"/>
    <w:rsid w:val="0056356A"/>
    <w:rsid w:val="00571FA2"/>
    <w:rsid w:val="00582FB9"/>
    <w:rsid w:val="00583B69"/>
    <w:rsid w:val="00596260"/>
    <w:rsid w:val="005968A7"/>
    <w:rsid w:val="005A126C"/>
    <w:rsid w:val="005A1D65"/>
    <w:rsid w:val="005A2F18"/>
    <w:rsid w:val="005A524E"/>
    <w:rsid w:val="005A5B44"/>
    <w:rsid w:val="005B0842"/>
    <w:rsid w:val="005B4DC6"/>
    <w:rsid w:val="005C197A"/>
    <w:rsid w:val="005C1E4B"/>
    <w:rsid w:val="005C2909"/>
    <w:rsid w:val="005C4D61"/>
    <w:rsid w:val="005C5837"/>
    <w:rsid w:val="005D50E2"/>
    <w:rsid w:val="005D6F95"/>
    <w:rsid w:val="005D76FE"/>
    <w:rsid w:val="005E2692"/>
    <w:rsid w:val="005E3844"/>
    <w:rsid w:val="005E5124"/>
    <w:rsid w:val="0060298B"/>
    <w:rsid w:val="00603817"/>
    <w:rsid w:val="00607CF9"/>
    <w:rsid w:val="00612E45"/>
    <w:rsid w:val="00613212"/>
    <w:rsid w:val="006203F9"/>
    <w:rsid w:val="00627463"/>
    <w:rsid w:val="00627DBA"/>
    <w:rsid w:val="00631082"/>
    <w:rsid w:val="00631372"/>
    <w:rsid w:val="00632184"/>
    <w:rsid w:val="006335A4"/>
    <w:rsid w:val="00633F14"/>
    <w:rsid w:val="0063468F"/>
    <w:rsid w:val="006430C7"/>
    <w:rsid w:val="00643DDC"/>
    <w:rsid w:val="00645613"/>
    <w:rsid w:val="00645E5B"/>
    <w:rsid w:val="00645F88"/>
    <w:rsid w:val="00651318"/>
    <w:rsid w:val="006518E1"/>
    <w:rsid w:val="00652E93"/>
    <w:rsid w:val="0065585D"/>
    <w:rsid w:val="00655CEE"/>
    <w:rsid w:val="006578BF"/>
    <w:rsid w:val="00660DD9"/>
    <w:rsid w:val="00660E43"/>
    <w:rsid w:val="0066183C"/>
    <w:rsid w:val="006625BA"/>
    <w:rsid w:val="00664297"/>
    <w:rsid w:val="006652FA"/>
    <w:rsid w:val="0066565B"/>
    <w:rsid w:val="00676A73"/>
    <w:rsid w:val="00683AE3"/>
    <w:rsid w:val="006850BC"/>
    <w:rsid w:val="00685942"/>
    <w:rsid w:val="0069281F"/>
    <w:rsid w:val="006964B1"/>
    <w:rsid w:val="00696E5B"/>
    <w:rsid w:val="006A028C"/>
    <w:rsid w:val="006A1CA2"/>
    <w:rsid w:val="006A3ADC"/>
    <w:rsid w:val="006A7371"/>
    <w:rsid w:val="006B10B4"/>
    <w:rsid w:val="006B5513"/>
    <w:rsid w:val="006B5C5F"/>
    <w:rsid w:val="006C0843"/>
    <w:rsid w:val="006C1545"/>
    <w:rsid w:val="006C286E"/>
    <w:rsid w:val="006C37E3"/>
    <w:rsid w:val="006C56FD"/>
    <w:rsid w:val="006C6317"/>
    <w:rsid w:val="006D1486"/>
    <w:rsid w:val="006D4C21"/>
    <w:rsid w:val="006D4F64"/>
    <w:rsid w:val="006D613D"/>
    <w:rsid w:val="006D7C08"/>
    <w:rsid w:val="006E3E4D"/>
    <w:rsid w:val="006E71BD"/>
    <w:rsid w:val="006E74B5"/>
    <w:rsid w:val="006E7E49"/>
    <w:rsid w:val="006F3130"/>
    <w:rsid w:val="006F506D"/>
    <w:rsid w:val="006F5D14"/>
    <w:rsid w:val="006F6725"/>
    <w:rsid w:val="006F7842"/>
    <w:rsid w:val="00700918"/>
    <w:rsid w:val="00701FB6"/>
    <w:rsid w:val="007101F2"/>
    <w:rsid w:val="00713E1C"/>
    <w:rsid w:val="00717CDE"/>
    <w:rsid w:val="0072209B"/>
    <w:rsid w:val="00725A42"/>
    <w:rsid w:val="007308A5"/>
    <w:rsid w:val="007326DF"/>
    <w:rsid w:val="00733714"/>
    <w:rsid w:val="00735DA6"/>
    <w:rsid w:val="0074113F"/>
    <w:rsid w:val="007412B6"/>
    <w:rsid w:val="00745105"/>
    <w:rsid w:val="007462E4"/>
    <w:rsid w:val="00747012"/>
    <w:rsid w:val="007519A3"/>
    <w:rsid w:val="00751B49"/>
    <w:rsid w:val="007538C2"/>
    <w:rsid w:val="00754036"/>
    <w:rsid w:val="00755829"/>
    <w:rsid w:val="00756A90"/>
    <w:rsid w:val="00763A7F"/>
    <w:rsid w:val="00763CA4"/>
    <w:rsid w:val="00771065"/>
    <w:rsid w:val="00771BCA"/>
    <w:rsid w:val="00773F21"/>
    <w:rsid w:val="00774B7F"/>
    <w:rsid w:val="007769A6"/>
    <w:rsid w:val="007776CF"/>
    <w:rsid w:val="00781C80"/>
    <w:rsid w:val="0078597B"/>
    <w:rsid w:val="00790646"/>
    <w:rsid w:val="00790C3A"/>
    <w:rsid w:val="007965D2"/>
    <w:rsid w:val="00797849"/>
    <w:rsid w:val="007A0119"/>
    <w:rsid w:val="007A2A1D"/>
    <w:rsid w:val="007A3CF6"/>
    <w:rsid w:val="007A7E7D"/>
    <w:rsid w:val="007B2C3C"/>
    <w:rsid w:val="007B4129"/>
    <w:rsid w:val="007B6893"/>
    <w:rsid w:val="007C16EC"/>
    <w:rsid w:val="007C3A23"/>
    <w:rsid w:val="007C5D87"/>
    <w:rsid w:val="007C6197"/>
    <w:rsid w:val="007C7C23"/>
    <w:rsid w:val="007D0352"/>
    <w:rsid w:val="007D0E2C"/>
    <w:rsid w:val="007D1989"/>
    <w:rsid w:val="007D386D"/>
    <w:rsid w:val="007D41AC"/>
    <w:rsid w:val="007D5CA4"/>
    <w:rsid w:val="007E185E"/>
    <w:rsid w:val="007E1E7A"/>
    <w:rsid w:val="007E59CD"/>
    <w:rsid w:val="007E653D"/>
    <w:rsid w:val="007F207B"/>
    <w:rsid w:val="007F41DD"/>
    <w:rsid w:val="007F4C6F"/>
    <w:rsid w:val="007F50B0"/>
    <w:rsid w:val="007F793C"/>
    <w:rsid w:val="00801F2C"/>
    <w:rsid w:val="00804066"/>
    <w:rsid w:val="00807FBA"/>
    <w:rsid w:val="00810C2E"/>
    <w:rsid w:val="008138BA"/>
    <w:rsid w:val="00814C51"/>
    <w:rsid w:val="00820539"/>
    <w:rsid w:val="00820A6F"/>
    <w:rsid w:val="0082133B"/>
    <w:rsid w:val="00822724"/>
    <w:rsid w:val="00823959"/>
    <w:rsid w:val="0082399D"/>
    <w:rsid w:val="00836C21"/>
    <w:rsid w:val="00841858"/>
    <w:rsid w:val="00843136"/>
    <w:rsid w:val="008438B7"/>
    <w:rsid w:val="008460E1"/>
    <w:rsid w:val="0084707F"/>
    <w:rsid w:val="0085219B"/>
    <w:rsid w:val="00852727"/>
    <w:rsid w:val="00853846"/>
    <w:rsid w:val="008557A0"/>
    <w:rsid w:val="00861322"/>
    <w:rsid w:val="008633C4"/>
    <w:rsid w:val="00863A7D"/>
    <w:rsid w:val="00865D3D"/>
    <w:rsid w:val="00866A9A"/>
    <w:rsid w:val="00866EE9"/>
    <w:rsid w:val="0086753B"/>
    <w:rsid w:val="008754D1"/>
    <w:rsid w:val="008774F8"/>
    <w:rsid w:val="00880986"/>
    <w:rsid w:val="00881054"/>
    <w:rsid w:val="00885CA2"/>
    <w:rsid w:val="00890098"/>
    <w:rsid w:val="00891D8B"/>
    <w:rsid w:val="00892B14"/>
    <w:rsid w:val="00893F12"/>
    <w:rsid w:val="008A2EFE"/>
    <w:rsid w:val="008A319A"/>
    <w:rsid w:val="008A446E"/>
    <w:rsid w:val="008A5DBC"/>
    <w:rsid w:val="008A6170"/>
    <w:rsid w:val="008B1180"/>
    <w:rsid w:val="008B1CDA"/>
    <w:rsid w:val="008B4229"/>
    <w:rsid w:val="008B4692"/>
    <w:rsid w:val="008B4A57"/>
    <w:rsid w:val="008C0A08"/>
    <w:rsid w:val="008C132A"/>
    <w:rsid w:val="008C2184"/>
    <w:rsid w:val="008C5D0B"/>
    <w:rsid w:val="008C5E9D"/>
    <w:rsid w:val="008C647E"/>
    <w:rsid w:val="008D11BA"/>
    <w:rsid w:val="008D1676"/>
    <w:rsid w:val="008D171E"/>
    <w:rsid w:val="008D34BF"/>
    <w:rsid w:val="008D5E9B"/>
    <w:rsid w:val="008D69AE"/>
    <w:rsid w:val="008E37BE"/>
    <w:rsid w:val="008E4664"/>
    <w:rsid w:val="008E6B42"/>
    <w:rsid w:val="008F50F2"/>
    <w:rsid w:val="008F572C"/>
    <w:rsid w:val="0090066B"/>
    <w:rsid w:val="00901F51"/>
    <w:rsid w:val="009023DF"/>
    <w:rsid w:val="00902E17"/>
    <w:rsid w:val="009051AE"/>
    <w:rsid w:val="0090523B"/>
    <w:rsid w:val="009059F2"/>
    <w:rsid w:val="00913542"/>
    <w:rsid w:val="00915976"/>
    <w:rsid w:val="009174AD"/>
    <w:rsid w:val="0091788A"/>
    <w:rsid w:val="0092138A"/>
    <w:rsid w:val="00921952"/>
    <w:rsid w:val="00922709"/>
    <w:rsid w:val="00923304"/>
    <w:rsid w:val="009275E5"/>
    <w:rsid w:val="0093335F"/>
    <w:rsid w:val="009411A4"/>
    <w:rsid w:val="0094228D"/>
    <w:rsid w:val="00942C8E"/>
    <w:rsid w:val="00944160"/>
    <w:rsid w:val="0094512B"/>
    <w:rsid w:val="009457F8"/>
    <w:rsid w:val="00946173"/>
    <w:rsid w:val="00946ABB"/>
    <w:rsid w:val="00946BF4"/>
    <w:rsid w:val="00946D24"/>
    <w:rsid w:val="00950852"/>
    <w:rsid w:val="00952C4A"/>
    <w:rsid w:val="009575C3"/>
    <w:rsid w:val="0096142A"/>
    <w:rsid w:val="00962583"/>
    <w:rsid w:val="009632E1"/>
    <w:rsid w:val="0096684E"/>
    <w:rsid w:val="00972B89"/>
    <w:rsid w:val="00985C66"/>
    <w:rsid w:val="00986E6D"/>
    <w:rsid w:val="0099514F"/>
    <w:rsid w:val="009A0385"/>
    <w:rsid w:val="009A079A"/>
    <w:rsid w:val="009A0F00"/>
    <w:rsid w:val="009A1172"/>
    <w:rsid w:val="009A3FF7"/>
    <w:rsid w:val="009A49DF"/>
    <w:rsid w:val="009B03C5"/>
    <w:rsid w:val="009B5261"/>
    <w:rsid w:val="009B5D9B"/>
    <w:rsid w:val="009C00F6"/>
    <w:rsid w:val="009C29BC"/>
    <w:rsid w:val="009C2DBB"/>
    <w:rsid w:val="009C4257"/>
    <w:rsid w:val="009C7697"/>
    <w:rsid w:val="009C7BF0"/>
    <w:rsid w:val="009D3155"/>
    <w:rsid w:val="009D4966"/>
    <w:rsid w:val="009D71E6"/>
    <w:rsid w:val="009D7AB0"/>
    <w:rsid w:val="009E5D66"/>
    <w:rsid w:val="009E641C"/>
    <w:rsid w:val="009E68F3"/>
    <w:rsid w:val="009F12CD"/>
    <w:rsid w:val="009F3223"/>
    <w:rsid w:val="009F4D92"/>
    <w:rsid w:val="009F67A1"/>
    <w:rsid w:val="00A0075C"/>
    <w:rsid w:val="00A009BC"/>
    <w:rsid w:val="00A01077"/>
    <w:rsid w:val="00A0248A"/>
    <w:rsid w:val="00A04687"/>
    <w:rsid w:val="00A04B81"/>
    <w:rsid w:val="00A05655"/>
    <w:rsid w:val="00A068F2"/>
    <w:rsid w:val="00A11429"/>
    <w:rsid w:val="00A170CB"/>
    <w:rsid w:val="00A20952"/>
    <w:rsid w:val="00A21AC6"/>
    <w:rsid w:val="00A2415A"/>
    <w:rsid w:val="00A27ED0"/>
    <w:rsid w:val="00A30101"/>
    <w:rsid w:val="00A3198C"/>
    <w:rsid w:val="00A3345B"/>
    <w:rsid w:val="00A369F0"/>
    <w:rsid w:val="00A36C1F"/>
    <w:rsid w:val="00A433B3"/>
    <w:rsid w:val="00A44144"/>
    <w:rsid w:val="00A45D7F"/>
    <w:rsid w:val="00A46D7B"/>
    <w:rsid w:val="00A47957"/>
    <w:rsid w:val="00A51C83"/>
    <w:rsid w:val="00A5317C"/>
    <w:rsid w:val="00A53BB8"/>
    <w:rsid w:val="00A54BD5"/>
    <w:rsid w:val="00A56388"/>
    <w:rsid w:val="00A56687"/>
    <w:rsid w:val="00A6074A"/>
    <w:rsid w:val="00A609D1"/>
    <w:rsid w:val="00A6270C"/>
    <w:rsid w:val="00A62E2F"/>
    <w:rsid w:val="00A63981"/>
    <w:rsid w:val="00A6569A"/>
    <w:rsid w:val="00A67E6B"/>
    <w:rsid w:val="00A7474A"/>
    <w:rsid w:val="00A75D31"/>
    <w:rsid w:val="00A8107B"/>
    <w:rsid w:val="00A8206F"/>
    <w:rsid w:val="00A8427C"/>
    <w:rsid w:val="00A855E2"/>
    <w:rsid w:val="00A87C7C"/>
    <w:rsid w:val="00A90A25"/>
    <w:rsid w:val="00A97E61"/>
    <w:rsid w:val="00AA371F"/>
    <w:rsid w:val="00AB02D3"/>
    <w:rsid w:val="00AB2196"/>
    <w:rsid w:val="00AB7E59"/>
    <w:rsid w:val="00AC1D00"/>
    <w:rsid w:val="00AC25EB"/>
    <w:rsid w:val="00AC5848"/>
    <w:rsid w:val="00AC5D8C"/>
    <w:rsid w:val="00AD1611"/>
    <w:rsid w:val="00AD1988"/>
    <w:rsid w:val="00AD231E"/>
    <w:rsid w:val="00AD3643"/>
    <w:rsid w:val="00AD3F58"/>
    <w:rsid w:val="00AD67B0"/>
    <w:rsid w:val="00AE013F"/>
    <w:rsid w:val="00AE0606"/>
    <w:rsid w:val="00AE25F9"/>
    <w:rsid w:val="00AE27B9"/>
    <w:rsid w:val="00AE45DC"/>
    <w:rsid w:val="00AE554A"/>
    <w:rsid w:val="00AF0819"/>
    <w:rsid w:val="00AF46FF"/>
    <w:rsid w:val="00AF6885"/>
    <w:rsid w:val="00B0146C"/>
    <w:rsid w:val="00B02B9A"/>
    <w:rsid w:val="00B0623C"/>
    <w:rsid w:val="00B0642B"/>
    <w:rsid w:val="00B06E68"/>
    <w:rsid w:val="00B1004E"/>
    <w:rsid w:val="00B11CAF"/>
    <w:rsid w:val="00B13C8A"/>
    <w:rsid w:val="00B14984"/>
    <w:rsid w:val="00B238F6"/>
    <w:rsid w:val="00B26067"/>
    <w:rsid w:val="00B26AA5"/>
    <w:rsid w:val="00B40639"/>
    <w:rsid w:val="00B408A5"/>
    <w:rsid w:val="00B41401"/>
    <w:rsid w:val="00B42D9E"/>
    <w:rsid w:val="00B44D4C"/>
    <w:rsid w:val="00B4545A"/>
    <w:rsid w:val="00B46FB3"/>
    <w:rsid w:val="00B51993"/>
    <w:rsid w:val="00B523ED"/>
    <w:rsid w:val="00B5716E"/>
    <w:rsid w:val="00B631E5"/>
    <w:rsid w:val="00B656B8"/>
    <w:rsid w:val="00B67444"/>
    <w:rsid w:val="00B710BB"/>
    <w:rsid w:val="00B7543F"/>
    <w:rsid w:val="00B75500"/>
    <w:rsid w:val="00B762DF"/>
    <w:rsid w:val="00B82103"/>
    <w:rsid w:val="00B82395"/>
    <w:rsid w:val="00B82AE3"/>
    <w:rsid w:val="00B864D9"/>
    <w:rsid w:val="00B929A3"/>
    <w:rsid w:val="00BA0394"/>
    <w:rsid w:val="00BA0A97"/>
    <w:rsid w:val="00BA53B6"/>
    <w:rsid w:val="00BA7380"/>
    <w:rsid w:val="00BB2A6E"/>
    <w:rsid w:val="00BB31F5"/>
    <w:rsid w:val="00BB479A"/>
    <w:rsid w:val="00BB58F9"/>
    <w:rsid w:val="00BD561C"/>
    <w:rsid w:val="00BE384C"/>
    <w:rsid w:val="00BE4CA1"/>
    <w:rsid w:val="00BE6FAC"/>
    <w:rsid w:val="00BE77D2"/>
    <w:rsid w:val="00BF1F37"/>
    <w:rsid w:val="00BF33EF"/>
    <w:rsid w:val="00BF3DB7"/>
    <w:rsid w:val="00C0293C"/>
    <w:rsid w:val="00C050CF"/>
    <w:rsid w:val="00C1042F"/>
    <w:rsid w:val="00C221F7"/>
    <w:rsid w:val="00C26730"/>
    <w:rsid w:val="00C31AA8"/>
    <w:rsid w:val="00C34352"/>
    <w:rsid w:val="00C3512A"/>
    <w:rsid w:val="00C4273A"/>
    <w:rsid w:val="00C45A73"/>
    <w:rsid w:val="00C50186"/>
    <w:rsid w:val="00C52FC3"/>
    <w:rsid w:val="00C574FB"/>
    <w:rsid w:val="00C5783B"/>
    <w:rsid w:val="00C629A2"/>
    <w:rsid w:val="00C63D82"/>
    <w:rsid w:val="00C64DD7"/>
    <w:rsid w:val="00C669EC"/>
    <w:rsid w:val="00C73FD0"/>
    <w:rsid w:val="00C8083F"/>
    <w:rsid w:val="00C82B9A"/>
    <w:rsid w:val="00C8351B"/>
    <w:rsid w:val="00C91208"/>
    <w:rsid w:val="00C92763"/>
    <w:rsid w:val="00C934C0"/>
    <w:rsid w:val="00C95C9D"/>
    <w:rsid w:val="00CA3393"/>
    <w:rsid w:val="00CA35D9"/>
    <w:rsid w:val="00CA675B"/>
    <w:rsid w:val="00CA7C6D"/>
    <w:rsid w:val="00CB2855"/>
    <w:rsid w:val="00CB3624"/>
    <w:rsid w:val="00CB5191"/>
    <w:rsid w:val="00CB636B"/>
    <w:rsid w:val="00CB6CED"/>
    <w:rsid w:val="00CB7E86"/>
    <w:rsid w:val="00CC3B5D"/>
    <w:rsid w:val="00CC5ACA"/>
    <w:rsid w:val="00CC5B0B"/>
    <w:rsid w:val="00CC7A9C"/>
    <w:rsid w:val="00CD00BA"/>
    <w:rsid w:val="00CD03DB"/>
    <w:rsid w:val="00CD4C56"/>
    <w:rsid w:val="00CD5DA8"/>
    <w:rsid w:val="00CD70ED"/>
    <w:rsid w:val="00CD76BE"/>
    <w:rsid w:val="00CE0895"/>
    <w:rsid w:val="00CE159E"/>
    <w:rsid w:val="00CE440F"/>
    <w:rsid w:val="00CE651E"/>
    <w:rsid w:val="00CF0F5C"/>
    <w:rsid w:val="00CF2893"/>
    <w:rsid w:val="00CF5B7B"/>
    <w:rsid w:val="00CF5FBB"/>
    <w:rsid w:val="00CF6361"/>
    <w:rsid w:val="00CF7E05"/>
    <w:rsid w:val="00CF7FF6"/>
    <w:rsid w:val="00D03D3B"/>
    <w:rsid w:val="00D103B9"/>
    <w:rsid w:val="00D10B8B"/>
    <w:rsid w:val="00D13453"/>
    <w:rsid w:val="00D1596A"/>
    <w:rsid w:val="00D16361"/>
    <w:rsid w:val="00D21409"/>
    <w:rsid w:val="00D21D29"/>
    <w:rsid w:val="00D224FE"/>
    <w:rsid w:val="00D273E5"/>
    <w:rsid w:val="00D3048A"/>
    <w:rsid w:val="00D32B49"/>
    <w:rsid w:val="00D32CA1"/>
    <w:rsid w:val="00D401A5"/>
    <w:rsid w:val="00D461BC"/>
    <w:rsid w:val="00D50B33"/>
    <w:rsid w:val="00D5240D"/>
    <w:rsid w:val="00D52DBC"/>
    <w:rsid w:val="00D53850"/>
    <w:rsid w:val="00D562D0"/>
    <w:rsid w:val="00D60918"/>
    <w:rsid w:val="00D61CAD"/>
    <w:rsid w:val="00D62C0C"/>
    <w:rsid w:val="00D63643"/>
    <w:rsid w:val="00D638E8"/>
    <w:rsid w:val="00D65B55"/>
    <w:rsid w:val="00D67784"/>
    <w:rsid w:val="00D71BD1"/>
    <w:rsid w:val="00D76E78"/>
    <w:rsid w:val="00D7755E"/>
    <w:rsid w:val="00D77D35"/>
    <w:rsid w:val="00D82659"/>
    <w:rsid w:val="00D82FAF"/>
    <w:rsid w:val="00D833B8"/>
    <w:rsid w:val="00D8388A"/>
    <w:rsid w:val="00D90B1E"/>
    <w:rsid w:val="00D9145B"/>
    <w:rsid w:val="00D923D2"/>
    <w:rsid w:val="00D9401F"/>
    <w:rsid w:val="00D95631"/>
    <w:rsid w:val="00DA093B"/>
    <w:rsid w:val="00DA0B78"/>
    <w:rsid w:val="00DA1864"/>
    <w:rsid w:val="00DA3E58"/>
    <w:rsid w:val="00DA6B59"/>
    <w:rsid w:val="00DA6D58"/>
    <w:rsid w:val="00DB1402"/>
    <w:rsid w:val="00DB1D87"/>
    <w:rsid w:val="00DB55D9"/>
    <w:rsid w:val="00DB64A3"/>
    <w:rsid w:val="00DC4534"/>
    <w:rsid w:val="00DC6F8B"/>
    <w:rsid w:val="00DD0394"/>
    <w:rsid w:val="00DD1AEC"/>
    <w:rsid w:val="00DD39D6"/>
    <w:rsid w:val="00DD7DA0"/>
    <w:rsid w:val="00DE1493"/>
    <w:rsid w:val="00DE14E7"/>
    <w:rsid w:val="00DE1F24"/>
    <w:rsid w:val="00DE56DC"/>
    <w:rsid w:val="00DE5B4B"/>
    <w:rsid w:val="00DE7A48"/>
    <w:rsid w:val="00DF37C5"/>
    <w:rsid w:val="00DF3A4F"/>
    <w:rsid w:val="00DF50DF"/>
    <w:rsid w:val="00E007FE"/>
    <w:rsid w:val="00E02B9D"/>
    <w:rsid w:val="00E037B6"/>
    <w:rsid w:val="00E049F4"/>
    <w:rsid w:val="00E101A9"/>
    <w:rsid w:val="00E12E30"/>
    <w:rsid w:val="00E15A14"/>
    <w:rsid w:val="00E23439"/>
    <w:rsid w:val="00E23DB0"/>
    <w:rsid w:val="00E24820"/>
    <w:rsid w:val="00E26FBE"/>
    <w:rsid w:val="00E340C6"/>
    <w:rsid w:val="00E36B27"/>
    <w:rsid w:val="00E40923"/>
    <w:rsid w:val="00E410ED"/>
    <w:rsid w:val="00E415BD"/>
    <w:rsid w:val="00E425CB"/>
    <w:rsid w:val="00E439E4"/>
    <w:rsid w:val="00E473D0"/>
    <w:rsid w:val="00E55676"/>
    <w:rsid w:val="00E67F9C"/>
    <w:rsid w:val="00E70242"/>
    <w:rsid w:val="00E7122C"/>
    <w:rsid w:val="00E72B68"/>
    <w:rsid w:val="00E74AF9"/>
    <w:rsid w:val="00E835A4"/>
    <w:rsid w:val="00E8747D"/>
    <w:rsid w:val="00E91119"/>
    <w:rsid w:val="00E92A19"/>
    <w:rsid w:val="00E93747"/>
    <w:rsid w:val="00E97A3A"/>
    <w:rsid w:val="00EA4AAC"/>
    <w:rsid w:val="00EB1682"/>
    <w:rsid w:val="00EB197D"/>
    <w:rsid w:val="00EB39ED"/>
    <w:rsid w:val="00EB4136"/>
    <w:rsid w:val="00EC134D"/>
    <w:rsid w:val="00EC155C"/>
    <w:rsid w:val="00EC682D"/>
    <w:rsid w:val="00ED324E"/>
    <w:rsid w:val="00ED3AF3"/>
    <w:rsid w:val="00ED7267"/>
    <w:rsid w:val="00ED784B"/>
    <w:rsid w:val="00ED7AF1"/>
    <w:rsid w:val="00EE3A4D"/>
    <w:rsid w:val="00EF1190"/>
    <w:rsid w:val="00EF12FF"/>
    <w:rsid w:val="00EF1740"/>
    <w:rsid w:val="00EF1BD6"/>
    <w:rsid w:val="00EF52CE"/>
    <w:rsid w:val="00EF6A44"/>
    <w:rsid w:val="00EF6D6B"/>
    <w:rsid w:val="00F01C26"/>
    <w:rsid w:val="00F02FA9"/>
    <w:rsid w:val="00F0501C"/>
    <w:rsid w:val="00F114C1"/>
    <w:rsid w:val="00F13BAC"/>
    <w:rsid w:val="00F14F51"/>
    <w:rsid w:val="00F15FA3"/>
    <w:rsid w:val="00F1670E"/>
    <w:rsid w:val="00F24252"/>
    <w:rsid w:val="00F268CF"/>
    <w:rsid w:val="00F30194"/>
    <w:rsid w:val="00F340B0"/>
    <w:rsid w:val="00F355FD"/>
    <w:rsid w:val="00F35823"/>
    <w:rsid w:val="00F36B63"/>
    <w:rsid w:val="00F40A44"/>
    <w:rsid w:val="00F42D97"/>
    <w:rsid w:val="00F451C9"/>
    <w:rsid w:val="00F461E8"/>
    <w:rsid w:val="00F47E42"/>
    <w:rsid w:val="00F51D72"/>
    <w:rsid w:val="00F65C84"/>
    <w:rsid w:val="00F719EB"/>
    <w:rsid w:val="00F762DE"/>
    <w:rsid w:val="00F817E4"/>
    <w:rsid w:val="00F83D5A"/>
    <w:rsid w:val="00F846D1"/>
    <w:rsid w:val="00F9084E"/>
    <w:rsid w:val="00F96BBA"/>
    <w:rsid w:val="00FA3F96"/>
    <w:rsid w:val="00FA451D"/>
    <w:rsid w:val="00FA6360"/>
    <w:rsid w:val="00FC3989"/>
    <w:rsid w:val="00FC3D7A"/>
    <w:rsid w:val="00FC4359"/>
    <w:rsid w:val="00FC6663"/>
    <w:rsid w:val="00FC6F32"/>
    <w:rsid w:val="00FC6FD0"/>
    <w:rsid w:val="00FD0848"/>
    <w:rsid w:val="00FD0B7D"/>
    <w:rsid w:val="00FD1BED"/>
    <w:rsid w:val="00FD4C58"/>
    <w:rsid w:val="00FD4F90"/>
    <w:rsid w:val="00FD5744"/>
    <w:rsid w:val="00FD75E3"/>
    <w:rsid w:val="00FE5DE0"/>
    <w:rsid w:val="00FE6855"/>
    <w:rsid w:val="00FE72CD"/>
    <w:rsid w:val="00FF0463"/>
    <w:rsid w:val="00FF128C"/>
    <w:rsid w:val="00FF14E6"/>
    <w:rsid w:val="00FF288B"/>
    <w:rsid w:val="00FF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69962"/>
  <w15:chartTrackingRefBased/>
  <w15:docId w15:val="{97925BFA-AC28-4E06-B189-6FB5E99F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96E5B"/>
    <w:pPr>
      <w:ind w:left="1068"/>
      <w:contextualSpacing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074EF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939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209B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0ED"/>
    <w:pPr>
      <w:keepNext/>
      <w:keepLines/>
      <w:numPr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677E"/>
    <w:pPr>
      <w:ind w:left="720"/>
    </w:pPr>
  </w:style>
  <w:style w:type="paragraph" w:styleId="FootnoteText">
    <w:name w:val="footnote text"/>
    <w:basedOn w:val="Normal"/>
    <w:link w:val="FootnoteTextChar"/>
    <w:uiPriority w:val="99"/>
    <w:unhideWhenUsed/>
    <w:rsid w:val="002F6A5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6A5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6A5A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C52F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5593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209B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578BF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145B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145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9145B"/>
    <w:rPr>
      <w:vertAlign w:val="superscript"/>
    </w:rPr>
  </w:style>
  <w:style w:type="paragraph" w:customStyle="1" w:styleId="Default">
    <w:name w:val="Default"/>
    <w:rsid w:val="00504F61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0ED"/>
    <w:rPr>
      <w:rFonts w:asciiTheme="majorHAnsi" w:eastAsiaTheme="majorEastAsia" w:hAnsiTheme="majorHAnsi" w:cstheme="majorBidi"/>
      <w:b/>
      <w:bCs/>
      <w:i/>
      <w:iCs/>
      <w:color w:val="2F5496" w:themeColor="accent1" w:themeShade="BF"/>
    </w:rPr>
  </w:style>
  <w:style w:type="paragraph" w:styleId="NoSpacing">
    <w:name w:val="No Spacing"/>
    <w:basedOn w:val="ListParagraph"/>
    <w:uiPriority w:val="1"/>
    <w:qFormat/>
    <w:rsid w:val="00696E5B"/>
    <w:pPr>
      <w:numPr>
        <w:numId w:val="19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E23439"/>
    <w:pPr>
      <w:spacing w:after="0" w:line="240" w:lineRule="auto"/>
      <w:ind w:left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C57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51AB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5CA2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3E0534"/>
    <w:rPr>
      <w:i/>
      <w:iCs/>
    </w:rPr>
  </w:style>
  <w:style w:type="character" w:customStyle="1" w:styleId="e24kjd">
    <w:name w:val="e24kjd"/>
    <w:basedOn w:val="DefaultParagraphFont"/>
    <w:rsid w:val="00FF7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88115-B052-44CD-984B-3DC6C680C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2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110</cp:revision>
  <cp:lastPrinted>2020-05-26T12:11:00Z</cp:lastPrinted>
  <dcterms:created xsi:type="dcterms:W3CDTF">2020-05-26T08:57:00Z</dcterms:created>
  <dcterms:modified xsi:type="dcterms:W3CDTF">2020-05-27T17:47:00Z</dcterms:modified>
</cp:coreProperties>
</file>