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18B99" w14:textId="1E294E68" w:rsidR="00631082" w:rsidRDefault="00C050CF" w:rsidP="009275E5">
      <w:pPr>
        <w:jc w:val="center"/>
        <w:rPr>
          <w:b/>
          <w:bCs/>
          <w:sz w:val="30"/>
          <w:szCs w:val="30"/>
          <w:u w:val="single"/>
        </w:rPr>
      </w:pPr>
      <w:r w:rsidRPr="001C286F">
        <w:rPr>
          <w:b/>
          <w:bCs/>
          <w:sz w:val="30"/>
          <w:szCs w:val="30"/>
          <w:u w:val="single"/>
        </w:rPr>
        <w:t>LC-</w:t>
      </w:r>
      <w:r w:rsidR="005528CB">
        <w:rPr>
          <w:b/>
          <w:bCs/>
          <w:sz w:val="30"/>
          <w:szCs w:val="30"/>
          <w:u w:val="single"/>
        </w:rPr>
        <w:t>41</w:t>
      </w:r>
      <w:r w:rsidRPr="001C286F">
        <w:rPr>
          <w:b/>
          <w:bCs/>
          <w:sz w:val="30"/>
          <w:szCs w:val="30"/>
          <w:u w:val="single"/>
        </w:rPr>
        <w:t xml:space="preserve"> -</w:t>
      </w:r>
      <w:r w:rsidR="005528CB">
        <w:rPr>
          <w:b/>
          <w:bCs/>
          <w:sz w:val="30"/>
          <w:szCs w:val="30"/>
          <w:u w:val="single"/>
        </w:rPr>
        <w:t>Effet Tunnel</w:t>
      </w:r>
    </w:p>
    <w:p w14:paraId="57C539BF" w14:textId="4B314DC0" w:rsidR="0091788A" w:rsidRPr="0091788A" w:rsidRDefault="0091788A" w:rsidP="000074EF">
      <w:pPr>
        <w:rPr>
          <w:sz w:val="26"/>
          <w:szCs w:val="26"/>
        </w:rPr>
      </w:pPr>
      <w:r w:rsidRPr="0091788A">
        <w:rPr>
          <w:sz w:val="26"/>
          <w:szCs w:val="26"/>
        </w:rPr>
        <w:t>Pierre Ghesquiere</w:t>
      </w:r>
    </w:p>
    <w:p w14:paraId="36253171" w14:textId="77777777" w:rsidR="00C050CF" w:rsidRDefault="00C050CF" w:rsidP="00841858">
      <w:pPr>
        <w:jc w:val="both"/>
      </w:pPr>
    </w:p>
    <w:p w14:paraId="67A6C248" w14:textId="0B2EF2BA" w:rsidR="00C050CF" w:rsidRDefault="00C050CF" w:rsidP="005528CB">
      <w:pPr>
        <w:jc w:val="both"/>
        <w:rPr>
          <w:sz w:val="26"/>
          <w:szCs w:val="26"/>
        </w:rPr>
      </w:pPr>
      <w:r w:rsidRPr="00C050CF">
        <w:rPr>
          <w:b/>
          <w:bCs/>
          <w:sz w:val="26"/>
          <w:szCs w:val="26"/>
        </w:rPr>
        <w:t>Intro</w:t>
      </w:r>
      <w:r w:rsidR="00215C57">
        <w:rPr>
          <w:b/>
          <w:bCs/>
          <w:sz w:val="26"/>
          <w:szCs w:val="26"/>
        </w:rPr>
        <w:t>duction</w:t>
      </w:r>
      <w:r w:rsidRPr="00C050CF">
        <w:rPr>
          <w:b/>
          <w:bCs/>
          <w:sz w:val="26"/>
          <w:szCs w:val="26"/>
        </w:rPr>
        <w:t xml:space="preserve"> : </w:t>
      </w:r>
    </w:p>
    <w:p w14:paraId="23227F72" w14:textId="12D7E585" w:rsidR="005528CB" w:rsidRDefault="005528CB" w:rsidP="005528CB">
      <w:pPr>
        <w:jc w:val="both"/>
        <w:rPr>
          <w:sz w:val="26"/>
          <w:szCs w:val="26"/>
        </w:rPr>
      </w:pPr>
      <w:r>
        <w:rPr>
          <w:sz w:val="26"/>
          <w:szCs w:val="26"/>
        </w:rPr>
        <w:t xml:space="preserve">Dans les leçons précédentes, nous avons compris que la physique quantique adoptait un formalisme ondulatoire de la matière. Le phénomène présenté aujourd’hui, l’effet tunnel est un phénomène </w:t>
      </w:r>
      <w:r w:rsidR="004F5F5D">
        <w:rPr>
          <w:sz w:val="26"/>
          <w:szCs w:val="26"/>
        </w:rPr>
        <w:t>dû au caractère ondulatoire des systèmes quantiques</w:t>
      </w:r>
      <w:r>
        <w:rPr>
          <w:sz w:val="26"/>
          <w:szCs w:val="26"/>
        </w:rPr>
        <w:t>.</w:t>
      </w:r>
      <w:r w:rsidR="004F5F5D">
        <w:rPr>
          <w:sz w:val="26"/>
          <w:szCs w:val="26"/>
        </w:rPr>
        <w:t xml:space="preserve"> Nous l’avons déjà rencontré en physique ondulatoire (</w:t>
      </w:r>
      <w:r w:rsidR="004F5F5D" w:rsidRPr="004F5F5D">
        <w:rPr>
          <w:sz w:val="26"/>
          <w:szCs w:val="26"/>
        </w:rPr>
        <w:sym w:font="Wingdings" w:char="F0E8"/>
      </w:r>
      <w:r w:rsidR="004F5F5D">
        <w:rPr>
          <w:sz w:val="26"/>
          <w:szCs w:val="26"/>
        </w:rPr>
        <w:t xml:space="preserve"> ondes évanescentes) et nous reviendrons à cet aspect dans cette leçon. Pourquoi cet effet est intéressant ? Car l’exploitation cet effet a permis des applications révolutionnaire Microscope à effet Tunnel (</w:t>
      </w:r>
      <w:r w:rsidR="004F5F5D" w:rsidRPr="004F5F5D">
        <w:rPr>
          <w:sz w:val="26"/>
          <w:szCs w:val="26"/>
        </w:rPr>
        <w:t xml:space="preserve">chercheurs d'IBM, Gerd </w:t>
      </w:r>
      <w:proofErr w:type="spellStart"/>
      <w:r w:rsidR="004F5F5D" w:rsidRPr="004F5F5D">
        <w:rPr>
          <w:sz w:val="26"/>
          <w:szCs w:val="26"/>
        </w:rPr>
        <w:t>Binnig</w:t>
      </w:r>
      <w:proofErr w:type="spellEnd"/>
      <w:r w:rsidR="004F5F5D" w:rsidRPr="004F5F5D">
        <w:rPr>
          <w:sz w:val="26"/>
          <w:szCs w:val="26"/>
        </w:rPr>
        <w:t xml:space="preserve"> et Heinrich </w:t>
      </w:r>
      <w:proofErr w:type="spellStart"/>
      <w:r w:rsidR="004F5F5D" w:rsidRPr="004F5F5D">
        <w:rPr>
          <w:sz w:val="26"/>
          <w:szCs w:val="26"/>
        </w:rPr>
        <w:t>Rohrer</w:t>
      </w:r>
      <w:proofErr w:type="spellEnd"/>
      <w:r w:rsidR="004F5F5D" w:rsidRPr="004F5F5D">
        <w:rPr>
          <w:sz w:val="26"/>
          <w:szCs w:val="26"/>
        </w:rPr>
        <w:t>, qui reçurent le prix Nobel de physique pour cette invention en 1986</w:t>
      </w:r>
      <w:r w:rsidR="004F5F5D">
        <w:rPr>
          <w:sz w:val="26"/>
          <w:szCs w:val="26"/>
        </w:rPr>
        <w:t xml:space="preserve">) et il permet aussi de comprendre certains phénomènes naturels c’est ce que nous allons constater avec la radioactivité alpha. Phénomène qui peut s’expliquer par une modélisation faisant appel à cet effet Tunnel.   </w:t>
      </w:r>
    </w:p>
    <w:p w14:paraId="0FB9BF88" w14:textId="77777777" w:rsidR="00054031" w:rsidRDefault="007E653D" w:rsidP="00841858">
      <w:pPr>
        <w:jc w:val="both"/>
        <w:rPr>
          <w:sz w:val="26"/>
          <w:szCs w:val="26"/>
        </w:rPr>
      </w:pPr>
      <w:r>
        <w:rPr>
          <w:sz w:val="26"/>
          <w:szCs w:val="26"/>
        </w:rPr>
        <w:t xml:space="preserve">Références : </w:t>
      </w:r>
    </w:p>
    <w:p w14:paraId="1B3EE18E" w14:textId="03EF55C3" w:rsidR="004F5F5D" w:rsidRDefault="00547568" w:rsidP="00841858">
      <w:pPr>
        <w:jc w:val="both"/>
        <w:rPr>
          <w:sz w:val="26"/>
          <w:szCs w:val="26"/>
        </w:rPr>
      </w:pPr>
      <w:r>
        <w:rPr>
          <w:sz w:val="26"/>
          <w:szCs w:val="26"/>
        </w:rPr>
        <w:t>[</w:t>
      </w:r>
      <w:proofErr w:type="spellStart"/>
      <w:r>
        <w:rPr>
          <w:sz w:val="26"/>
          <w:szCs w:val="26"/>
        </w:rPr>
        <w:t>Aslangul</w:t>
      </w:r>
      <w:proofErr w:type="spellEnd"/>
      <w:r>
        <w:rPr>
          <w:sz w:val="26"/>
          <w:szCs w:val="26"/>
        </w:rPr>
        <w:t xml:space="preserve"> Tome1 Chapitre 15 p 550]</w:t>
      </w:r>
    </w:p>
    <w:p w14:paraId="3B8959E4" w14:textId="5D1E7297" w:rsidR="00054031" w:rsidRDefault="00054031" w:rsidP="00841858">
      <w:pPr>
        <w:jc w:val="both"/>
        <w:rPr>
          <w:sz w:val="26"/>
          <w:szCs w:val="26"/>
        </w:rPr>
      </w:pPr>
      <w:r>
        <w:rPr>
          <w:sz w:val="26"/>
          <w:szCs w:val="26"/>
        </w:rPr>
        <w:t xml:space="preserve">[Sanz] p </w:t>
      </w:r>
    </w:p>
    <w:p w14:paraId="40D13ADD" w14:textId="450A394F" w:rsidR="004F5F5D" w:rsidRDefault="004F5F5D" w:rsidP="00841858">
      <w:pPr>
        <w:jc w:val="both"/>
        <w:rPr>
          <w:sz w:val="26"/>
          <w:szCs w:val="26"/>
        </w:rPr>
      </w:pPr>
      <w:r>
        <w:rPr>
          <w:sz w:val="26"/>
          <w:szCs w:val="26"/>
        </w:rPr>
        <w:t xml:space="preserve">-PDF de Fillette : </w:t>
      </w:r>
    </w:p>
    <w:p w14:paraId="34455654" w14:textId="5310C566" w:rsidR="00EC155C" w:rsidRDefault="00EC155C" w:rsidP="00841858">
      <w:pPr>
        <w:jc w:val="both"/>
        <w:rPr>
          <w:sz w:val="26"/>
          <w:szCs w:val="26"/>
        </w:rPr>
      </w:pPr>
      <w:r>
        <w:rPr>
          <w:sz w:val="26"/>
          <w:szCs w:val="26"/>
        </w:rPr>
        <w:t xml:space="preserve">Prérequis : </w:t>
      </w:r>
    </w:p>
    <w:p w14:paraId="762981F0" w14:textId="0B668124" w:rsidR="00EC155C" w:rsidRDefault="00EC155C" w:rsidP="00EC155C">
      <w:pPr>
        <w:pStyle w:val="ListParagraph"/>
        <w:numPr>
          <w:ilvl w:val="0"/>
          <w:numId w:val="17"/>
        </w:numPr>
        <w:jc w:val="both"/>
        <w:rPr>
          <w:sz w:val="26"/>
          <w:szCs w:val="26"/>
        </w:rPr>
      </w:pPr>
      <w:r>
        <w:rPr>
          <w:sz w:val="26"/>
          <w:szCs w:val="26"/>
        </w:rPr>
        <w:t xml:space="preserve">Mécanique quantique : équation de </w:t>
      </w:r>
      <w:r w:rsidR="006578BF">
        <w:rPr>
          <w:sz w:val="26"/>
          <w:szCs w:val="26"/>
        </w:rPr>
        <w:t>S</w:t>
      </w:r>
      <w:r>
        <w:rPr>
          <w:sz w:val="26"/>
          <w:szCs w:val="26"/>
        </w:rPr>
        <w:t>chrödinger, Etat stationnaire</w:t>
      </w:r>
      <w:r w:rsidR="00EF1740">
        <w:rPr>
          <w:sz w:val="26"/>
          <w:szCs w:val="26"/>
        </w:rPr>
        <w:t>, courant de probabilité</w:t>
      </w:r>
    </w:p>
    <w:p w14:paraId="4571C2F4" w14:textId="0026B776" w:rsidR="00EC155C" w:rsidRPr="00EC155C" w:rsidRDefault="00EC155C" w:rsidP="00EC155C">
      <w:pPr>
        <w:pStyle w:val="ListParagraph"/>
        <w:numPr>
          <w:ilvl w:val="0"/>
          <w:numId w:val="17"/>
        </w:numPr>
        <w:jc w:val="both"/>
        <w:rPr>
          <w:sz w:val="26"/>
          <w:szCs w:val="26"/>
        </w:rPr>
      </w:pPr>
      <w:r>
        <w:rPr>
          <w:sz w:val="26"/>
          <w:szCs w:val="26"/>
        </w:rPr>
        <w:t xml:space="preserve"> Dunod Sanz p1250</w:t>
      </w:r>
    </w:p>
    <w:p w14:paraId="37ACB18D" w14:textId="2CB64383" w:rsidR="004F677E" w:rsidRDefault="004F5F5D" w:rsidP="000074EF">
      <w:pPr>
        <w:pStyle w:val="Heading1"/>
      </w:pPr>
      <w:r>
        <w:t>Barrière de Potentiel et effet Tunnel</w:t>
      </w:r>
    </w:p>
    <w:p w14:paraId="4C3FE0BE" w14:textId="2EA6B2A0" w:rsidR="00EC155C" w:rsidRPr="00EC155C" w:rsidRDefault="00DD1AEC" w:rsidP="00EC155C">
      <w:pPr>
        <w:pStyle w:val="ListParagraph"/>
        <w:numPr>
          <w:ilvl w:val="0"/>
          <w:numId w:val="15"/>
        </w:numPr>
        <w:jc w:val="both"/>
        <w:rPr>
          <w:color w:val="000000" w:themeColor="text1"/>
        </w:rPr>
      </w:pPr>
      <w:r w:rsidRPr="00EC155C">
        <w:rPr>
          <w:color w:val="000000" w:themeColor="text1"/>
        </w:rPr>
        <w:t xml:space="preserve">On considère une particule </w:t>
      </w:r>
      <w:r w:rsidR="00EC155C" w:rsidRPr="00EC155C">
        <w:rPr>
          <w:b/>
          <w:bCs/>
          <w:color w:val="000000" w:themeColor="text1"/>
        </w:rPr>
        <w:t>de masse m</w:t>
      </w:r>
      <w:r w:rsidR="00EC155C" w:rsidRPr="00EC155C">
        <w:rPr>
          <w:color w:val="000000" w:themeColor="text1"/>
        </w:rPr>
        <w:t xml:space="preserve"> </w:t>
      </w:r>
      <w:r w:rsidRPr="00EC155C">
        <w:rPr>
          <w:color w:val="000000" w:themeColor="text1"/>
        </w:rPr>
        <w:t>plongée dans un potentiel de type barrière de potentielle.</w:t>
      </w:r>
      <w:r w:rsidR="006C56FD" w:rsidRPr="00EC155C">
        <w:rPr>
          <w:color w:val="000000" w:themeColor="text1"/>
        </w:rPr>
        <w:t xml:space="preserve"> On prend ici un potentiel discontinu qui est un modèle simplifié mais qui permet de dégager le sens physique.</w:t>
      </w:r>
    </w:p>
    <w:p w14:paraId="05D04E98" w14:textId="074EDF19" w:rsidR="006C56FD" w:rsidRPr="00EC155C" w:rsidRDefault="00547568" w:rsidP="00EC155C">
      <w:pPr>
        <w:pStyle w:val="ListParagraph"/>
        <w:numPr>
          <w:ilvl w:val="0"/>
          <w:numId w:val="15"/>
        </w:numPr>
        <w:jc w:val="both"/>
        <w:rPr>
          <w:color w:val="000000" w:themeColor="text1"/>
        </w:rPr>
      </w:pPr>
      <w:r w:rsidRPr="00EC155C">
        <w:rPr>
          <w:color w:val="000000" w:themeColor="text1"/>
        </w:rPr>
        <w:t>Détail qui tue : [</w:t>
      </w:r>
      <w:proofErr w:type="spellStart"/>
      <w:r w:rsidR="005E5124" w:rsidRPr="00EC155C">
        <w:rPr>
          <w:color w:val="000000" w:themeColor="text1"/>
        </w:rPr>
        <w:t>A</w:t>
      </w:r>
      <w:r w:rsidRPr="00EC155C">
        <w:rPr>
          <w:color w:val="000000" w:themeColor="text1"/>
        </w:rPr>
        <w:t>slangul</w:t>
      </w:r>
      <w:proofErr w:type="spellEnd"/>
      <w:r w:rsidRPr="00EC155C">
        <w:rPr>
          <w:color w:val="000000" w:themeColor="text1"/>
        </w:rPr>
        <w:t xml:space="preserve">] </w:t>
      </w:r>
      <w:r w:rsidR="005E5124" w:rsidRPr="00EC155C">
        <w:rPr>
          <w:color w:val="000000" w:themeColor="text1"/>
        </w:rPr>
        <w:t xml:space="preserve">Le potentiel varie en certains points sur une échelle de longueur </w:t>
      </w:r>
      <w:r w:rsidR="005E5124" w:rsidRPr="00EC155C">
        <w:rPr>
          <w:i/>
          <w:iCs/>
          <w:color w:val="000000" w:themeColor="text1"/>
        </w:rPr>
        <w:t xml:space="preserve">bcp plus petite </w:t>
      </w:r>
      <w:r w:rsidR="005E5124" w:rsidRPr="00EC155C">
        <w:rPr>
          <w:color w:val="000000" w:themeColor="text1"/>
        </w:rPr>
        <w:t>que toute autre échelle de longueur déjà disponible dans le pb</w:t>
      </w:r>
      <w:r w:rsidR="00EC155C" w:rsidRPr="00EC155C">
        <w:rPr>
          <w:color w:val="000000" w:themeColor="text1"/>
        </w:rPr>
        <w:t xml:space="preserve"> </w:t>
      </w:r>
      <w:proofErr w:type="spellStart"/>
      <w:r w:rsidR="00EC155C" w:rsidRPr="00EC155C">
        <w:rPr>
          <w:color w:val="000000" w:themeColor="text1"/>
        </w:rPr>
        <w:t>ie</w:t>
      </w:r>
      <w:proofErr w:type="spellEnd"/>
      <w:r w:rsidR="00EC155C" w:rsidRPr="00EC155C">
        <w:rPr>
          <w:color w:val="000000" w:themeColor="text1"/>
        </w:rPr>
        <w:t xml:space="preserve"> petite devant la longueur d’onde de De Broglie </w:t>
      </w:r>
      <m:oMath>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Db</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h</m:t>
            </m:r>
          </m:num>
          <m:den>
            <m:r>
              <w:rPr>
                <w:rFonts w:ascii="Cambria Math" w:hAnsi="Cambria Math"/>
                <w:color w:val="000000" w:themeColor="text1"/>
              </w:rPr>
              <m:t>√2mE</m:t>
            </m:r>
          </m:den>
        </m:f>
      </m:oMath>
    </w:p>
    <w:p w14:paraId="57FC307F" w14:textId="0F36D0AE" w:rsidR="006C56FD" w:rsidRDefault="006C56FD" w:rsidP="00EC155C">
      <w:pPr>
        <w:pStyle w:val="ListParagraph"/>
        <w:numPr>
          <w:ilvl w:val="0"/>
          <w:numId w:val="15"/>
        </w:numPr>
        <w:tabs>
          <w:tab w:val="left" w:pos="4152"/>
        </w:tabs>
        <w:jc w:val="both"/>
        <w:rPr>
          <w:color w:val="000000" w:themeColor="text1"/>
        </w:rPr>
      </w:pPr>
      <w:r w:rsidRPr="00EC155C">
        <w:rPr>
          <w:color w:val="000000" w:themeColor="text1"/>
        </w:rPr>
        <w:t>En classique que se passe -t-il ? Parler de la force (gradient de V(x))</w:t>
      </w:r>
      <w:r w:rsidRPr="00EC155C">
        <w:rPr>
          <w:color w:val="000000" w:themeColor="text1"/>
        </w:rPr>
        <w:tab/>
      </w:r>
      <w:r w:rsidR="00EC155C">
        <w:rPr>
          <w:color w:val="000000" w:themeColor="text1"/>
        </w:rPr>
        <w:t xml:space="preserve"> Du fait de la conservation de l’énergie, une particule de E&lt;V0, ne peut pénétrer et est réfléchie. </w:t>
      </w:r>
    </w:p>
    <w:p w14:paraId="5AC35976" w14:textId="4E254660" w:rsidR="00DD1AEC" w:rsidRPr="00F14F51" w:rsidRDefault="00EC155C" w:rsidP="001423FA">
      <w:pPr>
        <w:pStyle w:val="ListParagraph"/>
        <w:numPr>
          <w:ilvl w:val="0"/>
          <w:numId w:val="15"/>
        </w:numPr>
        <w:tabs>
          <w:tab w:val="left" w:pos="4152"/>
        </w:tabs>
        <w:jc w:val="both"/>
        <w:rPr>
          <w:color w:val="000000" w:themeColor="text1"/>
        </w:rPr>
      </w:pPr>
      <w:r>
        <w:rPr>
          <w:color w:val="000000" w:themeColor="text1"/>
        </w:rPr>
        <w:t xml:space="preserve">Résolution de l’équation de Schrödinger :  </w:t>
      </w:r>
      <w:r w:rsidR="00DD1AEC">
        <w:rPr>
          <w:color w:val="000000" w:themeColor="text1"/>
        </w:rPr>
        <w:t xml:space="preserve"> On s’intéresse aux états propres du hamiltonien qui permet de se </w:t>
      </w:r>
      <w:r>
        <w:rPr>
          <w:color w:val="000000" w:themeColor="text1"/>
        </w:rPr>
        <w:t>débarrasser</w:t>
      </w:r>
      <w:r w:rsidR="00DD1AEC">
        <w:rPr>
          <w:color w:val="000000" w:themeColor="text1"/>
        </w:rPr>
        <w:t xml:space="preserve"> de la partie temporelle et de se ramener à l’équation de Schr</w:t>
      </w:r>
      <w:r>
        <w:rPr>
          <w:color w:val="000000" w:themeColor="text1"/>
        </w:rPr>
        <w:t>ö</w:t>
      </w:r>
      <w:r w:rsidR="00DD1AEC">
        <w:rPr>
          <w:color w:val="000000" w:themeColor="text1"/>
        </w:rPr>
        <w:t xml:space="preserve">dinger indépendante du temps. </w:t>
      </w:r>
      <w:r w:rsidR="001423FA">
        <w:rPr>
          <w:color w:val="000000" w:themeColor="text1"/>
        </w:rPr>
        <w:t>Résolution p 1250 [Sanz] Pour chaque sous partie.</w:t>
      </w:r>
      <w:r w:rsidR="00F14F51">
        <w:rPr>
          <w:color w:val="000000" w:themeColor="text1"/>
        </w:rPr>
        <w:t xml:space="preserve"> La partie II peut être vu comme la somme de </w:t>
      </w:r>
      <w:r w:rsidR="00F14F51" w:rsidRPr="00F14F51">
        <w:rPr>
          <w:b/>
          <w:bCs/>
          <w:color w:val="000000" w:themeColor="text1"/>
        </w:rPr>
        <w:t xml:space="preserve">2 ondes évanescentes ! </w:t>
      </w:r>
    </w:p>
    <w:p w14:paraId="0709AE77" w14:textId="6E75259C" w:rsidR="00F14F51" w:rsidRPr="00F14F51" w:rsidRDefault="00F14F51" w:rsidP="00F14F51">
      <w:pPr>
        <w:pStyle w:val="ListParagraph"/>
        <w:tabs>
          <w:tab w:val="left" w:pos="4152"/>
        </w:tabs>
        <w:ind w:left="1068"/>
        <w:jc w:val="both"/>
        <w:rPr>
          <w:color w:val="000000" w:themeColor="text1"/>
        </w:rPr>
      </w:pPr>
      <w:r>
        <w:rPr>
          <w:b/>
          <w:bCs/>
          <w:color w:val="000000" w:themeColor="text1"/>
        </w:rPr>
        <w:t xml:space="preserve">IMPORTANT 1 : </w:t>
      </w:r>
      <w:r w:rsidR="00F762DE" w:rsidRPr="009A0385">
        <w:rPr>
          <w:color w:val="000000" w:themeColor="text1"/>
        </w:rPr>
        <w:t xml:space="preserve">Nous avons 5 inconnues complexes (on enlève B3) et 4 inconnues réelles. Ce degré de liberté est nécessaire car si on a une solution </w:t>
      </w:r>
      <m:oMath>
        <m:r>
          <w:rPr>
            <w:rFonts w:ascii="Cambria Math" w:hAnsi="Cambria Math"/>
            <w:color w:val="000000" w:themeColor="text1"/>
          </w:rPr>
          <m:t xml:space="preserve">ψ(x) </m:t>
        </m:r>
      </m:oMath>
      <w:r w:rsidR="00F762DE" w:rsidRPr="009A0385">
        <w:rPr>
          <w:color w:val="000000" w:themeColor="text1"/>
        </w:rPr>
        <w:t xml:space="preserve">, alors, d’après le principe </w:t>
      </w:r>
      <w:r w:rsidR="00F762DE" w:rsidRPr="009A0385">
        <w:rPr>
          <w:color w:val="000000" w:themeColor="text1"/>
        </w:rPr>
        <w:lastRenderedPageBreak/>
        <w:t xml:space="preserve">de superposition </w:t>
      </w:r>
      <m:oMath>
        <m:r>
          <w:rPr>
            <w:rFonts w:ascii="Cambria Math" w:hAnsi="Cambria Math"/>
            <w:color w:val="000000" w:themeColor="text1"/>
          </w:rPr>
          <m:t>λψ(x)</m:t>
        </m:r>
      </m:oMath>
      <w:r w:rsidR="00F762DE" w:rsidRPr="009A0385">
        <w:rPr>
          <w:color w:val="000000" w:themeColor="text1"/>
        </w:rPr>
        <w:t>, est solution donc j’ai besoin de ce degré de li</w:t>
      </w:r>
      <w:proofErr w:type="spellStart"/>
      <w:r w:rsidR="00F762DE" w:rsidRPr="009A0385">
        <w:rPr>
          <w:color w:val="000000" w:themeColor="text1"/>
        </w:rPr>
        <w:t>berté</w:t>
      </w:r>
      <w:proofErr w:type="spellEnd"/>
      <w:r w:rsidR="00F762DE" w:rsidRPr="009A0385">
        <w:rPr>
          <w:color w:val="000000" w:themeColor="text1"/>
        </w:rPr>
        <w:t xml:space="preserve">. Nous ne sommes pas dans un état lié (cas du puit de potentiel) mais dans un cas de diffusion.  </w:t>
      </w:r>
      <w:r w:rsidR="00C82B9A" w:rsidRPr="009A0385">
        <w:rPr>
          <w:color w:val="000000" w:themeColor="text1"/>
        </w:rPr>
        <w:t>Il est important de noter que la fonction n’est pas normalisable car il s’agit d’un cas idéal ou l’impulsion de la particule est défini. En réalité, on fonctionne avec des paquets d’ondes localisés.</w:t>
      </w:r>
      <w:r w:rsidR="00C82B9A">
        <w:rPr>
          <w:b/>
          <w:bCs/>
          <w:color w:val="000000" w:themeColor="text1"/>
        </w:rPr>
        <w:t xml:space="preserve"> </w:t>
      </w:r>
      <w:r w:rsidR="00F762DE">
        <w:rPr>
          <w:b/>
          <w:bCs/>
          <w:color w:val="000000" w:themeColor="text1"/>
        </w:rPr>
        <w:t xml:space="preserve"> </w:t>
      </w:r>
    </w:p>
    <w:p w14:paraId="6B6F0B76" w14:textId="09ABF93D" w:rsidR="001423FA" w:rsidRDefault="001423FA" w:rsidP="001423FA">
      <w:pPr>
        <w:pStyle w:val="ListParagraph"/>
        <w:tabs>
          <w:tab w:val="left" w:pos="4152"/>
        </w:tabs>
        <w:ind w:left="1068"/>
        <w:jc w:val="both"/>
        <w:rPr>
          <w:color w:val="000000" w:themeColor="text1"/>
        </w:rPr>
      </w:pPr>
      <w:r w:rsidRPr="00F14F51">
        <w:rPr>
          <w:b/>
          <w:bCs/>
          <w:color w:val="000000" w:themeColor="text1"/>
        </w:rPr>
        <w:t>IMPORTANT </w:t>
      </w:r>
      <w:r w:rsidR="00F14F51" w:rsidRPr="00F14F51">
        <w:rPr>
          <w:b/>
          <w:bCs/>
          <w:color w:val="000000" w:themeColor="text1"/>
        </w:rPr>
        <w:t>2 :</w:t>
      </w:r>
      <w:r>
        <w:rPr>
          <w:color w:val="000000" w:themeColor="text1"/>
        </w:rPr>
        <w:t xml:space="preserve"> Conditions de raccordement : </w:t>
      </w:r>
      <w:r w:rsidR="004D621C">
        <w:rPr>
          <w:color w:val="000000" w:themeColor="text1"/>
        </w:rPr>
        <w:t>Continuité de la fonction d’onde</w:t>
      </w:r>
      <w:r w:rsidR="00440E83">
        <w:rPr>
          <w:color w:val="000000" w:themeColor="text1"/>
        </w:rPr>
        <w:t xml:space="preserve"> et du gradient. [Démo p68-69 Basdevant</w:t>
      </w:r>
      <w:r w:rsidR="00D74F5D">
        <w:rPr>
          <w:color w:val="000000" w:themeColor="text1"/>
        </w:rPr>
        <w:t xml:space="preserve"> s’obtient en intégrant l’équation de </w:t>
      </w:r>
      <w:proofErr w:type="spellStart"/>
      <w:r w:rsidR="00D74F5D">
        <w:rPr>
          <w:color w:val="000000" w:themeColor="text1"/>
        </w:rPr>
        <w:t>schrodinger</w:t>
      </w:r>
      <w:proofErr w:type="spellEnd"/>
      <w:r w:rsidR="00D74F5D">
        <w:rPr>
          <w:color w:val="000000" w:themeColor="text1"/>
        </w:rPr>
        <w:t xml:space="preserve"> indépendante du temps</w:t>
      </w:r>
      <w:r w:rsidR="009958B6">
        <w:rPr>
          <w:color w:val="000000" w:themeColor="text1"/>
        </w:rPr>
        <w:t> :</w:t>
      </w:r>
      <w:r w:rsidR="00440E83">
        <w:rPr>
          <w:color w:val="000000" w:themeColor="text1"/>
        </w:rPr>
        <w:t xml:space="preserve">] </w:t>
      </w:r>
    </w:p>
    <w:p w14:paraId="547D9A7F" w14:textId="0E5310B0" w:rsidR="00BD4500" w:rsidRDefault="00BD4500" w:rsidP="001423FA">
      <w:pPr>
        <w:pStyle w:val="ListParagraph"/>
        <w:tabs>
          <w:tab w:val="left" w:pos="4152"/>
        </w:tabs>
        <w:ind w:left="1068"/>
        <w:jc w:val="both"/>
        <w:rPr>
          <w:color w:val="000000" w:themeColor="text1"/>
        </w:rPr>
      </w:pPr>
      <w:r>
        <w:rPr>
          <w:noProof/>
        </w:rPr>
        <w:drawing>
          <wp:anchor distT="0" distB="0" distL="114300" distR="114300" simplePos="0" relativeHeight="251659264" behindDoc="0" locked="0" layoutInCell="1" allowOverlap="1" wp14:anchorId="23B3F88C" wp14:editId="37D3D3B3">
            <wp:simplePos x="0" y="0"/>
            <wp:positionH relativeFrom="margin">
              <wp:align>right</wp:align>
            </wp:positionH>
            <wp:positionV relativeFrom="paragraph">
              <wp:posOffset>181610</wp:posOffset>
            </wp:positionV>
            <wp:extent cx="5135880" cy="1691640"/>
            <wp:effectExtent l="0" t="0" r="762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5880" cy="1691640"/>
                    </a:xfrm>
                    <a:prstGeom prst="rect">
                      <a:avLst/>
                    </a:prstGeom>
                  </pic:spPr>
                </pic:pic>
              </a:graphicData>
            </a:graphic>
            <wp14:sizeRelH relativeFrom="margin">
              <wp14:pctWidth>0</wp14:pctWidth>
            </wp14:sizeRelH>
            <wp14:sizeRelV relativeFrom="margin">
              <wp14:pctHeight>0</wp14:pctHeight>
            </wp14:sizeRelV>
          </wp:anchor>
        </w:drawing>
      </w:r>
    </w:p>
    <w:p w14:paraId="7ED67579" w14:textId="04658C3C" w:rsidR="00EF1740" w:rsidRDefault="00EF1740" w:rsidP="001423FA">
      <w:pPr>
        <w:pStyle w:val="ListParagraph"/>
        <w:tabs>
          <w:tab w:val="left" w:pos="4152"/>
        </w:tabs>
        <w:ind w:left="1068"/>
        <w:jc w:val="both"/>
        <w:rPr>
          <w:color w:val="000000" w:themeColor="text1"/>
        </w:rPr>
      </w:pPr>
    </w:p>
    <w:p w14:paraId="46C19537" w14:textId="546D3CB6" w:rsidR="00EF1740" w:rsidRDefault="00EF1740" w:rsidP="00EF1740">
      <w:pPr>
        <w:pStyle w:val="ListParagraph"/>
        <w:numPr>
          <w:ilvl w:val="0"/>
          <w:numId w:val="15"/>
        </w:numPr>
        <w:tabs>
          <w:tab w:val="left" w:pos="4152"/>
        </w:tabs>
        <w:jc w:val="both"/>
        <w:rPr>
          <w:color w:val="000000" w:themeColor="text1"/>
        </w:rPr>
      </w:pPr>
      <w:r>
        <w:rPr>
          <w:color w:val="000000" w:themeColor="text1"/>
        </w:rPr>
        <w:t xml:space="preserve">Probabilité de réflexion et de transmission : Expression complète du courant de probabilité p300 </w:t>
      </w:r>
      <w:proofErr w:type="spellStart"/>
      <w:r>
        <w:rPr>
          <w:color w:val="000000" w:themeColor="text1"/>
        </w:rPr>
        <w:t>Aslangul</w:t>
      </w:r>
      <w:proofErr w:type="spellEnd"/>
      <w:r>
        <w:rPr>
          <w:color w:val="000000" w:themeColor="text1"/>
        </w:rPr>
        <w:t>.</w:t>
      </w:r>
    </w:p>
    <w:p w14:paraId="7DBF0547" w14:textId="0E3C51F2" w:rsidR="00BD4500" w:rsidRPr="00BD4500" w:rsidRDefault="00BD4500" w:rsidP="00BD4500">
      <w:pPr>
        <w:pStyle w:val="ListParagraph"/>
        <w:tabs>
          <w:tab w:val="left" w:pos="4152"/>
        </w:tabs>
        <w:ind w:left="1068"/>
        <w:jc w:val="both"/>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∂ρ</m:t>
            </m:r>
          </m:num>
          <m:den>
            <m:r>
              <w:rPr>
                <w:rFonts w:ascii="Cambria Math" w:hAnsi="Cambria Math"/>
                <w:color w:val="000000" w:themeColor="text1"/>
              </w:rPr>
              <m:t>∂t</m:t>
            </m:r>
          </m:den>
        </m:f>
        <m:r>
          <w:rPr>
            <w:rFonts w:ascii="Cambria Math" w:hAnsi="Cambria Math"/>
            <w:color w:val="000000" w:themeColor="text1"/>
          </w:rPr>
          <m:t>+</m:t>
        </m:r>
        <m:r>
          <w:rPr>
            <w:rFonts w:ascii="Cambria Math" w:hAnsi="Cambria Math"/>
            <w:color w:val="000000" w:themeColor="text1"/>
          </w:rPr>
          <m:t>div</m:t>
        </m:r>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j</m:t>
                </m:r>
              </m:e>
            </m:acc>
          </m:e>
        </m:d>
        <m:r>
          <w:rPr>
            <w:rFonts w:ascii="Cambria Math" w:hAnsi="Cambria Math"/>
            <w:color w:val="000000" w:themeColor="text1"/>
          </w:rPr>
          <m:t>=0</m:t>
        </m:r>
      </m:oMath>
      <w:r w:rsidRPr="00BD4500">
        <w:rPr>
          <w:rFonts w:eastAsiaTheme="minorEastAsia"/>
          <w:color w:val="000000" w:themeColor="text1"/>
        </w:rPr>
        <w:t xml:space="preserve"> </w:t>
      </w:r>
      <w:proofErr w:type="gramStart"/>
      <w:r w:rsidRPr="00BD4500">
        <w:rPr>
          <w:rFonts w:eastAsiaTheme="minorEastAsia"/>
          <w:color w:val="000000" w:themeColor="text1"/>
        </w:rPr>
        <w:t>av</w:t>
      </w:r>
      <w:proofErr w:type="spellStart"/>
      <w:r w:rsidRPr="00BD4500">
        <w:rPr>
          <w:rFonts w:eastAsiaTheme="minorEastAsia"/>
          <w:color w:val="000000" w:themeColor="text1"/>
        </w:rPr>
        <w:t>e</w:t>
      </w:r>
      <w:r>
        <w:rPr>
          <w:rFonts w:eastAsiaTheme="minorEastAsia"/>
          <w:color w:val="000000" w:themeColor="text1"/>
        </w:rPr>
        <w:t>c</w:t>
      </w:r>
      <w:proofErr w:type="spellEnd"/>
      <w:proofErr w:type="gramEnd"/>
      <w:r>
        <w:rPr>
          <w:rFonts w:eastAsiaTheme="minorEastAsia"/>
          <w:color w:val="000000" w:themeColor="text1"/>
        </w:rPr>
        <w:t xml:space="preserve"> </w:t>
      </w:r>
      <m:oMath>
        <m:r>
          <w:rPr>
            <w:rFonts w:ascii="Cambria Math" w:eastAsiaTheme="minorEastAsia" w:hAnsi="Cambria Math"/>
            <w:color w:val="000000" w:themeColor="text1"/>
          </w:rPr>
          <m:t>ρ=</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ψ</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 :densité de probabilité de présence</m:t>
        </m:r>
      </m:oMath>
    </w:p>
    <w:p w14:paraId="3B205E2C" w14:textId="4E6D058E" w:rsidR="00BD4500" w:rsidRPr="00BD4500" w:rsidRDefault="00570F3E" w:rsidP="00BD4500">
      <w:pPr>
        <w:pStyle w:val="ListParagraph"/>
        <w:tabs>
          <w:tab w:val="left" w:pos="4152"/>
        </w:tabs>
        <w:ind w:left="1068"/>
        <w:jc w:val="both"/>
        <w:rPr>
          <w:rFonts w:eastAsiaTheme="minorEastAsia"/>
          <w:color w:val="000000" w:themeColor="text1"/>
        </w:rPr>
      </w:pPr>
      <m:oMathPara>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j</m:t>
              </m:r>
            </m:e>
          </m:ac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ℏ</m:t>
              </m:r>
            </m:num>
            <m:den>
              <m:r>
                <w:rPr>
                  <w:rFonts w:ascii="Cambria Math" w:eastAsiaTheme="minorEastAsia" w:hAnsi="Cambria Math"/>
                  <w:color w:val="000000" w:themeColor="text1"/>
                </w:rPr>
                <m:t>2im</m:t>
              </m:r>
            </m:den>
          </m:f>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ψ</m:t>
                  </m:r>
                </m:e>
                <m:sup>
                  <m:r>
                    <w:rPr>
                      <w:rFonts w:ascii="Cambria Math" w:eastAsiaTheme="minorEastAsia" w:hAnsi="Cambria Math"/>
                      <w:color w:val="000000" w:themeColor="text1"/>
                    </w:rPr>
                    <m:t>*</m:t>
                  </m:r>
                </m:sup>
              </m:sSup>
              <m:acc>
                <m:accPr>
                  <m:chr m:val="⃗"/>
                  <m:ctrlPr>
                    <w:rPr>
                      <w:rFonts w:ascii="Cambria Math" w:eastAsiaTheme="minorEastAsia" w:hAnsi="Cambria Math"/>
                      <w:i/>
                      <w:color w:val="000000" w:themeColor="text1"/>
                    </w:rPr>
                  </m:ctrlPr>
                </m:accPr>
                <m:e>
                  <m:r>
                    <m:rPr>
                      <m:sty m:val="p"/>
                    </m:rPr>
                    <w:rPr>
                      <w:rFonts w:ascii="Cambria Math" w:eastAsiaTheme="minorEastAsia" w:hAnsi="Cambria Math"/>
                      <w:color w:val="000000" w:themeColor="text1"/>
                    </w:rPr>
                    <m:t>∇</m:t>
                  </m:r>
                </m:e>
              </m:acc>
              <m:r>
                <w:rPr>
                  <w:rFonts w:ascii="Cambria Math" w:eastAsiaTheme="minorEastAsia" w:hAnsi="Cambria Math"/>
                  <w:color w:val="000000" w:themeColor="text1"/>
                </w:rPr>
                <m:t>ψ-ψ</m:t>
              </m:r>
              <m:acc>
                <m:accPr>
                  <m:chr m:val="⃗"/>
                  <m:ctrlPr>
                    <w:rPr>
                      <w:rFonts w:ascii="Cambria Math" w:eastAsiaTheme="minorEastAsia" w:hAnsi="Cambria Math"/>
                      <w:i/>
                      <w:color w:val="000000" w:themeColor="text1"/>
                    </w:rPr>
                  </m:ctrlPr>
                </m:accPr>
                <m:e>
                  <m:r>
                    <m:rPr>
                      <m:sty m:val="p"/>
                    </m:rPr>
                    <w:rPr>
                      <w:rFonts w:ascii="Cambria Math" w:eastAsiaTheme="minorEastAsia" w:hAnsi="Cambria Math"/>
                      <w:color w:val="000000" w:themeColor="text1"/>
                    </w:rPr>
                    <m:t>∇</m:t>
                  </m:r>
                </m:e>
              </m:acc>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ψ</m:t>
                  </m:r>
                </m:e>
                <m:sup>
                  <m:r>
                    <w:rPr>
                      <w:rFonts w:ascii="Cambria Math" w:eastAsiaTheme="minorEastAsia" w:hAnsi="Cambria Math"/>
                      <w:color w:val="000000" w:themeColor="text1"/>
                    </w:rPr>
                    <m:t>*</m:t>
                  </m:r>
                </m:sup>
              </m:sSup>
            </m:e>
          </m:d>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ℏ</m:t>
              </m:r>
            </m:num>
            <m:den>
              <m:r>
                <w:rPr>
                  <w:rFonts w:ascii="Cambria Math" w:eastAsiaTheme="minorEastAsia" w:hAnsi="Cambria Math"/>
                  <w:color w:val="000000" w:themeColor="text1"/>
                </w:rPr>
                <m:t>2im</m:t>
              </m:r>
            </m:den>
          </m:f>
          <m:d>
            <m:dPr>
              <m:ctrlPr>
                <w:rPr>
                  <w:rFonts w:ascii="Cambria Math" w:eastAsiaTheme="minorEastAsia" w:hAnsi="Cambria Math"/>
                  <w:i/>
                  <w:color w:val="000000" w:themeColor="text1"/>
                </w:rPr>
              </m:ctrlPr>
            </m:dPr>
            <m:e>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ψ</m:t>
                  </m:r>
                </m:e>
                <m:sup>
                  <m:r>
                    <w:rPr>
                      <w:rFonts w:ascii="Cambria Math" w:eastAsiaTheme="minorEastAsia" w:hAnsi="Cambria Math"/>
                      <w:color w:val="000000" w:themeColor="text1"/>
                    </w:rPr>
                    <m:t>*</m:t>
                  </m:r>
                </m:sup>
              </m:s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ψ</m:t>
                  </m:r>
                </m:e>
                <m:sup>
                  <m:r>
                    <w:rPr>
                      <w:rFonts w:ascii="Cambria Math" w:eastAsiaTheme="minorEastAsia" w:hAnsi="Cambria Math"/>
                      <w:color w:val="000000" w:themeColor="text1"/>
                    </w:rPr>
                    <m:t>'</m:t>
                  </m:r>
                </m:sup>
              </m:s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r>
                <w:rPr>
                  <w:rFonts w:ascii="Cambria Math" w:eastAsiaTheme="minorEastAsia" w:hAnsi="Cambria Math"/>
                  <w:color w:val="000000" w:themeColor="text1"/>
                </w:rPr>
                <m:t>-ψ</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ψ</m:t>
                  </m:r>
                </m:e>
                <m:sup>
                  <m:r>
                    <w:rPr>
                      <w:rFonts w:ascii="Cambria Math" w:eastAsiaTheme="minorEastAsia" w:hAnsi="Cambria Math"/>
                      <w:color w:val="000000" w:themeColor="text1"/>
                    </w:rPr>
                    <m:t>'</m:t>
                  </m:r>
                </m:sup>
              </m:sSup>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e>
              </m:d>
            </m:e>
          </m:d>
          <m:r>
            <w:rPr>
              <w:rFonts w:ascii="Cambria Math" w:eastAsiaTheme="minorEastAsia" w:hAnsi="Cambria Math"/>
              <w:color w:val="000000" w:themeColor="text1"/>
            </w:rPr>
            <m:t>=ρ</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v</m:t>
              </m:r>
            </m:e>
          </m:acc>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ρ</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p</m:t>
                  </m:r>
                </m:e>
              </m:acc>
            </m:num>
            <m:den>
              <m:r>
                <w:rPr>
                  <w:rFonts w:ascii="Cambria Math" w:eastAsiaTheme="minorEastAsia" w:hAnsi="Cambria Math"/>
                  <w:color w:val="000000" w:themeColor="text1"/>
                </w:rPr>
                <m:t>m</m:t>
              </m:r>
            </m:den>
          </m:f>
          <m:r>
            <w:rPr>
              <w:rFonts w:ascii="Cambria Math" w:eastAsiaTheme="minorEastAsia" w:hAnsi="Cambria Math"/>
              <w:color w:val="000000" w:themeColor="text1"/>
            </w:rPr>
            <m:t>=</m:t>
          </m:r>
          <m:f>
            <m:fPr>
              <m:ctrlPr>
                <w:rPr>
                  <w:rFonts w:ascii="Cambria Math" w:eastAsiaTheme="minorEastAsia" w:hAnsi="Cambria Math"/>
                  <w:i/>
                  <w:color w:val="000000" w:themeColor="text1"/>
                </w:rPr>
              </m:ctrlPr>
            </m:fPr>
            <m:num>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ψ</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ℏ</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k</m:t>
                  </m:r>
                </m:e>
              </m:acc>
            </m:num>
            <m:den>
              <m:r>
                <w:rPr>
                  <w:rFonts w:ascii="Cambria Math" w:eastAsiaTheme="minorEastAsia" w:hAnsi="Cambria Math"/>
                  <w:color w:val="000000" w:themeColor="text1"/>
                </w:rPr>
                <m:t>m</m:t>
              </m:r>
            </m:den>
          </m:f>
        </m:oMath>
      </m:oMathPara>
    </w:p>
    <w:p w14:paraId="202EA969" w14:textId="79BF4FBB" w:rsidR="003E1E5C" w:rsidRDefault="00232EBF" w:rsidP="00EF1740">
      <w:pPr>
        <w:pStyle w:val="ListParagraph"/>
        <w:tabs>
          <w:tab w:val="left" w:pos="4152"/>
        </w:tabs>
        <w:ind w:left="1068"/>
        <w:jc w:val="both"/>
        <w:rPr>
          <w:color w:val="000000" w:themeColor="text1"/>
        </w:rPr>
      </w:pPr>
      <w:r>
        <w:rPr>
          <w:color w:val="000000" w:themeColor="text1"/>
        </w:rPr>
        <w:t xml:space="preserve">On peut calculer les probabilités de transmission et de réflexion (bien les définir à partir des courants de probabilités). </w:t>
      </w:r>
      <w:r w:rsidR="00D9401F">
        <w:rPr>
          <w:color w:val="000000" w:themeColor="text1"/>
        </w:rPr>
        <w:t>On peut ainsi connaissant les équations de continuités calculer T, R. Donner les expressions et commenter celle de T. (plus a est grand</w:t>
      </w:r>
      <w:r w:rsidR="00D9401F" w:rsidRPr="00D9401F">
        <w:rPr>
          <w:color w:val="000000" w:themeColor="text1"/>
        </w:rPr>
        <w:sym w:font="Wingdings" w:char="F0E8"/>
      </w:r>
      <w:r w:rsidR="00D9401F">
        <w:rPr>
          <w:color w:val="000000" w:themeColor="text1"/>
        </w:rPr>
        <w:t xml:space="preserve">… ; plus </w:t>
      </w:r>
      <w:r w:rsidR="003E1E5C">
        <w:rPr>
          <w:color w:val="000000" w:themeColor="text1"/>
        </w:rPr>
        <w:t xml:space="preserve">q est grand [q représente l’écart entre Vo et E avec une racine] </w:t>
      </w:r>
      <w:r w:rsidR="003E1E5C" w:rsidRPr="003E1E5C">
        <w:rPr>
          <w:color w:val="000000" w:themeColor="text1"/>
        </w:rPr>
        <w:sym w:font="Wingdings" w:char="F0E8"/>
      </w:r>
      <w:r w:rsidR="003E1E5C">
        <w:rPr>
          <w:color w:val="000000" w:themeColor="text1"/>
        </w:rPr>
        <w:t xml:space="preserve">…) </w:t>
      </w:r>
    </w:p>
    <w:p w14:paraId="34FD10D6" w14:textId="09CAB6A6" w:rsidR="00EF1740" w:rsidRPr="00A44144" w:rsidRDefault="003E1E5C" w:rsidP="003E1E5C">
      <w:pPr>
        <w:pStyle w:val="ListParagraph"/>
        <w:numPr>
          <w:ilvl w:val="0"/>
          <w:numId w:val="15"/>
        </w:numPr>
        <w:tabs>
          <w:tab w:val="left" w:pos="4152"/>
        </w:tabs>
        <w:jc w:val="both"/>
        <w:rPr>
          <w:color w:val="000000" w:themeColor="text1"/>
        </w:rPr>
      </w:pPr>
      <w:r>
        <w:rPr>
          <w:color w:val="000000" w:themeColor="text1"/>
        </w:rPr>
        <w:t xml:space="preserve">Approximation d’une barrière épaisse. </w:t>
      </w:r>
      <w:proofErr w:type="gramStart"/>
      <w:r w:rsidR="00985C66">
        <w:rPr>
          <w:color w:val="000000" w:themeColor="text1"/>
        </w:rPr>
        <w:t>p</w:t>
      </w:r>
      <w:proofErr w:type="gramEnd"/>
      <w:r w:rsidR="00985C66">
        <w:rPr>
          <w:color w:val="000000" w:themeColor="text1"/>
        </w:rPr>
        <w:t>1255 [Sanz]</w:t>
      </w:r>
      <w:r w:rsidR="00D9401F">
        <w:rPr>
          <w:color w:val="000000" w:themeColor="text1"/>
        </w:rPr>
        <w:t xml:space="preserve"> </w:t>
      </w:r>
      <w:r w:rsidR="00613212">
        <w:rPr>
          <w:color w:val="000000" w:themeColor="text1"/>
        </w:rPr>
        <w:t xml:space="preserve">(DL en a/delta ou méthode plus bourrin) </w:t>
      </w:r>
      <w:r w:rsidR="00A51C83">
        <w:rPr>
          <w:color w:val="000000" w:themeColor="text1"/>
        </w:rPr>
        <w:t xml:space="preserve">Cette approximation est valable </w:t>
      </w:r>
      <w:r w:rsidR="00985C66">
        <w:rPr>
          <w:color w:val="000000" w:themeColor="text1"/>
        </w:rPr>
        <w:t>dès que a&gt;2delta</w:t>
      </w:r>
      <w:r w:rsidR="00866A9A">
        <w:rPr>
          <w:color w:val="000000" w:themeColor="text1"/>
        </w:rPr>
        <w:t xml:space="preserve"> </w:t>
      </w:r>
      <w:r w:rsidR="00866A9A">
        <w:rPr>
          <w:b/>
          <w:bCs/>
          <w:color w:val="000000" w:themeColor="text1"/>
        </w:rPr>
        <w:t>OG p1255 [Sanz]</w:t>
      </w:r>
    </w:p>
    <w:p w14:paraId="40CDA39F" w14:textId="7674FED8" w:rsidR="00A44144" w:rsidRDefault="00A44144" w:rsidP="006578BF">
      <w:pPr>
        <w:pStyle w:val="ListParagraph"/>
        <w:tabs>
          <w:tab w:val="left" w:pos="4152"/>
        </w:tabs>
        <w:ind w:left="1068"/>
        <w:jc w:val="both"/>
        <w:rPr>
          <w:color w:val="000000" w:themeColor="text1"/>
        </w:rPr>
      </w:pPr>
    </w:p>
    <w:p w14:paraId="01618A3A" w14:textId="060CCD33" w:rsidR="006578BF" w:rsidRPr="006578BF" w:rsidRDefault="006578BF" w:rsidP="006578BF">
      <w:pPr>
        <w:pStyle w:val="ListParagraph"/>
        <w:tabs>
          <w:tab w:val="left" w:pos="4152"/>
        </w:tabs>
        <w:ind w:left="1068"/>
        <w:jc w:val="both"/>
      </w:pPr>
      <w:r w:rsidRPr="00D1596A">
        <w:rPr>
          <w:b/>
          <w:bCs/>
          <w:color w:val="000000" w:themeColor="text1"/>
          <w:u w:val="single"/>
        </w:rPr>
        <w:t>Conclusion</w:t>
      </w:r>
      <w:r>
        <w:rPr>
          <w:color w:val="000000" w:themeColor="text1"/>
        </w:rPr>
        <w:t xml:space="preserve"> : Animation université </w:t>
      </w:r>
      <w:proofErr w:type="gramStart"/>
      <w:r>
        <w:rPr>
          <w:color w:val="000000" w:themeColor="text1"/>
        </w:rPr>
        <w:t>du man</w:t>
      </w:r>
      <w:r w:rsidR="00D1596A">
        <w:rPr>
          <w:color w:val="000000" w:themeColor="text1"/>
        </w:rPr>
        <w:t>s</w:t>
      </w:r>
      <w:proofErr w:type="gramEnd"/>
      <w:r>
        <w:rPr>
          <w:color w:val="000000" w:themeColor="text1"/>
        </w:rPr>
        <w:t> :</w:t>
      </w:r>
      <w:r w:rsidRPr="006578BF">
        <w:t xml:space="preserve"> </w:t>
      </w:r>
      <w:hyperlink r:id="rId9" w:history="1">
        <w:r>
          <w:rPr>
            <w:rStyle w:val="Hyperlink"/>
          </w:rPr>
          <w:t>http://ressources.univ-lemans.fr/AccesLibre/UM/Pedago/physique/02/divers/qbarr.html</w:t>
        </w:r>
      </w:hyperlink>
    </w:p>
    <w:p w14:paraId="6367F930" w14:textId="26CF8EE4" w:rsidR="00DD1AEC" w:rsidRDefault="00DD1AEC" w:rsidP="00F83D5A">
      <w:pPr>
        <w:pStyle w:val="ListParagraph"/>
        <w:ind w:left="1080"/>
        <w:jc w:val="both"/>
        <w:rPr>
          <w:b/>
          <w:bCs/>
          <w:color w:val="000000" w:themeColor="text1"/>
        </w:rPr>
      </w:pPr>
    </w:p>
    <w:p w14:paraId="03A97C40" w14:textId="1810584D" w:rsidR="00DD1AEC" w:rsidRDefault="00DD1AEC" w:rsidP="00F83D5A">
      <w:pPr>
        <w:pStyle w:val="ListParagraph"/>
        <w:ind w:left="1080"/>
        <w:jc w:val="both"/>
        <w:rPr>
          <w:b/>
          <w:bCs/>
          <w:color w:val="000000" w:themeColor="text1"/>
        </w:rPr>
      </w:pPr>
    </w:p>
    <w:p w14:paraId="46184C87" w14:textId="624956F7" w:rsidR="00DD1AEC" w:rsidRDefault="00AD3F58" w:rsidP="00AD3F58">
      <w:pPr>
        <w:pStyle w:val="Heading1"/>
      </w:pPr>
      <w:r>
        <w:t>Microscope à effet Tunnel</w:t>
      </w:r>
    </w:p>
    <w:p w14:paraId="7374A4E2" w14:textId="5064BB01" w:rsidR="00AD3F58" w:rsidRPr="00670C2B" w:rsidRDefault="00DA0B78" w:rsidP="00AD3F58">
      <w:pPr>
        <w:rPr>
          <w:lang w:val="en-US"/>
        </w:rPr>
      </w:pPr>
      <w:r>
        <w:t xml:space="preserve">[Sanz p 1256]. </w:t>
      </w:r>
      <w:proofErr w:type="spellStart"/>
      <w:r w:rsidR="00670C2B" w:rsidRPr="00670C2B">
        <w:rPr>
          <w:lang w:val="en-US"/>
        </w:rPr>
        <w:t>Cf</w:t>
      </w:r>
      <w:proofErr w:type="spellEnd"/>
      <w:r w:rsidR="00670C2B" w:rsidRPr="00670C2B">
        <w:rPr>
          <w:lang w:val="en-US"/>
        </w:rPr>
        <w:t xml:space="preserve"> PDF </w:t>
      </w:r>
      <w:proofErr w:type="spellStart"/>
      <w:r w:rsidR="00670C2B" w:rsidRPr="00670C2B">
        <w:rPr>
          <w:lang w:val="en-US"/>
        </w:rPr>
        <w:t>Fill</w:t>
      </w:r>
      <w:r w:rsidR="00670C2B">
        <w:rPr>
          <w:lang w:val="en-US"/>
        </w:rPr>
        <w:t>ette</w:t>
      </w:r>
      <w:proofErr w:type="spellEnd"/>
    </w:p>
    <w:p w14:paraId="63B8887A" w14:textId="77777777" w:rsidR="00993770" w:rsidRDefault="00DA0B78" w:rsidP="00993770">
      <w:r w:rsidRPr="00993770">
        <w:rPr>
          <w:b/>
          <w:bCs/>
          <w:color w:val="000000" w:themeColor="text1"/>
        </w:rPr>
        <w:t xml:space="preserve">Animation </w:t>
      </w:r>
      <w:hyperlink r:id="rId10" w:history="1">
        <w:r w:rsidRPr="00993770">
          <w:rPr>
            <w:rStyle w:val="Hyperlink"/>
          </w:rPr>
          <w:t>http://www.quantum-physics.polytechnique.fr/tunnelMicroscope.php</w:t>
        </w:r>
      </w:hyperlink>
      <w:r w:rsidRPr="00993770">
        <w:t xml:space="preserve"> </w:t>
      </w:r>
    </w:p>
    <w:p w14:paraId="2980D635" w14:textId="3839BE91" w:rsidR="00993770" w:rsidRPr="00E53E01" w:rsidRDefault="00993770" w:rsidP="00993770">
      <w:r>
        <w:t xml:space="preserve">Pour l’aspect spectroscopie, dire que mesurer I en variant U à position fixé permet d’avoir des informations sur </w:t>
      </w:r>
      <w:proofErr w:type="gramStart"/>
      <w:r>
        <w:t>la répartitions</w:t>
      </w:r>
      <w:proofErr w:type="gramEnd"/>
      <w:r>
        <w:t xml:space="preserve"> des niveaux d’énergie (d’où le nom spectroscopie) </w:t>
      </w:r>
    </w:p>
    <w:p w14:paraId="0AD0D17F" w14:textId="3E17B4D1" w:rsidR="00DD1AEC" w:rsidRPr="00993770" w:rsidRDefault="00DD1AEC" w:rsidP="00DA0B78">
      <w:pPr>
        <w:jc w:val="both"/>
      </w:pPr>
    </w:p>
    <w:p w14:paraId="64A92402" w14:textId="74049EF3" w:rsidR="00DD1AEC" w:rsidRDefault="00514681" w:rsidP="00514681">
      <w:pPr>
        <w:pStyle w:val="Heading1"/>
        <w:rPr>
          <w:lang w:val="en-US"/>
        </w:rPr>
      </w:pPr>
      <w:proofErr w:type="spellStart"/>
      <w:r>
        <w:rPr>
          <w:lang w:val="en-US"/>
        </w:rPr>
        <w:t>Radioactivité</w:t>
      </w:r>
      <w:proofErr w:type="spellEnd"/>
      <w:r>
        <w:rPr>
          <w:lang w:val="en-US"/>
        </w:rPr>
        <w:t xml:space="preserve"> alpha</w:t>
      </w:r>
    </w:p>
    <w:p w14:paraId="7052CE61" w14:textId="1541B2C7" w:rsidR="00514681" w:rsidRDefault="00C400CF" w:rsidP="00514681">
      <w:r w:rsidRPr="00E53E01">
        <w:t>[Sanz p 1260]</w:t>
      </w:r>
      <w:r w:rsidR="00E53E01" w:rsidRPr="00E53E01">
        <w:t xml:space="preserve"> Présenter les questions.</w:t>
      </w:r>
      <w:r w:rsidR="00E53E01">
        <w:t xml:space="preserve"> Lire le cours de Fillette. </w:t>
      </w:r>
    </w:p>
    <w:p w14:paraId="1474462D" w14:textId="162C8C4B" w:rsidR="006E45C0" w:rsidRDefault="006E45C0" w:rsidP="00514681">
      <w:bookmarkStart w:id="0" w:name="_GoBack"/>
      <w:r>
        <w:rPr>
          <w:noProof/>
        </w:rPr>
        <w:lastRenderedPageBreak/>
        <w:drawing>
          <wp:anchor distT="0" distB="0" distL="114300" distR="114300" simplePos="0" relativeHeight="251661312" behindDoc="0" locked="0" layoutInCell="1" allowOverlap="1" wp14:anchorId="460ED989" wp14:editId="42BC30C4">
            <wp:simplePos x="0" y="0"/>
            <wp:positionH relativeFrom="column">
              <wp:posOffset>0</wp:posOffset>
            </wp:positionH>
            <wp:positionV relativeFrom="paragraph">
              <wp:posOffset>289560</wp:posOffset>
            </wp:positionV>
            <wp:extent cx="5760720" cy="53892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89245"/>
                    </a:xfrm>
                    <a:prstGeom prst="rect">
                      <a:avLst/>
                    </a:prstGeom>
                  </pic:spPr>
                </pic:pic>
              </a:graphicData>
            </a:graphic>
          </wp:anchor>
        </w:drawing>
      </w:r>
      <w:bookmarkEnd w:id="0"/>
    </w:p>
    <w:sectPr w:rsidR="006E45C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6386C" w14:textId="77777777" w:rsidR="00BA2BB6" w:rsidRDefault="00BA2BB6" w:rsidP="002F6A5A">
      <w:pPr>
        <w:spacing w:after="0" w:line="240" w:lineRule="auto"/>
      </w:pPr>
      <w:r>
        <w:separator/>
      </w:r>
    </w:p>
  </w:endnote>
  <w:endnote w:type="continuationSeparator" w:id="0">
    <w:p w14:paraId="02DD05C5" w14:textId="77777777" w:rsidR="00BA2BB6" w:rsidRDefault="00BA2BB6" w:rsidP="002F6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2923" w14:textId="77777777" w:rsidR="00BA2BB6" w:rsidRDefault="00BA2BB6" w:rsidP="002F6A5A">
      <w:pPr>
        <w:spacing w:after="0" w:line="240" w:lineRule="auto"/>
      </w:pPr>
      <w:r>
        <w:separator/>
      </w:r>
    </w:p>
  </w:footnote>
  <w:footnote w:type="continuationSeparator" w:id="0">
    <w:p w14:paraId="295D054F" w14:textId="77777777" w:rsidR="00BA2BB6" w:rsidRDefault="00BA2BB6" w:rsidP="002F6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6715"/>
    <w:multiLevelType w:val="hybridMultilevel"/>
    <w:tmpl w:val="A2EA6220"/>
    <w:lvl w:ilvl="0" w:tplc="BB7E6E3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ACF29F9"/>
    <w:multiLevelType w:val="hybridMultilevel"/>
    <w:tmpl w:val="37146E0A"/>
    <w:lvl w:ilvl="0" w:tplc="94FE7DA2">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C646A1F"/>
    <w:multiLevelType w:val="hybridMultilevel"/>
    <w:tmpl w:val="750E11DA"/>
    <w:lvl w:ilvl="0" w:tplc="BC9EA340">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26EF49D3"/>
    <w:multiLevelType w:val="hybridMultilevel"/>
    <w:tmpl w:val="3D8EF8F0"/>
    <w:lvl w:ilvl="0" w:tplc="8124DA88">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F26AAB"/>
    <w:multiLevelType w:val="hybridMultilevel"/>
    <w:tmpl w:val="FD2C3D04"/>
    <w:lvl w:ilvl="0" w:tplc="E1C4C9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DB2B3F"/>
    <w:multiLevelType w:val="hybridMultilevel"/>
    <w:tmpl w:val="EBA4978A"/>
    <w:lvl w:ilvl="0" w:tplc="47CE3C20">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36AC19A7"/>
    <w:multiLevelType w:val="hybridMultilevel"/>
    <w:tmpl w:val="AF90B294"/>
    <w:lvl w:ilvl="0" w:tplc="BAD86008">
      <w:start w:val="1"/>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381E03BE"/>
    <w:multiLevelType w:val="hybridMultilevel"/>
    <w:tmpl w:val="F202F2CA"/>
    <w:lvl w:ilvl="0" w:tplc="F594BF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8C091F"/>
    <w:multiLevelType w:val="hybridMultilevel"/>
    <w:tmpl w:val="B9602FC0"/>
    <w:lvl w:ilvl="0" w:tplc="D92CF782">
      <w:start w:val="1"/>
      <w:numFmt w:val="upperRoman"/>
      <w:lvlText w:val="%1-"/>
      <w:lvlJc w:val="left"/>
      <w:pPr>
        <w:ind w:left="1080" w:hanging="720"/>
      </w:pPr>
      <w:rPr>
        <w:rFonts w:hint="default"/>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880625"/>
    <w:multiLevelType w:val="hybridMultilevel"/>
    <w:tmpl w:val="1444CBD8"/>
    <w:lvl w:ilvl="0" w:tplc="C644B86A">
      <w:start w:val="1"/>
      <w:numFmt w:val="upperLetter"/>
      <w:lvlText w:val="%1-"/>
      <w:lvlJc w:val="left"/>
      <w:pPr>
        <w:ind w:left="1440" w:hanging="360"/>
      </w:pPr>
      <w:rPr>
        <w:rFonts w:hint="default"/>
        <w:lang w:val="en-US"/>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428C38AE"/>
    <w:multiLevelType w:val="hybridMultilevel"/>
    <w:tmpl w:val="1B96AC32"/>
    <w:lvl w:ilvl="0" w:tplc="A46A1968">
      <w:start w:val="1"/>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52E30C10"/>
    <w:multiLevelType w:val="hybridMultilevel"/>
    <w:tmpl w:val="484AB20A"/>
    <w:lvl w:ilvl="0" w:tplc="9E00DA24">
      <w:start w:val="1"/>
      <w:numFmt w:val="upperLetter"/>
      <w:pStyle w:val="Heading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1A7068C"/>
    <w:multiLevelType w:val="hybridMultilevel"/>
    <w:tmpl w:val="166ED580"/>
    <w:lvl w:ilvl="0" w:tplc="39362364">
      <w:start w:val="3"/>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4"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32565F"/>
    <w:multiLevelType w:val="hybridMultilevel"/>
    <w:tmpl w:val="B6985BEC"/>
    <w:lvl w:ilvl="0" w:tplc="96B41F1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9"/>
  </w:num>
  <w:num w:numId="2">
    <w:abstractNumId w:val="10"/>
  </w:num>
  <w:num w:numId="3">
    <w:abstractNumId w:val="2"/>
  </w:num>
  <w:num w:numId="4">
    <w:abstractNumId w:val="15"/>
  </w:num>
  <w:num w:numId="5">
    <w:abstractNumId w:val="1"/>
  </w:num>
  <w:num w:numId="6">
    <w:abstractNumId w:val="6"/>
  </w:num>
  <w:num w:numId="7">
    <w:abstractNumId w:val="3"/>
  </w:num>
  <w:num w:numId="8">
    <w:abstractNumId w:val="11"/>
  </w:num>
  <w:num w:numId="9">
    <w:abstractNumId w:val="13"/>
  </w:num>
  <w:num w:numId="10">
    <w:abstractNumId w:val="14"/>
  </w:num>
  <w:num w:numId="11">
    <w:abstractNumId w:val="12"/>
  </w:num>
  <w:num w:numId="12">
    <w:abstractNumId w:val="4"/>
  </w:num>
  <w:num w:numId="13">
    <w:abstractNumId w:val="12"/>
    <w:lvlOverride w:ilvl="0">
      <w:startOverride w:val="1"/>
    </w:lvlOverride>
  </w:num>
  <w:num w:numId="14">
    <w:abstractNumId w:val="0"/>
  </w:num>
  <w:num w:numId="15">
    <w:abstractNumId w:val="7"/>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74EF"/>
    <w:rsid w:val="00040005"/>
    <w:rsid w:val="00054031"/>
    <w:rsid w:val="000669A3"/>
    <w:rsid w:val="00070FED"/>
    <w:rsid w:val="00086628"/>
    <w:rsid w:val="000C64F0"/>
    <w:rsid w:val="000E269E"/>
    <w:rsid w:val="000F0B1C"/>
    <w:rsid w:val="00103845"/>
    <w:rsid w:val="00106BF1"/>
    <w:rsid w:val="00112123"/>
    <w:rsid w:val="0012231E"/>
    <w:rsid w:val="001423FA"/>
    <w:rsid w:val="001518B5"/>
    <w:rsid w:val="001616F2"/>
    <w:rsid w:val="00191476"/>
    <w:rsid w:val="001B3F89"/>
    <w:rsid w:val="001C286F"/>
    <w:rsid w:val="001F2668"/>
    <w:rsid w:val="00204DF4"/>
    <w:rsid w:val="00215C57"/>
    <w:rsid w:val="00216670"/>
    <w:rsid w:val="00232EBF"/>
    <w:rsid w:val="00295EF7"/>
    <w:rsid w:val="00296C97"/>
    <w:rsid w:val="002A7EAA"/>
    <w:rsid w:val="002B2A94"/>
    <w:rsid w:val="002B6916"/>
    <w:rsid w:val="002B70CC"/>
    <w:rsid w:val="002F6A5A"/>
    <w:rsid w:val="00332F15"/>
    <w:rsid w:val="003518D3"/>
    <w:rsid w:val="00356756"/>
    <w:rsid w:val="003818C5"/>
    <w:rsid w:val="003A444B"/>
    <w:rsid w:val="003B6488"/>
    <w:rsid w:val="003C42E3"/>
    <w:rsid w:val="003E1E5C"/>
    <w:rsid w:val="003F5D4D"/>
    <w:rsid w:val="00406F7D"/>
    <w:rsid w:val="00415878"/>
    <w:rsid w:val="00422AF3"/>
    <w:rsid w:val="00440E83"/>
    <w:rsid w:val="00465A32"/>
    <w:rsid w:val="00492BCB"/>
    <w:rsid w:val="004A78F7"/>
    <w:rsid w:val="004B4067"/>
    <w:rsid w:val="004D621C"/>
    <w:rsid w:val="004F5F5D"/>
    <w:rsid w:val="004F62D6"/>
    <w:rsid w:val="004F677E"/>
    <w:rsid w:val="00514681"/>
    <w:rsid w:val="00547568"/>
    <w:rsid w:val="00552504"/>
    <w:rsid w:val="005528CB"/>
    <w:rsid w:val="00570F3E"/>
    <w:rsid w:val="00583B69"/>
    <w:rsid w:val="005968A7"/>
    <w:rsid w:val="005C5837"/>
    <w:rsid w:val="005D76FE"/>
    <w:rsid w:val="005E5124"/>
    <w:rsid w:val="00613212"/>
    <w:rsid w:val="00631082"/>
    <w:rsid w:val="006578BF"/>
    <w:rsid w:val="0066565B"/>
    <w:rsid w:val="00670C2B"/>
    <w:rsid w:val="0069281F"/>
    <w:rsid w:val="006B5513"/>
    <w:rsid w:val="006C56FD"/>
    <w:rsid w:val="006E45C0"/>
    <w:rsid w:val="007101F2"/>
    <w:rsid w:val="0072209B"/>
    <w:rsid w:val="00725A42"/>
    <w:rsid w:val="00735DA6"/>
    <w:rsid w:val="00771BCA"/>
    <w:rsid w:val="00781C80"/>
    <w:rsid w:val="007E653D"/>
    <w:rsid w:val="007F4C6F"/>
    <w:rsid w:val="00820A6F"/>
    <w:rsid w:val="00841858"/>
    <w:rsid w:val="0085219B"/>
    <w:rsid w:val="00866A9A"/>
    <w:rsid w:val="008774F8"/>
    <w:rsid w:val="00893F12"/>
    <w:rsid w:val="008D171E"/>
    <w:rsid w:val="0090066B"/>
    <w:rsid w:val="00915976"/>
    <w:rsid w:val="0091788A"/>
    <w:rsid w:val="009275E5"/>
    <w:rsid w:val="009411A4"/>
    <w:rsid w:val="00985C66"/>
    <w:rsid w:val="00993770"/>
    <w:rsid w:val="009958B6"/>
    <w:rsid w:val="009A0385"/>
    <w:rsid w:val="009A3FF7"/>
    <w:rsid w:val="009C4257"/>
    <w:rsid w:val="009D7AB0"/>
    <w:rsid w:val="009F4D92"/>
    <w:rsid w:val="00A04687"/>
    <w:rsid w:val="00A068F2"/>
    <w:rsid w:val="00A170CB"/>
    <w:rsid w:val="00A369F0"/>
    <w:rsid w:val="00A44144"/>
    <w:rsid w:val="00A46D7B"/>
    <w:rsid w:val="00A51C83"/>
    <w:rsid w:val="00A75D31"/>
    <w:rsid w:val="00A803FF"/>
    <w:rsid w:val="00A97E61"/>
    <w:rsid w:val="00AD3F58"/>
    <w:rsid w:val="00AE0606"/>
    <w:rsid w:val="00BA2BB6"/>
    <w:rsid w:val="00BD4500"/>
    <w:rsid w:val="00BE4CA1"/>
    <w:rsid w:val="00C050CF"/>
    <w:rsid w:val="00C400CF"/>
    <w:rsid w:val="00C52FC3"/>
    <w:rsid w:val="00C63D82"/>
    <w:rsid w:val="00C82B9A"/>
    <w:rsid w:val="00CA675B"/>
    <w:rsid w:val="00CA7C6D"/>
    <w:rsid w:val="00CD4C56"/>
    <w:rsid w:val="00CE440F"/>
    <w:rsid w:val="00D1596A"/>
    <w:rsid w:val="00D21409"/>
    <w:rsid w:val="00D273E5"/>
    <w:rsid w:val="00D32CA1"/>
    <w:rsid w:val="00D461BC"/>
    <w:rsid w:val="00D63643"/>
    <w:rsid w:val="00D74F5D"/>
    <w:rsid w:val="00D76E78"/>
    <w:rsid w:val="00D82FAF"/>
    <w:rsid w:val="00D8388A"/>
    <w:rsid w:val="00D9401F"/>
    <w:rsid w:val="00DA0B78"/>
    <w:rsid w:val="00DB1D87"/>
    <w:rsid w:val="00DB64A3"/>
    <w:rsid w:val="00DD1AEC"/>
    <w:rsid w:val="00DE5B4B"/>
    <w:rsid w:val="00DF3629"/>
    <w:rsid w:val="00DF37C5"/>
    <w:rsid w:val="00DF3A4F"/>
    <w:rsid w:val="00E12E30"/>
    <w:rsid w:val="00E425CB"/>
    <w:rsid w:val="00E473D0"/>
    <w:rsid w:val="00E53E01"/>
    <w:rsid w:val="00E74AF9"/>
    <w:rsid w:val="00EC155C"/>
    <w:rsid w:val="00EC682D"/>
    <w:rsid w:val="00EF1190"/>
    <w:rsid w:val="00EF1740"/>
    <w:rsid w:val="00EF1BD6"/>
    <w:rsid w:val="00F0501C"/>
    <w:rsid w:val="00F114C1"/>
    <w:rsid w:val="00F14F51"/>
    <w:rsid w:val="00F762DE"/>
    <w:rsid w:val="00F83D5A"/>
    <w:rsid w:val="00FA7250"/>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EF"/>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09B"/>
    <w:pPr>
      <w:keepNext/>
      <w:keepLines/>
      <w:numPr>
        <w:numId w:val="11"/>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12"/>
      </w:numPr>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contextualSpacing/>
    </w:pPr>
  </w:style>
  <w:style w:type="paragraph" w:styleId="FootnoteText">
    <w:name w:val="footnote text"/>
    <w:basedOn w:val="Normal"/>
    <w:link w:val="FootnoteTextChar"/>
    <w:uiPriority w:val="99"/>
    <w:semiHidden/>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72209B"/>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quantum-physics.polytechnique.fr/tunnelMicroscope.php" TargetMode="External"/><Relationship Id="rId4" Type="http://schemas.openxmlformats.org/officeDocument/2006/relationships/settings" Target="settings.xml"/><Relationship Id="rId9" Type="http://schemas.openxmlformats.org/officeDocument/2006/relationships/hyperlink" Target="http://ressources.univ-lemans.fr/AccesLibre/UM/Pedago/physique/02/divers/qbar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3F315-30FD-44C4-80A7-90FE345A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3</Pages>
  <Words>675</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120</cp:revision>
  <dcterms:created xsi:type="dcterms:W3CDTF">2020-03-25T13:00:00Z</dcterms:created>
  <dcterms:modified xsi:type="dcterms:W3CDTF">2020-06-27T09:29:00Z</dcterms:modified>
</cp:coreProperties>
</file>