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18B99" w14:textId="7913CD30" w:rsidR="00631082" w:rsidRPr="00E23439" w:rsidRDefault="00703516" w:rsidP="00E23439">
      <w:pPr>
        <w:pStyle w:val="Title"/>
        <w:numPr>
          <w:ilvl w:val="0"/>
          <w:numId w:val="0"/>
        </w:numPr>
        <w:ind w:left="1068"/>
        <w:jc w:val="center"/>
      </w:pPr>
      <w:r>
        <w:t>LP44-Capacités thermiques :  Description, interprétation microscopique</w:t>
      </w:r>
    </w:p>
    <w:p w14:paraId="36253171" w14:textId="3DE9B8A0" w:rsidR="00C050CF" w:rsidRDefault="0091788A" w:rsidP="00E23439">
      <w:pPr>
        <w:numPr>
          <w:ilvl w:val="0"/>
          <w:numId w:val="0"/>
        </w:numPr>
        <w:ind w:left="1068"/>
        <w:jc w:val="center"/>
      </w:pPr>
      <w:r w:rsidRPr="0091788A">
        <w:t>Pierre Ghesquiere</w:t>
      </w:r>
    </w:p>
    <w:p w14:paraId="4A5CA465" w14:textId="4847DC4D" w:rsidR="00D61CAD" w:rsidRDefault="00266FFF" w:rsidP="00266FFF">
      <w:pPr>
        <w:pStyle w:val="Heading1"/>
        <w:numPr>
          <w:ilvl w:val="0"/>
          <w:numId w:val="0"/>
        </w:numPr>
        <w:ind w:left="1080"/>
      </w:pPr>
      <w:r>
        <w:t>Introduction</w:t>
      </w:r>
    </w:p>
    <w:p w14:paraId="07DB4420" w14:textId="411D0C8F" w:rsidR="0067319B" w:rsidRDefault="0067319B" w:rsidP="0067319B">
      <w:r>
        <w:t xml:space="preserve">Il existe plusieurs façons d’introduire la notion de </w:t>
      </w:r>
      <w:r w:rsidRPr="00631E87">
        <w:rPr>
          <w:b/>
          <w:bCs/>
        </w:rPr>
        <w:t>capacité thermique</w:t>
      </w:r>
      <w:r>
        <w:t>. Une des plus intuitive est la quantité d’énergie qu’il faut fournir au système pour élever sa température d’un 1K</w:t>
      </w:r>
      <w:r w:rsidR="00631E87">
        <w:t xml:space="preserve"> (</w:t>
      </w:r>
      <w:proofErr w:type="spellStart"/>
      <w:r w:rsidR="00631E87">
        <w:t>eg</w:t>
      </w:r>
      <w:proofErr w:type="spellEnd"/>
      <w:r w:rsidR="00631E87">
        <w:t>.</w:t>
      </w:r>
      <w:r w:rsidR="003E1036">
        <w:t xml:space="preserve"> </w:t>
      </w:r>
      <w:proofErr w:type="gramStart"/>
      <w:r w:rsidR="00631E87">
        <w:t>gaz</w:t>
      </w:r>
      <w:proofErr w:type="gramEnd"/>
      <w:r w:rsidR="00631E87">
        <w:t xml:space="preserve"> lors d’une transformation isochore)</w:t>
      </w:r>
      <w:r>
        <w:t xml:space="preserve">. </w:t>
      </w:r>
      <w:r w:rsidR="007D2566">
        <w:t xml:space="preserve">On formalisera et précisera cette définition qualitative dans la leçon. </w:t>
      </w:r>
    </w:p>
    <w:p w14:paraId="5D6AD3CA" w14:textId="6914BB1A" w:rsidR="00A668AD" w:rsidRDefault="007D2566" w:rsidP="0067319B">
      <w:r>
        <w:rPr>
          <w:b/>
          <w:bCs/>
        </w:rPr>
        <w:t>Pourquoi la ca</w:t>
      </w:r>
      <w:r w:rsidR="00D27ACB">
        <w:rPr>
          <w:b/>
          <w:bCs/>
        </w:rPr>
        <w:t>lorimétrie</w:t>
      </w:r>
      <w:r>
        <w:rPr>
          <w:b/>
          <w:bCs/>
        </w:rPr>
        <w:t xml:space="preserve"> est intéressante ?</w:t>
      </w:r>
      <w:r w:rsidR="00D27ACB">
        <w:rPr>
          <w:b/>
          <w:bCs/>
        </w:rPr>
        <w:t xml:space="preserve"> </w:t>
      </w:r>
      <w:r w:rsidR="00D27ACB">
        <w:t xml:space="preserve">car elle rend compte des caractères microscopiques des échanges d’énergie. </w:t>
      </w:r>
      <w:r w:rsidR="00B37BE8">
        <w:t xml:space="preserve">Rappelons que l’énergie interne est la valeur moyenne de la somme de l’énergie cinétique barycentrique et potentielle des particules. </w:t>
      </w:r>
      <w:r w:rsidR="0010488D">
        <w:t xml:space="preserve">Elle traduit l’agitation thermique des particules ainsi que leur interaction à l’échelle microscopique. </w:t>
      </w:r>
      <w:r w:rsidR="00A668AD">
        <w:t xml:space="preserve">Mesurer une hausse de l’énergie à travail constant, c’est donc étudier la réaction du système à l’échelle microscopique. </w:t>
      </w:r>
    </w:p>
    <w:p w14:paraId="541D46C1" w14:textId="0054CD1A" w:rsidR="00AD0993" w:rsidRDefault="00A668AD" w:rsidP="0067319B">
      <w:r>
        <w:rPr>
          <w:b/>
          <w:bCs/>
        </w:rPr>
        <w:t xml:space="preserve">La capacité </w:t>
      </w:r>
      <w:r w:rsidR="00631E87">
        <w:rPr>
          <w:b/>
          <w:bCs/>
        </w:rPr>
        <w:t>thermique </w:t>
      </w:r>
      <w:r w:rsidR="0094779C">
        <w:t>est donc un paramètre que l’on peut calculer expérimentalement (</w:t>
      </w:r>
      <w:proofErr w:type="gramStart"/>
      <w:r w:rsidR="0094779C">
        <w:t>on</w:t>
      </w:r>
      <w:proofErr w:type="gramEnd"/>
      <w:r w:rsidR="0094779C">
        <w:t xml:space="preserve"> verra quelques moyens dans cette leçon) et qui</w:t>
      </w:r>
      <w:r w:rsidR="006426D1">
        <w:t xml:space="preserve"> traduit macroscopiquement les </w:t>
      </w:r>
      <w:r w:rsidR="00AD0993">
        <w:t xml:space="preserve">phénomènes microscopiques. On a admis jusqu’à présent que pour un gaz parfait monoatomique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nR</m:t>
        </m:r>
      </m:oMath>
      <w:r w:rsidR="00AD0993">
        <w:rPr>
          <w:rFonts w:eastAsiaTheme="minorEastAsia"/>
        </w:rPr>
        <w:t xml:space="preserve"> et diatomique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nR</m:t>
        </m:r>
      </m:oMath>
      <w:r w:rsidR="00AD0993">
        <w:rPr>
          <w:rFonts w:eastAsiaTheme="minorEastAsia"/>
        </w:rPr>
        <w:t xml:space="preserve">. Cette leçon va nous permettre de comprendre l’origine microscopique de cette différence. </w:t>
      </w:r>
    </w:p>
    <w:p w14:paraId="0B6BC97A" w14:textId="77777777" w:rsidR="003E1036" w:rsidRDefault="00AD0993" w:rsidP="0067319B">
      <w:r>
        <w:t>Dans</w:t>
      </w:r>
      <w:r w:rsidR="0094779C">
        <w:t xml:space="preserve"> </w:t>
      </w:r>
      <w:r>
        <w:t>cette leçon, on s’intéressera brièvement à déterminer des méthodes de mesure de ces capacités</w:t>
      </w:r>
      <w:r w:rsidR="00A92455">
        <w:t xml:space="preserve"> (Première partie)</w:t>
      </w:r>
      <w:r>
        <w:t xml:space="preserve">. Et </w:t>
      </w:r>
      <w:r w:rsidR="00A92455">
        <w:t>le</w:t>
      </w:r>
      <w:r>
        <w:t xml:space="preserve"> lien avec les aspects microscopiques des systèmes thermodynamiques étudiés</w:t>
      </w:r>
      <w:r w:rsidR="00763D7D">
        <w:t xml:space="preserve"> (Deuxième et 3</w:t>
      </w:r>
      <w:r w:rsidR="00763D7D" w:rsidRPr="00763D7D">
        <w:rPr>
          <w:vertAlign w:val="superscript"/>
        </w:rPr>
        <w:t>e</w:t>
      </w:r>
      <w:r w:rsidR="00763D7D">
        <w:t xml:space="preserve"> partie)</w:t>
      </w:r>
      <w:r>
        <w:t>.</w:t>
      </w:r>
    </w:p>
    <w:p w14:paraId="623AE6C0" w14:textId="106A8004" w:rsidR="007D2566" w:rsidRDefault="007D2566" w:rsidP="003E1036">
      <w:pPr>
        <w:numPr>
          <w:ilvl w:val="0"/>
          <w:numId w:val="0"/>
        </w:numPr>
        <w:ind w:left="1068"/>
      </w:pPr>
    </w:p>
    <w:p w14:paraId="30E65C2A" w14:textId="418DBD6A" w:rsidR="008715A3" w:rsidRDefault="008715A3" w:rsidP="008715A3">
      <w:pPr>
        <w:pStyle w:val="Heading1"/>
      </w:pPr>
      <w:r>
        <w:t>Définitions et Méthodes de mesure</w:t>
      </w:r>
      <w:bookmarkStart w:id="0" w:name="_GoBack"/>
      <w:bookmarkEnd w:id="0"/>
    </w:p>
    <w:p w14:paraId="07CEAB5F" w14:textId="5C034B8D" w:rsidR="008715A3" w:rsidRDefault="008715A3" w:rsidP="008715A3">
      <w:pPr>
        <w:pStyle w:val="Heading1"/>
      </w:pPr>
      <w:r>
        <w:t>Capacité thermique des gaz parfaits</w:t>
      </w:r>
    </w:p>
    <w:p w14:paraId="05764B00" w14:textId="41B77D33" w:rsidR="008715A3" w:rsidRDefault="008715A3" w:rsidP="008715A3">
      <w:pPr>
        <w:pStyle w:val="Heading1"/>
      </w:pPr>
      <w:r>
        <w:t>Capacité thermique des solides</w:t>
      </w:r>
    </w:p>
    <w:p w14:paraId="37027D1C" w14:textId="77777777" w:rsidR="00F20456" w:rsidRDefault="009A35FB" w:rsidP="009A35FB">
      <w:r>
        <w:rPr>
          <w:b/>
          <w:bCs/>
        </w:rPr>
        <w:t xml:space="preserve">Expérimentalement : </w:t>
      </w:r>
      <w:r w:rsidR="00F20456" w:rsidRPr="00F20456">
        <w:t>Pour les solides non métalliques.</w:t>
      </w:r>
    </w:p>
    <w:p w14:paraId="374AF095" w14:textId="6ACC3EF4" w:rsidR="009A35FB" w:rsidRPr="00F20456" w:rsidRDefault="00F20456" w:rsidP="00F20456">
      <w:pPr>
        <w:numPr>
          <w:ilvl w:val="0"/>
          <w:numId w:val="0"/>
        </w:numPr>
        <w:ind w:left="106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=3nR</m:t>
        </m:r>
      </m:oMath>
      <w:r w:rsidRPr="00F20456">
        <w:rPr>
          <w:rFonts w:eastAsiaTheme="minorEastAsia"/>
        </w:rPr>
        <w:t xml:space="preserve"> </w:t>
      </w:r>
      <w:proofErr w:type="gramStart"/>
      <w:r w:rsidRPr="00F20456">
        <w:rPr>
          <w:rFonts w:eastAsiaTheme="minorEastAsia"/>
        </w:rPr>
        <w:t>à</w:t>
      </w:r>
      <w:proofErr w:type="gramEnd"/>
      <w:r w:rsidRPr="00F20456">
        <w:rPr>
          <w:rFonts w:eastAsiaTheme="minorEastAsia"/>
        </w:rPr>
        <w:t xml:space="preserve"> température élevée</w:t>
      </w:r>
      <w:r>
        <w:rPr>
          <w:rFonts w:eastAsiaTheme="minorEastAsia"/>
        </w:rPr>
        <w:t xml:space="preserve"> (Explicable par la loi de Dulong et petit)</w:t>
      </w:r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</m:oMath>
      <w:proofErr w:type="gramStart"/>
      <w:r w:rsidR="00930C54">
        <w:rPr>
          <w:rFonts w:eastAsiaTheme="minorEastAsia"/>
        </w:rPr>
        <w:t>à</w:t>
      </w:r>
      <w:proofErr w:type="gramEnd"/>
      <w:r w:rsidR="00930C54">
        <w:rPr>
          <w:rFonts w:eastAsiaTheme="minorEastAsia"/>
        </w:rPr>
        <w:t xml:space="preserve"> basse température. Montrer des courbes</w:t>
      </w:r>
      <w:r w:rsidR="00734174">
        <w:rPr>
          <w:rFonts w:eastAsiaTheme="minorEastAsia"/>
        </w:rPr>
        <w:t xml:space="preserve">. </w:t>
      </w:r>
      <w:r w:rsidR="00134150">
        <w:rPr>
          <w:rFonts w:eastAsiaTheme="minorEastAsia"/>
        </w:rPr>
        <w:t xml:space="preserve">On ne peut plus négliger les effets quantiques à basse température. </w:t>
      </w:r>
    </w:p>
    <w:p w14:paraId="38E7449D" w14:textId="3AAFBC65" w:rsidR="009A35FB" w:rsidRPr="005756C4" w:rsidRDefault="009A35FB" w:rsidP="009A35FB">
      <w:r>
        <w:rPr>
          <w:b/>
          <w:bCs/>
        </w:rPr>
        <w:t xml:space="preserve">Modélisation du cristal : </w:t>
      </w:r>
      <w:r w:rsidRPr="009A35FB">
        <w:t>On considère un solide cristallin</w:t>
      </w:r>
      <w:r w:rsidR="00E95BD2">
        <w:t xml:space="preserve"> isotrope</w:t>
      </w:r>
      <w:r w:rsidRPr="009A35FB">
        <w:t xml:space="preserve"> constitué de N atomes</w:t>
      </w:r>
      <w:r>
        <w:rPr>
          <w:b/>
          <w:bCs/>
        </w:rPr>
        <w:t xml:space="preserve">. </w:t>
      </w:r>
      <w:r>
        <w:t xml:space="preserve">Ces N atomes oscillent autour de leur position d’équilibre. (Déplacement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par rapport à l’équilibre</w:t>
      </w:r>
      <w:r w:rsidR="00E95BD2">
        <w:rPr>
          <w:rFonts w:eastAsiaTheme="minorEastAsia"/>
        </w:rPr>
        <w:t xml:space="preserve"> [Slide]</w:t>
      </w:r>
      <w:r>
        <w:rPr>
          <w:rFonts w:eastAsiaTheme="minorEastAsia"/>
        </w:rPr>
        <w:t>)</w:t>
      </w:r>
      <w:r w:rsidR="00E95BD2">
        <w:rPr>
          <w:rFonts w:eastAsiaTheme="minorEastAsia"/>
        </w:rPr>
        <w:t>.</w:t>
      </w:r>
      <w:r>
        <w:rPr>
          <w:b/>
          <w:bCs/>
        </w:rPr>
        <w:t xml:space="preserve"> </w:t>
      </w:r>
      <w:r>
        <w:t>Chaque atome interagi</w:t>
      </w:r>
      <w:r w:rsidR="00734174">
        <w:t>t</w:t>
      </w:r>
      <w:r>
        <w:t xml:space="preserve"> avec les atomes dans son voisinage.  </w:t>
      </w:r>
      <w:r w:rsidR="00E95BD2">
        <w:t>Donc l’énergie globale du système s’exprime comme la somme d’un terme d’énergie cinétique et d’un terme d’énergie potentiel d’interaction dont on peut faire l’approximation harmonique</w:t>
      </w:r>
      <w:r w:rsidR="00EF59E1">
        <w:t xml:space="preserve"> au voisinage d’une position d’équilibre. </w:t>
      </w:r>
      <w:r w:rsidR="002E496C">
        <w:t xml:space="preserve">(Sur les slides i et j se réfèrent aux atomes et </w:t>
      </w:r>
      <m:oMath>
        <m:r>
          <w:rPr>
            <w:rFonts w:ascii="Cambria Math" w:hAnsi="Cambria Math"/>
          </w:rPr>
          <m:t xml:space="preserve">α, β </m:t>
        </m:r>
      </m:oMath>
      <w:r w:rsidR="002E496C">
        <w:rPr>
          <w:rFonts w:eastAsiaTheme="minorEastAsia"/>
        </w:rPr>
        <w:t xml:space="preserve">à la </w:t>
      </w:r>
      <w:r w:rsidR="005E64D1">
        <w:rPr>
          <w:rFonts w:eastAsiaTheme="minorEastAsia"/>
        </w:rPr>
        <w:t>coordonnée cartésienne de position</w:t>
      </w:r>
      <w:r w:rsidR="002E496C">
        <w:rPr>
          <w:rFonts w:eastAsiaTheme="minorEastAsia"/>
        </w:rPr>
        <w:t xml:space="preserve"> (</w:t>
      </w:r>
      <w:proofErr w:type="spellStart"/>
      <w:proofErr w:type="gramStart"/>
      <w:r w:rsidR="002E496C">
        <w:rPr>
          <w:rFonts w:eastAsiaTheme="minorEastAsia"/>
        </w:rPr>
        <w:t>x,y</w:t>
      </w:r>
      <w:proofErr w:type="spellEnd"/>
      <w:proofErr w:type="gramEnd"/>
      <w:r w:rsidR="002E496C">
        <w:rPr>
          <w:rFonts w:eastAsiaTheme="minorEastAsia"/>
        </w:rPr>
        <w:t xml:space="preserve"> ou z)</w:t>
      </w:r>
      <w:r w:rsidR="005756C4">
        <w:rPr>
          <w:rFonts w:eastAsiaTheme="minorEastAsia"/>
        </w:rPr>
        <w:t xml:space="preserve">. </w:t>
      </w:r>
    </w:p>
    <w:p w14:paraId="02DB3C79" w14:textId="38D3A423" w:rsidR="005756C4" w:rsidRDefault="00EC0DAF" w:rsidP="00EC0DAF">
      <w:r>
        <w:rPr>
          <w:b/>
          <w:bCs/>
        </w:rPr>
        <w:t xml:space="preserve">Diagonalisation : </w:t>
      </w:r>
      <w:r>
        <w:t xml:space="preserve">Comme les oscillateurs sont couplés (termes croisé), il est nécessaire de les découplés pour appliqués les statistiques. </w:t>
      </w:r>
      <w:r w:rsidR="00820241">
        <w:t xml:space="preserve">Comme la matrice est symétrique réelle la </w:t>
      </w:r>
      <w:r w:rsidR="00820241">
        <w:lastRenderedPageBreak/>
        <w:t>diagonalisation est possible</w:t>
      </w:r>
      <w:r w:rsidR="004279FD">
        <w:t xml:space="preserve">. Chaque coordonnée s’exprime comme combinaison linéaire de coordonnées normales issues de cette diagonalisation et ainsi, on passe de </w:t>
      </w:r>
      <w:r w:rsidR="00134150">
        <w:t>3</w:t>
      </w:r>
      <w:r w:rsidR="004279FD">
        <w:t xml:space="preserve">N oscillateurs couplés à </w:t>
      </w:r>
      <w:r w:rsidR="00134150">
        <w:t>3</w:t>
      </w:r>
      <w:r w:rsidR="004279FD">
        <w:t xml:space="preserve">N oscillateurs découplés. </w:t>
      </w:r>
      <w:r w:rsidR="00134150">
        <w:t xml:space="preserve">En mécanique quantique, </w:t>
      </w:r>
      <w:r w:rsidR="001D54DF">
        <w:t xml:space="preserve">on connait les valeurs propres d’un tel hamiltonien. </w:t>
      </w:r>
    </w:p>
    <w:p w14:paraId="4D7AE157" w14:textId="77777777" w:rsidR="00D508E8" w:rsidRPr="00D508E8" w:rsidRDefault="001D54DF" w:rsidP="00EC0DAF">
      <w:r>
        <w:rPr>
          <w:b/>
          <w:bCs/>
        </w:rPr>
        <w:t xml:space="preserve">Equivalence avec un système 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ph</m:t>
            </m:r>
          </m:sub>
        </m:sSub>
      </m:oMath>
      <w:r>
        <w:rPr>
          <w:rFonts w:eastAsiaTheme="minorEastAsia"/>
          <w:b/>
          <w:bCs/>
        </w:rPr>
        <w:t xml:space="preserve"> phonons. </w:t>
      </w:r>
      <w:r w:rsidR="00D73082">
        <w:rPr>
          <w:rFonts w:eastAsiaTheme="minorEastAsia"/>
        </w:rPr>
        <w:t>Le système est équivalent à un système ou chaque</w:t>
      </w:r>
      <w:r>
        <w:rPr>
          <w:rFonts w:eastAsiaTheme="minorEastAsia"/>
        </w:rPr>
        <w:t xml:space="preserve"> état d’énergie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est occupé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particules que l’on appelle des phonons.</w:t>
      </w:r>
      <w:r w:rsidR="00D73082">
        <w:rPr>
          <w:rFonts w:eastAsiaTheme="minorEastAsia"/>
        </w:rPr>
        <w:t xml:space="preserve"> Les phonons sont des bosons (en effet, ils peuvent occuper un même niveau d’énergie à plusieurs). On peut donc les décrire par la statistique de Bose Einstein. De plus, ils peuvent être créées ou </w:t>
      </w:r>
      <w:proofErr w:type="spellStart"/>
      <w:r w:rsidR="00D73082">
        <w:rPr>
          <w:rFonts w:eastAsiaTheme="minorEastAsia"/>
        </w:rPr>
        <w:t>annhilé</w:t>
      </w:r>
      <w:proofErr w:type="spellEnd"/>
      <w:r w:rsidR="00D73082">
        <w:rPr>
          <w:rFonts w:eastAsiaTheme="minorEastAsia"/>
        </w:rPr>
        <w:t>. Il n’y a pas conservation de leur nombre. Cela implique que le potentiel chimique et nul (la contrainte sur le nombre de particules sau</w:t>
      </w:r>
      <w:r w:rsidR="007D6FFE">
        <w:rPr>
          <w:rFonts w:eastAsiaTheme="minorEastAsia"/>
        </w:rPr>
        <w:t xml:space="preserve">te. Un des multiplicateurs de </w:t>
      </w:r>
      <w:proofErr w:type="spellStart"/>
      <w:r w:rsidR="007D6FFE">
        <w:rPr>
          <w:rFonts w:eastAsiaTheme="minorEastAsia"/>
        </w:rPr>
        <w:t>lagrange</w:t>
      </w:r>
      <w:proofErr w:type="spellEnd"/>
      <w:r w:rsidR="007D6FFE">
        <w:rPr>
          <w:rFonts w:eastAsiaTheme="minorEastAsia"/>
        </w:rPr>
        <w:t xml:space="preserve"> est nul (p30 du couture et </w:t>
      </w:r>
      <w:proofErr w:type="spellStart"/>
      <w:r w:rsidR="007D6FFE">
        <w:rPr>
          <w:rFonts w:eastAsiaTheme="minorEastAsia"/>
        </w:rPr>
        <w:t>Zitoun</w:t>
      </w:r>
      <w:proofErr w:type="spellEnd"/>
      <w:r w:rsidR="007D6FFE">
        <w:rPr>
          <w:rFonts w:eastAsiaTheme="minorEastAsia"/>
        </w:rPr>
        <w:t>)</w:t>
      </w:r>
      <w:r w:rsidR="00D508E8">
        <w:rPr>
          <w:rFonts w:eastAsiaTheme="minorEastAsia"/>
        </w:rPr>
        <w:t xml:space="preserve">. </w:t>
      </w:r>
    </w:p>
    <w:p w14:paraId="103DF87D" w14:textId="77777777" w:rsidR="00D508E8" w:rsidRPr="00D508E8" w:rsidRDefault="00D508E8" w:rsidP="00EC0DAF">
      <w:r>
        <w:rPr>
          <w:b/>
          <w:bCs/>
        </w:rPr>
        <w:t>On peut donc décrire le système statistiquement :</w:t>
      </w:r>
      <w:r>
        <w:rPr>
          <w:rFonts w:eastAsiaTheme="minorEastAsia"/>
        </w:rPr>
        <w:t xml:space="preserve"> La fonction de partition et connue (En fait pour l’obtenir, il faut repartir de la définition de la fonction de partition dans l’ensemble grand canonique pour bien comprendre l’origine du facteur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-β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devant. </w:t>
      </w:r>
    </w:p>
    <w:p w14:paraId="3DA8F6F9" w14:textId="7BBFF443" w:rsidR="00C63CEA" w:rsidRPr="00C63CEA" w:rsidRDefault="00D508E8" w:rsidP="00D508E8">
      <w:r>
        <w:rPr>
          <w:b/>
          <w:bCs/>
        </w:rPr>
        <w:t>Modèle d’Einstein</w:t>
      </w:r>
      <w:r w:rsidR="00C63CEA">
        <w:rPr>
          <w:b/>
          <w:bCs/>
        </w:rPr>
        <w:t xml:space="preserve"> (1907)</w:t>
      </w:r>
      <w:r>
        <w:rPr>
          <w:b/>
          <w:bCs/>
        </w:rPr>
        <w:t> </w:t>
      </w:r>
      <w:r w:rsidR="00EE7019">
        <w:rPr>
          <w:b/>
          <w:bCs/>
        </w:rPr>
        <w:t xml:space="preserve">p256 </w:t>
      </w:r>
      <w:proofErr w:type="spellStart"/>
      <w:proofErr w:type="gramStart"/>
      <w:r w:rsidR="00EE7019">
        <w:rPr>
          <w:b/>
          <w:bCs/>
        </w:rPr>
        <w:t>Reiff</w:t>
      </w:r>
      <w:proofErr w:type="spellEnd"/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t xml:space="preserve">Il s’agit </w:t>
      </w:r>
      <w:r w:rsidR="000C260B">
        <w:t xml:space="preserve">d’un modèle </w:t>
      </w:r>
      <w:proofErr w:type="spellStart"/>
      <w:r w:rsidR="000C260B">
        <w:t>miminal</w:t>
      </w:r>
      <w:proofErr w:type="spellEnd"/>
      <w:r>
        <w:t xml:space="preserve">. On suppose que toutes les particules vibrent à la même fréquence. Ce qui revient en fait à négliger les interactions entre les particules. Donc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pour tout r. C’est la pulsation d’einstein. </w:t>
      </w:r>
      <w:r w:rsidR="00C828EB">
        <w:rPr>
          <w:rFonts w:eastAsiaTheme="minorEastAsia"/>
        </w:rPr>
        <w:t xml:space="preserve">P254-255 du </w:t>
      </w:r>
      <w:proofErr w:type="spellStart"/>
      <w:r w:rsidR="00C828EB">
        <w:rPr>
          <w:rFonts w:eastAsiaTheme="minorEastAsia"/>
        </w:rPr>
        <w:t>Reif</w:t>
      </w:r>
      <w:proofErr w:type="spellEnd"/>
      <w:r w:rsidR="004037F5">
        <w:rPr>
          <w:rStyle w:val="FootnoteReference"/>
          <w:rFonts w:eastAsiaTheme="minorEastAsia"/>
        </w:rPr>
        <w:footnoteReference w:id="1"/>
      </w:r>
      <w:r w:rsidR="00D73082">
        <w:t xml:space="preserve"> </w:t>
      </w:r>
      <w:r w:rsidR="005A39F9">
        <w:t xml:space="preserve">pour les calculs. Pour la leçon, on balance les résultats en ayant en tête la formule </w:t>
      </w:r>
      <w:r w:rsidR="00D44023">
        <w:t>permettant de</w:t>
      </w:r>
      <w:r w:rsidR="005A39F9">
        <w:t xml:space="preserve"> passer de Z à F puis à U puis à Cv. </w:t>
      </w:r>
      <w:r w:rsidR="00720D80">
        <w:t xml:space="preserve">On remarque que à basse température, le modèle d’einstein décroit exponentiellement. Ce qui peut se comprendre intuitivement en disant que l’écart entre 2 niveaux d’énergie dans ce modèle est constant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barre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720D80">
        <w:rPr>
          <w:rFonts w:eastAsiaTheme="minorEastAsia"/>
        </w:rPr>
        <w:t xml:space="preserve">. Donc, à basse température, il est très difficile pour une particule d’atteindre le premier niveau d’énergie. </w:t>
      </w:r>
      <w:r w:rsidR="00C63CEA">
        <w:rPr>
          <w:rFonts w:eastAsiaTheme="minorEastAsia"/>
        </w:rPr>
        <w:t xml:space="preserve">Pour avoir une évolution 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C63CEA">
        <w:rPr>
          <w:rFonts w:eastAsiaTheme="minorEastAsia"/>
        </w:rPr>
        <w:t xml:space="preserve">, il est nécessaire que </w:t>
      </w:r>
      <w:proofErr w:type="gramStart"/>
      <w:r w:rsidR="00C63CEA">
        <w:rPr>
          <w:rFonts w:eastAsiaTheme="minorEastAsia"/>
        </w:rPr>
        <w:t>les écart</w:t>
      </w:r>
      <w:proofErr w:type="gramEnd"/>
      <w:r w:rsidR="00C63CEA">
        <w:rPr>
          <w:rFonts w:eastAsiaTheme="minorEastAsia"/>
        </w:rPr>
        <w:t xml:space="preserve"> entre 2 niveaux d’énergie soit quasi-continu lorsque T tend vers 0. C’est une des intuitions de </w:t>
      </w:r>
      <w:r w:rsidR="005A79DC">
        <w:rPr>
          <w:rFonts w:eastAsiaTheme="minorEastAsia"/>
        </w:rPr>
        <w:t xml:space="preserve">Peter </w:t>
      </w:r>
      <w:r w:rsidR="005A79DC" w:rsidRPr="00F66DAD">
        <w:rPr>
          <w:rFonts w:eastAsiaTheme="minorEastAsia"/>
          <w:b/>
          <w:bCs/>
        </w:rPr>
        <w:t>D</w:t>
      </w:r>
      <w:r w:rsidR="00C63CEA" w:rsidRPr="00F66DAD">
        <w:rPr>
          <w:rFonts w:eastAsiaTheme="minorEastAsia"/>
          <w:b/>
          <w:bCs/>
        </w:rPr>
        <w:t>ebye</w:t>
      </w:r>
      <w:r w:rsidR="00C63CEA">
        <w:rPr>
          <w:rFonts w:eastAsiaTheme="minorEastAsia"/>
        </w:rPr>
        <w:t xml:space="preserve">. </w:t>
      </w:r>
    </w:p>
    <w:p w14:paraId="2A4CA404" w14:textId="67042E14" w:rsidR="001D54DF" w:rsidRPr="007A3E30" w:rsidRDefault="00F66DAD" w:rsidP="00D508E8">
      <w:r>
        <w:rPr>
          <w:b/>
          <w:bCs/>
        </w:rPr>
        <w:t>Modèle de Debye</w:t>
      </w:r>
      <w:r w:rsidR="00C90717">
        <w:rPr>
          <w:b/>
          <w:bCs/>
        </w:rPr>
        <w:t xml:space="preserve"> (1912)</w:t>
      </w:r>
      <w:r w:rsidR="00EE7019">
        <w:rPr>
          <w:b/>
          <w:bCs/>
        </w:rPr>
        <w:t xml:space="preserve"> p416</w:t>
      </w:r>
      <w:r w:rsidR="00404D29">
        <w:rPr>
          <w:b/>
          <w:bCs/>
        </w:rPr>
        <w:t xml:space="preserve"> : </w:t>
      </w:r>
      <w:r w:rsidR="00404D29">
        <w:t xml:space="preserve">Pour bien comprendre le modèle de Debye, il est nécessaire d’avoir en tête le modèle de la chaine </w:t>
      </w:r>
      <w:r w:rsidR="00442008">
        <w:t>de pendule couplé</w:t>
      </w:r>
      <w:r w:rsidR="00C8761E">
        <w:t>e</w:t>
      </w:r>
      <w:r w:rsidR="00C55EC2">
        <w:t xml:space="preserve"> dont la relation de dispersion est :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</m:oMath>
      <w:r w:rsidR="00C55EC2">
        <w:rPr>
          <w:rFonts w:eastAsiaTheme="minorEastAsia"/>
        </w:rPr>
        <w:t xml:space="preserve"> où les N modes propres se répartissent entre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 w:rsidR="00C55EC2">
        <w:rPr>
          <w:rFonts w:eastAsiaTheme="minorEastAsia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 w:rsidR="00C55EC2">
        <w:rPr>
          <w:rFonts w:eastAsiaTheme="minorEastAsia"/>
        </w:rPr>
        <w:t xml:space="preserve">. On remarque bien qu’en multipliant l’axe des abscisses et des ordonnés par </w:t>
      </w:r>
      <w:proofErr w:type="spellStart"/>
      <w:r w:rsidR="00C55EC2">
        <w:rPr>
          <w:rFonts w:eastAsiaTheme="minorEastAsia"/>
        </w:rPr>
        <w:t>hbarre</w:t>
      </w:r>
      <w:proofErr w:type="spellEnd"/>
      <w:r w:rsidR="00C55EC2">
        <w:rPr>
          <w:rFonts w:eastAsiaTheme="minorEastAsia"/>
        </w:rPr>
        <w:t xml:space="preserve">, on a l’énergie en fonction de l’impulsion. A basse température (c’est ce cpt à basse température qui nous intéresse), </w:t>
      </w:r>
      <w:proofErr w:type="gramStart"/>
      <w:r w:rsidR="00C55EC2">
        <w:rPr>
          <w:rFonts w:eastAsiaTheme="minorEastAsia"/>
        </w:rPr>
        <w:t>seul les premiers niveaux</w:t>
      </w:r>
      <w:proofErr w:type="gramEnd"/>
      <w:r w:rsidR="00C55EC2">
        <w:rPr>
          <w:rFonts w:eastAsiaTheme="minorEastAsia"/>
        </w:rPr>
        <w:t xml:space="preserve"> d’énergie (inférieur à kT) sont excités. Donc on travaille essentiellement à basse longueur d’onde. La relation de dispersion devient </w:t>
      </w:r>
      <m:oMath>
        <m: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 xml:space="preserve">=kc </m:t>
        </m:r>
      </m:oMath>
      <w:r w:rsidR="00C55EC2">
        <w:rPr>
          <w:rFonts w:eastAsiaTheme="minorEastAsia"/>
        </w:rPr>
        <w:t xml:space="preserve"> L’hypothèse de Debye consiste à sup</w:t>
      </w:r>
      <w:r w:rsidR="005618D8">
        <w:rPr>
          <w:rFonts w:eastAsiaTheme="minorEastAsia"/>
        </w:rPr>
        <w:t>p</w:t>
      </w:r>
      <w:r w:rsidR="00C55EC2">
        <w:rPr>
          <w:rFonts w:eastAsiaTheme="minorEastAsia"/>
        </w:rPr>
        <w:t>oser que</w:t>
      </w:r>
      <w:r w:rsidR="005618D8">
        <w:rPr>
          <w:rFonts w:eastAsiaTheme="minorEastAsia"/>
        </w:rPr>
        <w:t xml:space="preserve"> les 3N premiers niveaux d’énergies vérifient la relation de dispersion. </w:t>
      </w:r>
      <w:r w:rsidR="000C5717">
        <w:rPr>
          <w:rFonts w:eastAsiaTheme="minorEastAsia"/>
        </w:rPr>
        <w:t xml:space="preserve">Cela permet de calculer la dégénérescence des niveaux d’énergie. Le facteur 3 est la conséquence du passage à 3 D </w:t>
      </w:r>
      <w:r w:rsidR="00E05F4C">
        <w:rPr>
          <w:rFonts w:eastAsiaTheme="minorEastAsia"/>
        </w:rPr>
        <w:t>(</w:t>
      </w:r>
      <w:r w:rsidR="000C5717">
        <w:rPr>
          <w:rFonts w:eastAsiaTheme="minorEastAsia"/>
        </w:rPr>
        <w:t>Les modes propres sont transversaux (1) et longitudinaux (2) et (3)</w:t>
      </w:r>
      <w:r w:rsidR="00E05F4C">
        <w:rPr>
          <w:rFonts w:eastAsiaTheme="minorEastAsia"/>
        </w:rPr>
        <w:t xml:space="preserve">). Comme la </w:t>
      </w:r>
      <w:proofErr w:type="spellStart"/>
      <w:r w:rsidR="00E05F4C">
        <w:rPr>
          <w:rFonts w:eastAsiaTheme="minorEastAsia"/>
        </w:rPr>
        <w:t>dégénerescence</w:t>
      </w:r>
      <w:proofErr w:type="spellEnd"/>
      <w:r w:rsidR="00E05F4C">
        <w:rPr>
          <w:rFonts w:eastAsiaTheme="minorEastAsia"/>
        </w:rPr>
        <w:t xml:space="preserve"> est 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05F4C">
        <w:rPr>
          <w:rFonts w:eastAsiaTheme="minorEastAsia"/>
        </w:rPr>
        <w:t xml:space="preserve"> et que le nombre de niveau d’énergie est 3N, Debye introduit la pulsation limite au </w:t>
      </w:r>
      <w:proofErr w:type="spellStart"/>
      <w:r w:rsidR="00E05F4C">
        <w:rPr>
          <w:rFonts w:eastAsiaTheme="minorEastAsia"/>
        </w:rPr>
        <w:t>dela</w:t>
      </w:r>
      <w:proofErr w:type="spellEnd"/>
      <w:r w:rsidR="00E05F4C">
        <w:rPr>
          <w:rFonts w:eastAsiaTheme="minorEastAsia"/>
        </w:rPr>
        <w:t xml:space="preserve"> de laquelle il considère que la dégénérescence s’annule. La encore, ce n’est pas si grave car ce modèle est surtout pertinent à basse température donc pour des niveaux d’énergie (</w:t>
      </w:r>
      <w:proofErr w:type="spellStart"/>
      <w:r w:rsidR="00E05F4C">
        <w:rPr>
          <w:rFonts w:eastAsiaTheme="minorEastAsia"/>
        </w:rPr>
        <w:t>ie</w:t>
      </w:r>
      <w:proofErr w:type="spellEnd"/>
      <w:r w:rsidR="00E05F4C">
        <w:rPr>
          <w:rFonts w:eastAsiaTheme="minorEastAsia"/>
        </w:rPr>
        <w:t xml:space="preserve"> </w:t>
      </w:r>
      <w:proofErr w:type="gramStart"/>
      <w:r w:rsidR="00E05F4C">
        <w:rPr>
          <w:rFonts w:eastAsiaTheme="minorEastAsia"/>
        </w:rPr>
        <w:t>pulsations )</w:t>
      </w:r>
      <w:proofErr w:type="gramEnd"/>
      <w:r w:rsidR="00E05F4C">
        <w:rPr>
          <w:rFonts w:eastAsiaTheme="minorEastAsia"/>
        </w:rPr>
        <w:t xml:space="preserve"> faible. </w:t>
      </w:r>
      <w:r w:rsidR="008F3272">
        <w:rPr>
          <w:rFonts w:eastAsiaTheme="minorEastAsia"/>
        </w:rPr>
        <w:t xml:space="preserve">La dégénérescence obtenue permet avec la fonction de partition précédemment calculée, de trouver la capacité thermique. (On balance l’intégrale). On retrouve le résultat de Dulong et Petit à basse T mais aussi un comportement 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</m:oMath>
      <w:r w:rsidR="008F3272">
        <w:rPr>
          <w:rFonts w:eastAsiaTheme="minorEastAsia"/>
        </w:rPr>
        <w:t xml:space="preserve">à basse température. </w:t>
      </w:r>
      <w:r w:rsidR="007A3E30">
        <w:rPr>
          <w:rFonts w:eastAsiaTheme="minorEastAsia"/>
        </w:rPr>
        <w:t xml:space="preserve">CQFD. </w:t>
      </w:r>
    </w:p>
    <w:p w14:paraId="424D162D" w14:textId="11BFDE3B" w:rsidR="007A3E30" w:rsidRPr="00EE7019" w:rsidRDefault="007A3E30" w:rsidP="00D508E8">
      <w:r w:rsidRPr="00EE7019">
        <w:lastRenderedPageBreak/>
        <w:t>Il reste comme travail à montrer des courbes et des ordres de grandeurs</w:t>
      </w:r>
      <w:r w:rsidR="00EE7019">
        <w:t xml:space="preserve"> de Cp</w:t>
      </w:r>
      <w:r w:rsidRPr="00EE7019">
        <w:t xml:space="preserve">. </w:t>
      </w:r>
      <w:r w:rsidR="00C8761E" w:rsidRPr="00EE7019">
        <w:t xml:space="preserve">Avoir en tête pourquoi la température d’einstein est très élevée pour le diamant. Car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barre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</w:rPr>
              <m:t>kT</m:t>
            </m:r>
          </m:den>
        </m:f>
      </m:oMath>
      <w:r w:rsidR="00C8761E" w:rsidRPr="00EE7019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</m:e>
        </m:rad>
      </m:oMath>
      <w:r w:rsidR="00C8761E" w:rsidRPr="00EE7019">
        <w:rPr>
          <w:rFonts w:eastAsiaTheme="minorEastAsia"/>
        </w:rPr>
        <w:t xml:space="preserve">  et pour le diamant m est très faible (carbone)</w:t>
      </w:r>
    </w:p>
    <w:p w14:paraId="18F57A8E" w14:textId="1A31E483" w:rsidR="00EE7019" w:rsidRPr="00EE7019" w:rsidRDefault="006D6DDE" w:rsidP="00D508E8">
      <w:r>
        <w:rPr>
          <w:noProof/>
        </w:rPr>
        <w:drawing>
          <wp:anchor distT="0" distB="0" distL="114300" distR="114300" simplePos="0" relativeHeight="251658240" behindDoc="0" locked="0" layoutInCell="1" allowOverlap="1" wp14:anchorId="41AF2C5D" wp14:editId="176C8342">
            <wp:simplePos x="0" y="0"/>
            <wp:positionH relativeFrom="column">
              <wp:posOffset>976630</wp:posOffset>
            </wp:positionH>
            <wp:positionV relativeFrom="paragraph">
              <wp:posOffset>3934460</wp:posOffset>
            </wp:positionV>
            <wp:extent cx="4408170" cy="35665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356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7019">
        <w:rPr>
          <w:noProof/>
        </w:rPr>
        <w:drawing>
          <wp:anchor distT="0" distB="0" distL="114300" distR="114300" simplePos="0" relativeHeight="251659264" behindDoc="0" locked="0" layoutInCell="1" allowOverlap="1" wp14:anchorId="64865503" wp14:editId="293DBC9F">
            <wp:simplePos x="0" y="0"/>
            <wp:positionH relativeFrom="column">
              <wp:posOffset>681355</wp:posOffset>
            </wp:positionH>
            <wp:positionV relativeFrom="paragraph">
              <wp:posOffset>2540</wp:posOffset>
            </wp:positionV>
            <wp:extent cx="5760720" cy="34747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BB164" w14:textId="3D1CF00D" w:rsidR="006D6DDE" w:rsidRDefault="006D6DDE" w:rsidP="00D31371">
      <w:pPr>
        <w:pStyle w:val="Heading1"/>
        <w:numPr>
          <w:ilvl w:val="0"/>
          <w:numId w:val="0"/>
        </w:numPr>
        <w:ind w:left="1080"/>
      </w:pPr>
    </w:p>
    <w:p w14:paraId="38683764" w14:textId="77777777" w:rsidR="006D6DDE" w:rsidRDefault="006D6DDE" w:rsidP="00D31371">
      <w:pPr>
        <w:pStyle w:val="Heading1"/>
        <w:numPr>
          <w:ilvl w:val="0"/>
          <w:numId w:val="0"/>
        </w:numPr>
        <w:ind w:left="1080"/>
      </w:pPr>
    </w:p>
    <w:p w14:paraId="07FA28C8" w14:textId="01411250" w:rsidR="002B0458" w:rsidRPr="002B0458" w:rsidRDefault="00D31371" w:rsidP="00D31371">
      <w:pPr>
        <w:pStyle w:val="Heading1"/>
        <w:numPr>
          <w:ilvl w:val="0"/>
          <w:numId w:val="0"/>
        </w:numPr>
        <w:ind w:left="1080"/>
      </w:pPr>
      <w:r>
        <w:t>Conclusio</w:t>
      </w:r>
      <w:r w:rsidR="009E272C">
        <w:t>n</w:t>
      </w:r>
    </w:p>
    <w:sectPr w:rsidR="002B0458" w:rsidRPr="002B0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00C56" w14:textId="77777777" w:rsidR="00684177" w:rsidRDefault="00684177" w:rsidP="00A27ED0">
      <w:r>
        <w:separator/>
      </w:r>
    </w:p>
  </w:endnote>
  <w:endnote w:type="continuationSeparator" w:id="0">
    <w:p w14:paraId="50910A4A" w14:textId="77777777" w:rsidR="00684177" w:rsidRDefault="00684177" w:rsidP="00A27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BC63E" w14:textId="77777777" w:rsidR="00684177" w:rsidRDefault="00684177" w:rsidP="00A27ED0">
      <w:r>
        <w:separator/>
      </w:r>
    </w:p>
  </w:footnote>
  <w:footnote w:type="continuationSeparator" w:id="0">
    <w:p w14:paraId="6DD901D4" w14:textId="77777777" w:rsidR="00684177" w:rsidRDefault="00684177" w:rsidP="00A27ED0">
      <w:r>
        <w:continuationSeparator/>
      </w:r>
    </w:p>
  </w:footnote>
  <w:footnote w:id="1">
    <w:p w14:paraId="5DF9A571" w14:textId="600B54AD" w:rsidR="004037F5" w:rsidRPr="004037F5" w:rsidRDefault="004037F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037F5">
        <w:rPr>
          <w:lang w:val="en-US"/>
        </w:rPr>
        <w:t xml:space="preserve"> Fundamentals of statistical and thermal p</w:t>
      </w:r>
      <w:r>
        <w:rPr>
          <w:lang w:val="en-US"/>
        </w:rPr>
        <w:t>hysics</w:t>
      </w:r>
      <w:r w:rsidR="005A39F9">
        <w:rPr>
          <w:lang w:val="en-US"/>
        </w:rPr>
        <w:t xml:space="preserve">.  </w:t>
      </w:r>
      <w:proofErr w:type="spellStart"/>
      <w:r w:rsidR="005A39F9">
        <w:rPr>
          <w:lang w:val="en-US"/>
        </w:rPr>
        <w:t>Reif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7946"/>
    <w:multiLevelType w:val="hybridMultilevel"/>
    <w:tmpl w:val="230CEF94"/>
    <w:lvl w:ilvl="0" w:tplc="9D2C2E7C">
      <w:start w:val="1"/>
      <w:numFmt w:val="upperLetter"/>
      <w:pStyle w:val="Heading2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307555"/>
    <w:multiLevelType w:val="hybridMultilevel"/>
    <w:tmpl w:val="D4D6CAA0"/>
    <w:lvl w:ilvl="0" w:tplc="76DAE30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08E2C18"/>
    <w:multiLevelType w:val="hybridMultilevel"/>
    <w:tmpl w:val="BBE8430A"/>
    <w:lvl w:ilvl="0" w:tplc="535E9B48">
      <w:start w:val="2009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032B1C"/>
    <w:multiLevelType w:val="hybridMultilevel"/>
    <w:tmpl w:val="E9342E5C"/>
    <w:lvl w:ilvl="0" w:tplc="F16C4AB8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AFE1DB7"/>
    <w:multiLevelType w:val="hybridMultilevel"/>
    <w:tmpl w:val="FB08EC66"/>
    <w:lvl w:ilvl="0" w:tplc="C74C2890">
      <w:start w:val="1"/>
      <w:numFmt w:val="decimal"/>
      <w:pStyle w:val="Heading3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94DB5"/>
    <w:multiLevelType w:val="hybridMultilevel"/>
    <w:tmpl w:val="1EAAAAAA"/>
    <w:lvl w:ilvl="0" w:tplc="D44639D2">
      <w:start w:val="3"/>
      <w:numFmt w:val="bullet"/>
      <w:pStyle w:val="Normal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3D11E51"/>
    <w:multiLevelType w:val="hybridMultilevel"/>
    <w:tmpl w:val="6B94A04E"/>
    <w:lvl w:ilvl="0" w:tplc="5864500A">
      <w:start w:val="1"/>
      <w:numFmt w:val="upperRoman"/>
      <w:pStyle w:val="Heading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757B1"/>
    <w:multiLevelType w:val="hybridMultilevel"/>
    <w:tmpl w:val="230ABF02"/>
    <w:lvl w:ilvl="0" w:tplc="416C3AD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60D2D88"/>
    <w:multiLevelType w:val="hybridMultilevel"/>
    <w:tmpl w:val="6246B37A"/>
    <w:lvl w:ilvl="0" w:tplc="C19C39B6">
      <w:start w:val="1"/>
      <w:numFmt w:val="lowerLetter"/>
      <w:pStyle w:val="Heading4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671C2"/>
    <w:multiLevelType w:val="hybridMultilevel"/>
    <w:tmpl w:val="A0A210DE"/>
    <w:lvl w:ilvl="0" w:tplc="7E4232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C911830"/>
    <w:multiLevelType w:val="hybridMultilevel"/>
    <w:tmpl w:val="169CD8F2"/>
    <w:lvl w:ilvl="0" w:tplc="4B5443E4">
      <w:start w:val="2009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5"/>
  </w:num>
  <w:num w:numId="7">
    <w:abstractNumId w:val="8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0"/>
  </w:num>
  <w:num w:numId="10">
    <w:abstractNumId w:val="0"/>
  </w:num>
  <w:num w:numId="11">
    <w:abstractNumId w:val="2"/>
  </w:num>
  <w:num w:numId="12">
    <w:abstractNumId w:val="3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90"/>
    <w:rsid w:val="00000A90"/>
    <w:rsid w:val="000074EF"/>
    <w:rsid w:val="00012DED"/>
    <w:rsid w:val="00023E3B"/>
    <w:rsid w:val="00034E69"/>
    <w:rsid w:val="00040005"/>
    <w:rsid w:val="000426C6"/>
    <w:rsid w:val="0005201C"/>
    <w:rsid w:val="00054031"/>
    <w:rsid w:val="000543CF"/>
    <w:rsid w:val="00062CEC"/>
    <w:rsid w:val="000669A3"/>
    <w:rsid w:val="00070FED"/>
    <w:rsid w:val="0008063F"/>
    <w:rsid w:val="000808E6"/>
    <w:rsid w:val="00086628"/>
    <w:rsid w:val="00090E3F"/>
    <w:rsid w:val="000A00B1"/>
    <w:rsid w:val="000A7BF2"/>
    <w:rsid w:val="000C260B"/>
    <w:rsid w:val="000C5717"/>
    <w:rsid w:val="000C64F0"/>
    <w:rsid w:val="000E269E"/>
    <w:rsid w:val="000E3286"/>
    <w:rsid w:val="000E3547"/>
    <w:rsid w:val="000E3568"/>
    <w:rsid w:val="000F0B1C"/>
    <w:rsid w:val="000F3E94"/>
    <w:rsid w:val="00103845"/>
    <w:rsid w:val="0010488D"/>
    <w:rsid w:val="00106BF1"/>
    <w:rsid w:val="00112123"/>
    <w:rsid w:val="00114C03"/>
    <w:rsid w:val="00115C26"/>
    <w:rsid w:val="0012231E"/>
    <w:rsid w:val="001245F7"/>
    <w:rsid w:val="00134150"/>
    <w:rsid w:val="001372A6"/>
    <w:rsid w:val="001423FA"/>
    <w:rsid w:val="00147CC6"/>
    <w:rsid w:val="00150D8C"/>
    <w:rsid w:val="001518B5"/>
    <w:rsid w:val="001536B7"/>
    <w:rsid w:val="00155448"/>
    <w:rsid w:val="00155919"/>
    <w:rsid w:val="001616F2"/>
    <w:rsid w:val="001659ED"/>
    <w:rsid w:val="001735C3"/>
    <w:rsid w:val="00191476"/>
    <w:rsid w:val="00195422"/>
    <w:rsid w:val="001A21B9"/>
    <w:rsid w:val="001B3F89"/>
    <w:rsid w:val="001B456F"/>
    <w:rsid w:val="001B7569"/>
    <w:rsid w:val="001B7D9A"/>
    <w:rsid w:val="001C286F"/>
    <w:rsid w:val="001D19AD"/>
    <w:rsid w:val="001D1D93"/>
    <w:rsid w:val="001D378E"/>
    <w:rsid w:val="001D40F8"/>
    <w:rsid w:val="001D54DF"/>
    <w:rsid w:val="001D6522"/>
    <w:rsid w:val="001E119E"/>
    <w:rsid w:val="001E56B6"/>
    <w:rsid w:val="001F11E5"/>
    <w:rsid w:val="001F4BB3"/>
    <w:rsid w:val="001F5376"/>
    <w:rsid w:val="001F53DB"/>
    <w:rsid w:val="0021584E"/>
    <w:rsid w:val="00215C57"/>
    <w:rsid w:val="00216670"/>
    <w:rsid w:val="00217980"/>
    <w:rsid w:val="00225D6F"/>
    <w:rsid w:val="00227333"/>
    <w:rsid w:val="00231625"/>
    <w:rsid w:val="00232EBF"/>
    <w:rsid w:val="00245991"/>
    <w:rsid w:val="00255939"/>
    <w:rsid w:val="00256A93"/>
    <w:rsid w:val="00264A8F"/>
    <w:rsid w:val="00266C9F"/>
    <w:rsid w:val="00266FFF"/>
    <w:rsid w:val="002709FF"/>
    <w:rsid w:val="00285793"/>
    <w:rsid w:val="00293EC0"/>
    <w:rsid w:val="00294C9B"/>
    <w:rsid w:val="00295EF7"/>
    <w:rsid w:val="00296C97"/>
    <w:rsid w:val="00297919"/>
    <w:rsid w:val="002A643A"/>
    <w:rsid w:val="002A7461"/>
    <w:rsid w:val="002A7EAA"/>
    <w:rsid w:val="002B0458"/>
    <w:rsid w:val="002B2A94"/>
    <w:rsid w:val="002B60E5"/>
    <w:rsid w:val="002B6916"/>
    <w:rsid w:val="002B70CC"/>
    <w:rsid w:val="002D0B5E"/>
    <w:rsid w:val="002D1CCB"/>
    <w:rsid w:val="002D2B05"/>
    <w:rsid w:val="002D3FBF"/>
    <w:rsid w:val="002E496C"/>
    <w:rsid w:val="002E7B24"/>
    <w:rsid w:val="002F1756"/>
    <w:rsid w:val="002F254C"/>
    <w:rsid w:val="002F4D06"/>
    <w:rsid w:val="002F6A5A"/>
    <w:rsid w:val="002F6ED4"/>
    <w:rsid w:val="00302156"/>
    <w:rsid w:val="00306CA3"/>
    <w:rsid w:val="0030725F"/>
    <w:rsid w:val="00327969"/>
    <w:rsid w:val="00330ACD"/>
    <w:rsid w:val="003325D4"/>
    <w:rsid w:val="00332F15"/>
    <w:rsid w:val="00333D0D"/>
    <w:rsid w:val="00340323"/>
    <w:rsid w:val="0034567B"/>
    <w:rsid w:val="003518D3"/>
    <w:rsid w:val="00351AB2"/>
    <w:rsid w:val="00352993"/>
    <w:rsid w:val="00356756"/>
    <w:rsid w:val="00356E1D"/>
    <w:rsid w:val="00366B86"/>
    <w:rsid w:val="00366C1C"/>
    <w:rsid w:val="00372931"/>
    <w:rsid w:val="00377560"/>
    <w:rsid w:val="00377F28"/>
    <w:rsid w:val="0038103C"/>
    <w:rsid w:val="003818C5"/>
    <w:rsid w:val="00384F95"/>
    <w:rsid w:val="003878DC"/>
    <w:rsid w:val="00396E4E"/>
    <w:rsid w:val="003A444B"/>
    <w:rsid w:val="003A752E"/>
    <w:rsid w:val="003B1D75"/>
    <w:rsid w:val="003B57F3"/>
    <w:rsid w:val="003B6488"/>
    <w:rsid w:val="003C373A"/>
    <w:rsid w:val="003C42E3"/>
    <w:rsid w:val="003C64F8"/>
    <w:rsid w:val="003D0198"/>
    <w:rsid w:val="003E1036"/>
    <w:rsid w:val="003E1E5C"/>
    <w:rsid w:val="003E4FD3"/>
    <w:rsid w:val="003E7DDE"/>
    <w:rsid w:val="003E7F8D"/>
    <w:rsid w:val="003F5D4D"/>
    <w:rsid w:val="003F6B40"/>
    <w:rsid w:val="004032B4"/>
    <w:rsid w:val="004037F5"/>
    <w:rsid w:val="00404D29"/>
    <w:rsid w:val="00406F7D"/>
    <w:rsid w:val="00413C8D"/>
    <w:rsid w:val="00415878"/>
    <w:rsid w:val="00420A04"/>
    <w:rsid w:val="00422AF3"/>
    <w:rsid w:val="00422AF8"/>
    <w:rsid w:val="004279FD"/>
    <w:rsid w:val="00430E11"/>
    <w:rsid w:val="00440E83"/>
    <w:rsid w:val="00442008"/>
    <w:rsid w:val="00447027"/>
    <w:rsid w:val="004645CB"/>
    <w:rsid w:val="00465A32"/>
    <w:rsid w:val="004718DE"/>
    <w:rsid w:val="00483592"/>
    <w:rsid w:val="00492870"/>
    <w:rsid w:val="00492BCB"/>
    <w:rsid w:val="004933EE"/>
    <w:rsid w:val="004A2411"/>
    <w:rsid w:val="004A2ECA"/>
    <w:rsid w:val="004A78F7"/>
    <w:rsid w:val="004B0953"/>
    <w:rsid w:val="004B24BF"/>
    <w:rsid w:val="004B2B4E"/>
    <w:rsid w:val="004B4067"/>
    <w:rsid w:val="004B5F69"/>
    <w:rsid w:val="004D621C"/>
    <w:rsid w:val="004F021F"/>
    <w:rsid w:val="004F3328"/>
    <w:rsid w:val="004F47DC"/>
    <w:rsid w:val="004F5F5D"/>
    <w:rsid w:val="004F62D6"/>
    <w:rsid w:val="004F677E"/>
    <w:rsid w:val="00501C46"/>
    <w:rsid w:val="00504F61"/>
    <w:rsid w:val="005117CA"/>
    <w:rsid w:val="005141E7"/>
    <w:rsid w:val="00520FF1"/>
    <w:rsid w:val="00530C17"/>
    <w:rsid w:val="005332C5"/>
    <w:rsid w:val="00540641"/>
    <w:rsid w:val="0054171D"/>
    <w:rsid w:val="00544BF5"/>
    <w:rsid w:val="00547568"/>
    <w:rsid w:val="00552504"/>
    <w:rsid w:val="005528CB"/>
    <w:rsid w:val="00553957"/>
    <w:rsid w:val="005618D8"/>
    <w:rsid w:val="005756C4"/>
    <w:rsid w:val="00582FB9"/>
    <w:rsid w:val="00583B69"/>
    <w:rsid w:val="00596260"/>
    <w:rsid w:val="005968A7"/>
    <w:rsid w:val="005A1D65"/>
    <w:rsid w:val="005A2F18"/>
    <w:rsid w:val="005A39F9"/>
    <w:rsid w:val="005A524E"/>
    <w:rsid w:val="005A5B44"/>
    <w:rsid w:val="005A79DC"/>
    <w:rsid w:val="005B0842"/>
    <w:rsid w:val="005B4DC6"/>
    <w:rsid w:val="005C197A"/>
    <w:rsid w:val="005C1E4B"/>
    <w:rsid w:val="005C2909"/>
    <w:rsid w:val="005C4D61"/>
    <w:rsid w:val="005C5837"/>
    <w:rsid w:val="005D50E2"/>
    <w:rsid w:val="005D76FE"/>
    <w:rsid w:val="005E2692"/>
    <w:rsid w:val="005E3844"/>
    <w:rsid w:val="005E5124"/>
    <w:rsid w:val="005E64D1"/>
    <w:rsid w:val="00612E45"/>
    <w:rsid w:val="00613212"/>
    <w:rsid w:val="00627DBA"/>
    <w:rsid w:val="00631082"/>
    <w:rsid w:val="00631372"/>
    <w:rsid w:val="00631E87"/>
    <w:rsid w:val="00632184"/>
    <w:rsid w:val="006426D1"/>
    <w:rsid w:val="006430C7"/>
    <w:rsid w:val="00643DDC"/>
    <w:rsid w:val="00645613"/>
    <w:rsid w:val="00645F88"/>
    <w:rsid w:val="0065585D"/>
    <w:rsid w:val="006578BF"/>
    <w:rsid w:val="00660DD9"/>
    <w:rsid w:val="0066183C"/>
    <w:rsid w:val="006625BA"/>
    <w:rsid w:val="00664297"/>
    <w:rsid w:val="0066565B"/>
    <w:rsid w:val="0067319B"/>
    <w:rsid w:val="00676A73"/>
    <w:rsid w:val="00684177"/>
    <w:rsid w:val="006850BC"/>
    <w:rsid w:val="00685942"/>
    <w:rsid w:val="0069281F"/>
    <w:rsid w:val="006A3ADC"/>
    <w:rsid w:val="006B5513"/>
    <w:rsid w:val="006B5C5F"/>
    <w:rsid w:val="006C37E3"/>
    <w:rsid w:val="006C56FD"/>
    <w:rsid w:val="006D1486"/>
    <w:rsid w:val="006D4F64"/>
    <w:rsid w:val="006D613D"/>
    <w:rsid w:val="006D6DDE"/>
    <w:rsid w:val="006D7C08"/>
    <w:rsid w:val="006E3E4D"/>
    <w:rsid w:val="006E74B5"/>
    <w:rsid w:val="006F3130"/>
    <w:rsid w:val="006F5D14"/>
    <w:rsid w:val="00701FB6"/>
    <w:rsid w:val="00703516"/>
    <w:rsid w:val="007101F2"/>
    <w:rsid w:val="00713E1C"/>
    <w:rsid w:val="00720D80"/>
    <w:rsid w:val="0072209B"/>
    <w:rsid w:val="00725A42"/>
    <w:rsid w:val="007308A5"/>
    <w:rsid w:val="007326DF"/>
    <w:rsid w:val="00734174"/>
    <w:rsid w:val="00735DA6"/>
    <w:rsid w:val="0074113F"/>
    <w:rsid w:val="00745105"/>
    <w:rsid w:val="007519A3"/>
    <w:rsid w:val="00751B49"/>
    <w:rsid w:val="00754036"/>
    <w:rsid w:val="00763A7F"/>
    <w:rsid w:val="00763CA4"/>
    <w:rsid w:val="00763D7D"/>
    <w:rsid w:val="00771BCA"/>
    <w:rsid w:val="007769A6"/>
    <w:rsid w:val="00780DA7"/>
    <w:rsid w:val="00781C80"/>
    <w:rsid w:val="00790C3A"/>
    <w:rsid w:val="00797849"/>
    <w:rsid w:val="007A2A1D"/>
    <w:rsid w:val="007A3E30"/>
    <w:rsid w:val="007B2C3C"/>
    <w:rsid w:val="007B4129"/>
    <w:rsid w:val="007C3A23"/>
    <w:rsid w:val="007C7C23"/>
    <w:rsid w:val="007D0352"/>
    <w:rsid w:val="007D0E2C"/>
    <w:rsid w:val="007D1989"/>
    <w:rsid w:val="007D2566"/>
    <w:rsid w:val="007D41AC"/>
    <w:rsid w:val="007D6FFE"/>
    <w:rsid w:val="007E59CD"/>
    <w:rsid w:val="007E653D"/>
    <w:rsid w:val="007F41DD"/>
    <w:rsid w:val="007F4C6F"/>
    <w:rsid w:val="007F50B0"/>
    <w:rsid w:val="00801F2C"/>
    <w:rsid w:val="00810C2E"/>
    <w:rsid w:val="00814C51"/>
    <w:rsid w:val="00820241"/>
    <w:rsid w:val="00820A6F"/>
    <w:rsid w:val="0082133B"/>
    <w:rsid w:val="00823959"/>
    <w:rsid w:val="0082399D"/>
    <w:rsid w:val="00841858"/>
    <w:rsid w:val="00843136"/>
    <w:rsid w:val="008438B7"/>
    <w:rsid w:val="008460E1"/>
    <w:rsid w:val="0085219B"/>
    <w:rsid w:val="00852727"/>
    <w:rsid w:val="008557A0"/>
    <w:rsid w:val="00861322"/>
    <w:rsid w:val="008633C4"/>
    <w:rsid w:val="00865D3D"/>
    <w:rsid w:val="00866A9A"/>
    <w:rsid w:val="00866EE9"/>
    <w:rsid w:val="008715A3"/>
    <w:rsid w:val="008754D1"/>
    <w:rsid w:val="008774F8"/>
    <w:rsid w:val="00880986"/>
    <w:rsid w:val="00892B14"/>
    <w:rsid w:val="00893F12"/>
    <w:rsid w:val="008A319A"/>
    <w:rsid w:val="008A446E"/>
    <w:rsid w:val="008A6170"/>
    <w:rsid w:val="008B1180"/>
    <w:rsid w:val="008B2A33"/>
    <w:rsid w:val="008B4A57"/>
    <w:rsid w:val="008C0A08"/>
    <w:rsid w:val="008C2184"/>
    <w:rsid w:val="008C5E9D"/>
    <w:rsid w:val="008D11BA"/>
    <w:rsid w:val="008D171E"/>
    <w:rsid w:val="008D69AE"/>
    <w:rsid w:val="008F3272"/>
    <w:rsid w:val="0090066B"/>
    <w:rsid w:val="00901F51"/>
    <w:rsid w:val="009023DF"/>
    <w:rsid w:val="0090523B"/>
    <w:rsid w:val="00915976"/>
    <w:rsid w:val="009174AD"/>
    <w:rsid w:val="0091788A"/>
    <w:rsid w:val="00922709"/>
    <w:rsid w:val="009275E5"/>
    <w:rsid w:val="00930C54"/>
    <w:rsid w:val="009411A4"/>
    <w:rsid w:val="0094228D"/>
    <w:rsid w:val="00944160"/>
    <w:rsid w:val="00946173"/>
    <w:rsid w:val="00946ABB"/>
    <w:rsid w:val="0094779C"/>
    <w:rsid w:val="00950852"/>
    <w:rsid w:val="00952C4A"/>
    <w:rsid w:val="009575C3"/>
    <w:rsid w:val="0096142A"/>
    <w:rsid w:val="00962583"/>
    <w:rsid w:val="00985C66"/>
    <w:rsid w:val="009A0385"/>
    <w:rsid w:val="009A0F00"/>
    <w:rsid w:val="009A1172"/>
    <w:rsid w:val="009A35FB"/>
    <w:rsid w:val="009A3FF7"/>
    <w:rsid w:val="009A49DF"/>
    <w:rsid w:val="009B03C5"/>
    <w:rsid w:val="009B5D9B"/>
    <w:rsid w:val="009C4257"/>
    <w:rsid w:val="009C7BF0"/>
    <w:rsid w:val="009D15A9"/>
    <w:rsid w:val="009D71E6"/>
    <w:rsid w:val="009D7AB0"/>
    <w:rsid w:val="009E272C"/>
    <w:rsid w:val="009E641C"/>
    <w:rsid w:val="009F12CD"/>
    <w:rsid w:val="009F3223"/>
    <w:rsid w:val="009F4D92"/>
    <w:rsid w:val="009F67A1"/>
    <w:rsid w:val="00A0248A"/>
    <w:rsid w:val="00A04687"/>
    <w:rsid w:val="00A05655"/>
    <w:rsid w:val="00A068F2"/>
    <w:rsid w:val="00A170CB"/>
    <w:rsid w:val="00A21AC6"/>
    <w:rsid w:val="00A2415A"/>
    <w:rsid w:val="00A27ED0"/>
    <w:rsid w:val="00A30101"/>
    <w:rsid w:val="00A3198C"/>
    <w:rsid w:val="00A369F0"/>
    <w:rsid w:val="00A44144"/>
    <w:rsid w:val="00A46D7B"/>
    <w:rsid w:val="00A51C83"/>
    <w:rsid w:val="00A5317C"/>
    <w:rsid w:val="00A53BB8"/>
    <w:rsid w:val="00A6074A"/>
    <w:rsid w:val="00A609D1"/>
    <w:rsid w:val="00A6270C"/>
    <w:rsid w:val="00A62E2F"/>
    <w:rsid w:val="00A668AD"/>
    <w:rsid w:val="00A67E6B"/>
    <w:rsid w:val="00A7474A"/>
    <w:rsid w:val="00A75D31"/>
    <w:rsid w:val="00A8427C"/>
    <w:rsid w:val="00A855E2"/>
    <w:rsid w:val="00A87C7C"/>
    <w:rsid w:val="00A92455"/>
    <w:rsid w:val="00A97E61"/>
    <w:rsid w:val="00AA371F"/>
    <w:rsid w:val="00AC1D00"/>
    <w:rsid w:val="00AC5848"/>
    <w:rsid w:val="00AD0993"/>
    <w:rsid w:val="00AD1988"/>
    <w:rsid w:val="00AD3F58"/>
    <w:rsid w:val="00AD67B0"/>
    <w:rsid w:val="00AE0606"/>
    <w:rsid w:val="00AF46FF"/>
    <w:rsid w:val="00AF6885"/>
    <w:rsid w:val="00B0146C"/>
    <w:rsid w:val="00B0642B"/>
    <w:rsid w:val="00B11CAF"/>
    <w:rsid w:val="00B13C8A"/>
    <w:rsid w:val="00B37BE8"/>
    <w:rsid w:val="00B40639"/>
    <w:rsid w:val="00B408A5"/>
    <w:rsid w:val="00B41401"/>
    <w:rsid w:val="00B42D9E"/>
    <w:rsid w:val="00B44D4C"/>
    <w:rsid w:val="00B4545A"/>
    <w:rsid w:val="00B523ED"/>
    <w:rsid w:val="00B631E5"/>
    <w:rsid w:val="00B710BB"/>
    <w:rsid w:val="00B82AE3"/>
    <w:rsid w:val="00BA0A97"/>
    <w:rsid w:val="00BA53B6"/>
    <w:rsid w:val="00BA7380"/>
    <w:rsid w:val="00BB58F9"/>
    <w:rsid w:val="00BD561C"/>
    <w:rsid w:val="00BE4CA1"/>
    <w:rsid w:val="00BF1F37"/>
    <w:rsid w:val="00C0293C"/>
    <w:rsid w:val="00C050CF"/>
    <w:rsid w:val="00C1042F"/>
    <w:rsid w:val="00C31AA8"/>
    <w:rsid w:val="00C3512A"/>
    <w:rsid w:val="00C45A73"/>
    <w:rsid w:val="00C52FC3"/>
    <w:rsid w:val="00C55EC2"/>
    <w:rsid w:val="00C574FB"/>
    <w:rsid w:val="00C5783B"/>
    <w:rsid w:val="00C63CEA"/>
    <w:rsid w:val="00C63D82"/>
    <w:rsid w:val="00C73FD0"/>
    <w:rsid w:val="00C8083F"/>
    <w:rsid w:val="00C828EB"/>
    <w:rsid w:val="00C82B9A"/>
    <w:rsid w:val="00C8761E"/>
    <w:rsid w:val="00C90717"/>
    <w:rsid w:val="00C92763"/>
    <w:rsid w:val="00C934C0"/>
    <w:rsid w:val="00CA35D9"/>
    <w:rsid w:val="00CA675B"/>
    <w:rsid w:val="00CA7C6D"/>
    <w:rsid w:val="00CB5191"/>
    <w:rsid w:val="00CB7E86"/>
    <w:rsid w:val="00CC3B5D"/>
    <w:rsid w:val="00CC5ACA"/>
    <w:rsid w:val="00CC7A9C"/>
    <w:rsid w:val="00CD03DB"/>
    <w:rsid w:val="00CD4C56"/>
    <w:rsid w:val="00CD5DA8"/>
    <w:rsid w:val="00CD70ED"/>
    <w:rsid w:val="00CD76BE"/>
    <w:rsid w:val="00CE159E"/>
    <w:rsid w:val="00CE440F"/>
    <w:rsid w:val="00CE651E"/>
    <w:rsid w:val="00CF5FBB"/>
    <w:rsid w:val="00CF7E05"/>
    <w:rsid w:val="00CF7FF6"/>
    <w:rsid w:val="00D103B9"/>
    <w:rsid w:val="00D10B8B"/>
    <w:rsid w:val="00D13453"/>
    <w:rsid w:val="00D1596A"/>
    <w:rsid w:val="00D16361"/>
    <w:rsid w:val="00D21409"/>
    <w:rsid w:val="00D21D29"/>
    <w:rsid w:val="00D273E5"/>
    <w:rsid w:val="00D27ACB"/>
    <w:rsid w:val="00D31371"/>
    <w:rsid w:val="00D32B49"/>
    <w:rsid w:val="00D32CA1"/>
    <w:rsid w:val="00D44023"/>
    <w:rsid w:val="00D461BC"/>
    <w:rsid w:val="00D508E8"/>
    <w:rsid w:val="00D5240D"/>
    <w:rsid w:val="00D52DBC"/>
    <w:rsid w:val="00D53850"/>
    <w:rsid w:val="00D60918"/>
    <w:rsid w:val="00D61CAD"/>
    <w:rsid w:val="00D62C0C"/>
    <w:rsid w:val="00D63643"/>
    <w:rsid w:val="00D65B55"/>
    <w:rsid w:val="00D67784"/>
    <w:rsid w:val="00D73082"/>
    <w:rsid w:val="00D76E78"/>
    <w:rsid w:val="00D7755E"/>
    <w:rsid w:val="00D77D35"/>
    <w:rsid w:val="00D82FAF"/>
    <w:rsid w:val="00D833B8"/>
    <w:rsid w:val="00D8388A"/>
    <w:rsid w:val="00D9145B"/>
    <w:rsid w:val="00D923D2"/>
    <w:rsid w:val="00D9401F"/>
    <w:rsid w:val="00D95631"/>
    <w:rsid w:val="00DA093B"/>
    <w:rsid w:val="00DA0B78"/>
    <w:rsid w:val="00DA6B59"/>
    <w:rsid w:val="00DB1D87"/>
    <w:rsid w:val="00DB55D9"/>
    <w:rsid w:val="00DB64A3"/>
    <w:rsid w:val="00DC4534"/>
    <w:rsid w:val="00DD0394"/>
    <w:rsid w:val="00DD1AEC"/>
    <w:rsid w:val="00DD7DA0"/>
    <w:rsid w:val="00DE1493"/>
    <w:rsid w:val="00DE3914"/>
    <w:rsid w:val="00DE5B4B"/>
    <w:rsid w:val="00DE7A48"/>
    <w:rsid w:val="00DF37C5"/>
    <w:rsid w:val="00DF3A4F"/>
    <w:rsid w:val="00E007FE"/>
    <w:rsid w:val="00E037B6"/>
    <w:rsid w:val="00E05F4C"/>
    <w:rsid w:val="00E12E30"/>
    <w:rsid w:val="00E23439"/>
    <w:rsid w:val="00E23DB0"/>
    <w:rsid w:val="00E24820"/>
    <w:rsid w:val="00E340C6"/>
    <w:rsid w:val="00E410ED"/>
    <w:rsid w:val="00E425CB"/>
    <w:rsid w:val="00E473D0"/>
    <w:rsid w:val="00E55676"/>
    <w:rsid w:val="00E67F9C"/>
    <w:rsid w:val="00E70242"/>
    <w:rsid w:val="00E74AF9"/>
    <w:rsid w:val="00E835A4"/>
    <w:rsid w:val="00E8747D"/>
    <w:rsid w:val="00E93747"/>
    <w:rsid w:val="00E95BD2"/>
    <w:rsid w:val="00EB197D"/>
    <w:rsid w:val="00EB4136"/>
    <w:rsid w:val="00EC0DAF"/>
    <w:rsid w:val="00EC134D"/>
    <w:rsid w:val="00EC155C"/>
    <w:rsid w:val="00EC682D"/>
    <w:rsid w:val="00ED7267"/>
    <w:rsid w:val="00EE7019"/>
    <w:rsid w:val="00EF1190"/>
    <w:rsid w:val="00EF1740"/>
    <w:rsid w:val="00EF1BD6"/>
    <w:rsid w:val="00EF59E1"/>
    <w:rsid w:val="00EF6D6B"/>
    <w:rsid w:val="00F01C26"/>
    <w:rsid w:val="00F02FA9"/>
    <w:rsid w:val="00F0501C"/>
    <w:rsid w:val="00F114C1"/>
    <w:rsid w:val="00F14F51"/>
    <w:rsid w:val="00F20456"/>
    <w:rsid w:val="00F340B0"/>
    <w:rsid w:val="00F355FD"/>
    <w:rsid w:val="00F36B63"/>
    <w:rsid w:val="00F40A44"/>
    <w:rsid w:val="00F461E8"/>
    <w:rsid w:val="00F47E42"/>
    <w:rsid w:val="00F65C84"/>
    <w:rsid w:val="00F66DAD"/>
    <w:rsid w:val="00F719EB"/>
    <w:rsid w:val="00F762DE"/>
    <w:rsid w:val="00F83D5A"/>
    <w:rsid w:val="00F846D1"/>
    <w:rsid w:val="00F9084E"/>
    <w:rsid w:val="00F96BBA"/>
    <w:rsid w:val="00FA3F96"/>
    <w:rsid w:val="00FA451D"/>
    <w:rsid w:val="00FA725B"/>
    <w:rsid w:val="00FC3989"/>
    <w:rsid w:val="00FC3D7A"/>
    <w:rsid w:val="00FC4359"/>
    <w:rsid w:val="00FC6F32"/>
    <w:rsid w:val="00FC6FD0"/>
    <w:rsid w:val="00FD0848"/>
    <w:rsid w:val="00FD1BED"/>
    <w:rsid w:val="00FD75E3"/>
    <w:rsid w:val="00FE5DE0"/>
    <w:rsid w:val="00FE6855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9962"/>
  <w15:chartTrackingRefBased/>
  <w15:docId w15:val="{97925BFA-AC28-4E06-B189-6FB5E99F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7ED0"/>
    <w:pPr>
      <w:numPr>
        <w:numId w:val="6"/>
      </w:numPr>
      <w:contextualSpacing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4E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939"/>
    <w:pPr>
      <w:keepNext/>
      <w:keepLines/>
      <w:numPr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09B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0ED"/>
    <w:pPr>
      <w:keepNext/>
      <w:keepLines/>
      <w:numPr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77E"/>
    <w:pPr>
      <w:ind w:left="720"/>
    </w:pPr>
  </w:style>
  <w:style w:type="paragraph" w:styleId="FootnoteText">
    <w:name w:val="footnote text"/>
    <w:basedOn w:val="Normal"/>
    <w:link w:val="FootnoteTextChar"/>
    <w:uiPriority w:val="99"/>
    <w:unhideWhenUsed/>
    <w:rsid w:val="002F6A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6A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6A5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52FC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593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209B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78B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4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4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145B"/>
    <w:rPr>
      <w:vertAlign w:val="superscript"/>
    </w:rPr>
  </w:style>
  <w:style w:type="paragraph" w:customStyle="1" w:styleId="Default">
    <w:name w:val="Default"/>
    <w:rsid w:val="00504F61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0ED"/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E410E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23439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574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51A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52E04-D886-4EF3-A23D-BE4B849FC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2814</TotalTime>
  <Pages>4</Pages>
  <Words>1016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383</cp:revision>
  <cp:lastPrinted>2020-04-19T12:17:00Z</cp:lastPrinted>
  <dcterms:created xsi:type="dcterms:W3CDTF">2020-03-28T14:25:00Z</dcterms:created>
  <dcterms:modified xsi:type="dcterms:W3CDTF">2020-04-30T17:53:00Z</dcterms:modified>
</cp:coreProperties>
</file>