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0DC578D6" w:rsidR="00631082" w:rsidRPr="00E23439" w:rsidRDefault="00C050CF" w:rsidP="00E23439">
      <w:pPr>
        <w:pStyle w:val="Title"/>
        <w:numPr>
          <w:ilvl w:val="0"/>
          <w:numId w:val="0"/>
        </w:numPr>
        <w:ind w:left="1068"/>
        <w:jc w:val="center"/>
      </w:pPr>
      <w:r w:rsidRPr="00E23439">
        <w:t>L</w:t>
      </w:r>
      <w:r w:rsidR="004B24BF" w:rsidRPr="00E23439">
        <w:t>P</w:t>
      </w:r>
      <w:r w:rsidR="00C1688C">
        <w:t>45</w:t>
      </w:r>
      <w:r w:rsidR="00962583" w:rsidRPr="00E23439">
        <w:t>-</w:t>
      </w:r>
      <w:r w:rsidR="00C1688C">
        <w:t>Para-Ferro.Approximation du champ moyen</w:t>
      </w:r>
    </w:p>
    <w:p w14:paraId="36253171" w14:textId="113FDAE5" w:rsidR="00C050CF" w:rsidRDefault="0091788A" w:rsidP="00E23439">
      <w:pPr>
        <w:numPr>
          <w:ilvl w:val="0"/>
          <w:numId w:val="0"/>
        </w:numPr>
        <w:ind w:left="1068"/>
        <w:jc w:val="center"/>
      </w:pPr>
      <w:r w:rsidRPr="0091788A">
        <w:t>Pierre Ghesquiere</w:t>
      </w:r>
    </w:p>
    <w:p w14:paraId="59BD3970" w14:textId="77777777" w:rsidR="00E23439" w:rsidRPr="00E23DB0" w:rsidRDefault="00E23439" w:rsidP="0065585D">
      <w:pPr>
        <w:numPr>
          <w:ilvl w:val="0"/>
          <w:numId w:val="0"/>
        </w:numPr>
        <w:ind w:left="1068"/>
      </w:pPr>
    </w:p>
    <w:p w14:paraId="7B89A698" w14:textId="4B516B02" w:rsidR="003E7F8D" w:rsidRDefault="003E7F8D" w:rsidP="0065585D">
      <w:pPr>
        <w:numPr>
          <w:ilvl w:val="0"/>
          <w:numId w:val="0"/>
        </w:numPr>
        <w:ind w:left="1068"/>
      </w:pPr>
      <w:r w:rsidRPr="00E23439">
        <w:rPr>
          <w:b/>
          <w:bCs/>
        </w:rPr>
        <w:t>Référence</w:t>
      </w:r>
      <w:r w:rsidR="001F53DB" w:rsidRPr="00E23439">
        <w:rPr>
          <w:b/>
          <w:bCs/>
        </w:rPr>
        <w:t>s</w:t>
      </w:r>
      <w:r>
        <w:t xml:space="preserve"> : </w:t>
      </w:r>
    </w:p>
    <w:p w14:paraId="2CBA00B9" w14:textId="489432D3" w:rsidR="00E23439" w:rsidRPr="00E23439" w:rsidRDefault="00E23439" w:rsidP="00E23439">
      <w:pPr>
        <w:pStyle w:val="ListParagraph"/>
        <w:numPr>
          <w:ilvl w:val="0"/>
          <w:numId w:val="49"/>
        </w:numPr>
      </w:pPr>
      <w:r w:rsidRPr="00E23439">
        <w:t xml:space="preserve">Couture et Zitoun chapitre </w:t>
      </w:r>
      <w:r w:rsidR="00C1688C">
        <w:t>13</w:t>
      </w:r>
    </w:p>
    <w:p w14:paraId="26657F43" w14:textId="515E054B" w:rsidR="00E23439" w:rsidRDefault="00E23439" w:rsidP="00E23439">
      <w:pPr>
        <w:pStyle w:val="ListParagraph"/>
        <w:numPr>
          <w:ilvl w:val="0"/>
          <w:numId w:val="49"/>
        </w:numPr>
      </w:pPr>
      <w:r w:rsidRPr="00E23439">
        <w:t xml:space="preserve">Diu : </w:t>
      </w:r>
      <w:r w:rsidR="00C1688C">
        <w:t>CptIII-J</w:t>
      </w:r>
      <w:r>
        <w:t xml:space="preserve"> </w:t>
      </w:r>
    </w:p>
    <w:p w14:paraId="6EB74F6A" w14:textId="35365A08" w:rsidR="00AD67B0" w:rsidRDefault="00AD67B0" w:rsidP="0065585D">
      <w:pPr>
        <w:numPr>
          <w:ilvl w:val="0"/>
          <w:numId w:val="0"/>
        </w:numPr>
        <w:ind w:left="1068"/>
      </w:pPr>
      <w:r w:rsidRPr="00D60918">
        <w:rPr>
          <w:b/>
          <w:bCs/>
        </w:rPr>
        <w:t>Prérequis</w:t>
      </w:r>
      <w:r>
        <w:t xml:space="preserve"> : </w:t>
      </w:r>
    </w:p>
    <w:p w14:paraId="29F4F3B6" w14:textId="77777777" w:rsidR="00D60918" w:rsidRPr="00AD67B0" w:rsidRDefault="00D60918" w:rsidP="0065585D">
      <w:pPr>
        <w:numPr>
          <w:ilvl w:val="0"/>
          <w:numId w:val="0"/>
        </w:numPr>
        <w:ind w:left="1068"/>
      </w:pPr>
    </w:p>
    <w:p w14:paraId="3EDE94E2" w14:textId="786E9E84" w:rsidR="00C574FB" w:rsidRDefault="00C050CF" w:rsidP="00C1688C">
      <w:pPr>
        <w:numPr>
          <w:ilvl w:val="0"/>
          <w:numId w:val="0"/>
        </w:numPr>
        <w:ind w:left="1068"/>
      </w:pPr>
      <w:r w:rsidRPr="005141E7">
        <w:rPr>
          <w:rStyle w:val="Heading1Char"/>
        </w:rPr>
        <w:t>Intro</w:t>
      </w:r>
      <w:r w:rsidR="00215C57" w:rsidRPr="005141E7">
        <w:rPr>
          <w:rStyle w:val="Heading1Char"/>
        </w:rPr>
        <w:t>duction</w:t>
      </w:r>
      <w:r w:rsidRPr="00DE7A48">
        <w:t> </w:t>
      </w:r>
    </w:p>
    <w:p w14:paraId="48913C5C" w14:textId="77777777" w:rsidR="007308A5" w:rsidRDefault="007308A5" w:rsidP="0065585D">
      <w:pPr>
        <w:numPr>
          <w:ilvl w:val="0"/>
          <w:numId w:val="0"/>
        </w:numPr>
        <w:ind w:left="1068"/>
      </w:pPr>
    </w:p>
    <w:p w14:paraId="2B891F30" w14:textId="35578F7E" w:rsidR="00CD03DB" w:rsidRDefault="00C1688C" w:rsidP="00A27ED0">
      <w:pPr>
        <w:pStyle w:val="Heading1"/>
      </w:pPr>
      <w:r>
        <w:t>Paramagnétisme</w:t>
      </w:r>
    </w:p>
    <w:p w14:paraId="633F04E7" w14:textId="29F2E9AC" w:rsidR="00ED7267" w:rsidRDefault="00C1688C" w:rsidP="00A27ED0">
      <w:pPr>
        <w:pStyle w:val="Heading1"/>
      </w:pPr>
      <w:r>
        <w:t>Ferromagnétisme</w:t>
      </w:r>
    </w:p>
    <w:p w14:paraId="66FB32AA" w14:textId="461CFD9E" w:rsidR="000F1C1D" w:rsidRDefault="007867B0" w:rsidP="000F1C1D">
      <w:pPr>
        <w:pStyle w:val="Heading2"/>
      </w:pPr>
      <w:r>
        <w:t>Expérimentalement</w:t>
      </w:r>
    </w:p>
    <w:p w14:paraId="613A5DF4" w14:textId="162EF361" w:rsidR="00776DF3" w:rsidRPr="00776DF3" w:rsidRDefault="00776DF3" w:rsidP="00776DF3">
      <w:r w:rsidRPr="00776DF3">
        <w:rPr>
          <w:b/>
          <w:bCs/>
        </w:rPr>
        <w:t>Expérience du clou</w:t>
      </w:r>
      <w:r>
        <w:t> : perte des propriétés ferromagnétique</w:t>
      </w:r>
      <w:r w:rsidR="00800E7A">
        <w:t xml:space="preserve"> (aimantation super forte pour pouvoir être attiré). </w:t>
      </w:r>
      <w:r w:rsidR="00616886">
        <w:t>Au dessus</w:t>
      </w:r>
      <w:r w:rsidR="00F1576D">
        <w:t>,</w:t>
      </w:r>
      <w:r w:rsidR="00616886">
        <w:t xml:space="preserve"> de Tc = température de curie. </w:t>
      </w:r>
      <w:r w:rsidR="00DB6272">
        <w:t xml:space="preserve">Il devient paramagnétique. </w:t>
      </w:r>
      <w:r w:rsidR="00AF43D0">
        <w:t xml:space="preserve">Transition de phase. </w:t>
      </w:r>
      <w:r>
        <w:t xml:space="preserve"> </w:t>
      </w:r>
    </w:p>
    <w:p w14:paraId="6F2FC106" w14:textId="62D92709" w:rsidR="00764B7E" w:rsidRDefault="007867B0" w:rsidP="00776DF3">
      <w:r>
        <w:t xml:space="preserve">Représentation du cycle </w:t>
      </w:r>
      <w:r w:rsidRPr="007867B0">
        <w:rPr>
          <w:b/>
          <w:bCs/>
        </w:rPr>
        <w:t>d’hystérésis</w:t>
      </w:r>
      <w:r>
        <w:t xml:space="preserve"> d’un barreau aimanté dans une bobine. </w:t>
      </w:r>
      <w:r w:rsidR="00461953">
        <w:t>Phénomène important (i) aimantation</w:t>
      </w:r>
      <w:r w:rsidR="00501227">
        <w:t xml:space="preserve"> (rémanente)</w:t>
      </w:r>
      <w:r w:rsidR="00461953">
        <w:t xml:space="preserve"> non nulle à champ nul. (ii)</w:t>
      </w:r>
      <w:r w:rsidR="00501227">
        <w:t xml:space="preserve"> hystérésis dépend de son histoire</w:t>
      </w:r>
      <w:r w:rsidR="00764B7E">
        <w:t xml:space="preserve"> (iii) champ coercitif pour que M soit nulle. </w:t>
      </w:r>
    </w:p>
    <w:p w14:paraId="21A1E18F" w14:textId="239E9D94" w:rsidR="007867B0" w:rsidRDefault="00616886" w:rsidP="00776DF3">
      <w:pPr>
        <w:rPr>
          <w:rFonts w:eastAsiaTheme="minorEastAsia"/>
        </w:rPr>
      </w:pPr>
      <w:r w:rsidRPr="0051054A">
        <w:rPr>
          <w:b/>
          <w:bCs/>
        </w:rPr>
        <w:t>Loi expérimentale</w:t>
      </w:r>
      <w:r>
        <w:t xml:space="preserve"> : Loi du curie Weiss </w:t>
      </w:r>
      <m:oMath>
        <m:r>
          <m:rPr>
            <m:sty m:val="p"/>
          </m:rPr>
          <w:rPr>
            <w:rFonts w:ascii="Cambria Math" w:hAnsi="Cambria Math"/>
          </w:rPr>
          <m:t>χ</m:t>
        </m:r>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m:rPr>
                <m:sty m:val="p"/>
              </m:rPr>
              <w:rPr>
                <w:rFonts w:ascii="Cambria Math" w:hAnsi="Cambria Math"/>
              </w:rPr>
              <m:t>T</m:t>
            </m:r>
            <m:r>
              <w:rPr>
                <w:rFonts w:ascii="Cambria Math" w:hAnsi="Cambria Math"/>
              </w:rPr>
              <m:t>-</m:t>
            </m:r>
            <m:r>
              <m:rPr>
                <m:sty m:val="p"/>
              </m:rPr>
              <w:rPr>
                <w:rFonts w:ascii="Cambria Math" w:hAnsi="Cambria Math"/>
              </w:rPr>
              <m:t>θ</m:t>
            </m:r>
            <m:ctrlPr>
              <w:rPr>
                <w:rFonts w:ascii="Cambria Math" w:hAnsi="Cambria Math"/>
                <w:i/>
              </w:rPr>
            </m:ctrlPr>
          </m:den>
        </m:f>
      </m:oMath>
      <w:r w:rsidR="0051054A">
        <w:rPr>
          <w:rFonts w:eastAsiaTheme="minorEastAsia"/>
        </w:rPr>
        <w:t xml:space="preserve"> avec</w:t>
      </w:r>
      <w:r>
        <w:rPr>
          <w:rFonts w:eastAsiaTheme="minorEastAsia"/>
        </w:rPr>
        <w:t xml:space="preserve"> </w:t>
      </w:r>
      <m:oMath>
        <m:r>
          <w:rPr>
            <w:rFonts w:ascii="Cambria Math" w:eastAsiaTheme="minorEastAsia" w:hAnsi="Cambria Math"/>
          </w:rPr>
          <m:t>χ=</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∂H</m:t>
            </m:r>
          </m:den>
        </m:f>
        <m:r>
          <w:rPr>
            <w:rFonts w:ascii="Cambria Math" w:eastAsiaTheme="minorEastAsia" w:hAnsi="Cambria Math"/>
          </w:rPr>
          <m:t>,</m:t>
        </m:r>
        <m:r>
          <w:rPr>
            <w:rFonts w:ascii="Cambria Math" w:eastAsiaTheme="minorEastAsia" w:hAnsi="Cambria Math"/>
          </w:rPr>
          <m:t xml:space="preserve"> H→0</m:t>
        </m:r>
      </m:oMath>
      <w:r w:rsidR="000E5136">
        <w:rPr>
          <w:rFonts w:eastAsiaTheme="minorEastAsia"/>
        </w:rPr>
        <w:t xml:space="preserve">. </w:t>
      </w:r>
      <w:r w:rsidR="00185F48">
        <w:rPr>
          <w:rFonts w:eastAsiaTheme="minorEastAsia"/>
        </w:rPr>
        <w:t xml:space="preserve">Et </w:t>
      </w:r>
      <m:oMath>
        <m:r>
          <w:rPr>
            <w:rFonts w:ascii="Cambria Math" w:eastAsiaTheme="minorEastAsia" w:hAnsi="Cambria Math"/>
          </w:rPr>
          <m:t xml:space="preserve">θ, </m:t>
        </m:r>
      </m:oMath>
      <w:r w:rsidR="00185F48">
        <w:rPr>
          <w:rFonts w:eastAsiaTheme="minorEastAsia"/>
        </w:rPr>
        <w:t>température de Weiss.</w:t>
      </w:r>
    </w:p>
    <w:p w14:paraId="14BCB9F9" w14:textId="4261391F" w:rsidR="00185F48" w:rsidRDefault="00185F48" w:rsidP="00185F48">
      <w:pPr>
        <w:numPr>
          <w:ilvl w:val="0"/>
          <w:numId w:val="0"/>
        </w:numPr>
        <w:ind w:left="1068"/>
        <w:rPr>
          <w:rFonts w:eastAsiaTheme="minorEastAsia"/>
        </w:rPr>
      </w:pPr>
      <w:r>
        <w:t xml:space="preserve">Au voisinage de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rPr>
          <w:rFonts w:eastAsiaTheme="minorEastAsia"/>
        </w:rPr>
        <w:t xml:space="preserve"> </w:t>
      </w:r>
      <m:oMath>
        <m:r>
          <w:rPr>
            <w:rFonts w:ascii="Cambria Math" w:eastAsiaTheme="minorEastAsia" w:hAnsi="Cambria Math"/>
          </w:rPr>
          <m:t>χ∝</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den>
                </m:f>
              </m:e>
            </m:d>
          </m:e>
          <m:sup>
            <m:r>
              <w:rPr>
                <w:rFonts w:ascii="Cambria Math" w:eastAsiaTheme="minorEastAsia" w:hAnsi="Cambria Math"/>
              </w:rPr>
              <m:t>γ</m:t>
            </m:r>
          </m:sup>
        </m:sSup>
        <m:r>
          <w:rPr>
            <w:rFonts w:ascii="Cambria Math" w:eastAsiaTheme="minorEastAsia" w:hAnsi="Cambria Math"/>
          </w:rPr>
          <m:t xml:space="preserve"> </m:t>
        </m:r>
      </m:oMath>
      <w:r>
        <w:rPr>
          <w:rFonts w:eastAsiaTheme="minorEastAsia"/>
        </w:rPr>
        <w:t xml:space="preserve">avec </w:t>
      </w:r>
      <m:oMath>
        <m:r>
          <w:rPr>
            <w:rFonts w:ascii="Cambria Math" w:eastAsiaTheme="minorEastAsia" w:hAnsi="Cambria Math"/>
          </w:rPr>
          <m:t xml:space="preserve">γ </m:t>
        </m:r>
      </m:oMath>
      <w:r>
        <w:rPr>
          <w:rFonts w:eastAsiaTheme="minorEastAsia"/>
        </w:rPr>
        <w:t>exposant critique</w:t>
      </w:r>
      <w:r w:rsidR="003C658A">
        <w:rPr>
          <w:rFonts w:eastAsiaTheme="minorEastAsia"/>
        </w:rPr>
        <w:t xml:space="preserve"> ~1.3 (tableau p384 Couture)</w:t>
      </w:r>
      <w:r>
        <w:rPr>
          <w:rFonts w:eastAsiaTheme="minorEastAsia"/>
        </w:rPr>
        <w:t xml:space="preserve">. </w:t>
      </w:r>
    </w:p>
    <w:p w14:paraId="7FA2EAE6" w14:textId="060DC02E" w:rsidR="003C658A" w:rsidRPr="00185F48" w:rsidRDefault="003C658A" w:rsidP="00185F48">
      <w:pPr>
        <w:numPr>
          <w:ilvl w:val="0"/>
          <w:numId w:val="0"/>
        </w:numPr>
        <w:ind w:left="1068"/>
        <w:rPr>
          <w:rFonts w:eastAsiaTheme="minorEastAsia"/>
        </w:rPr>
      </w:pPr>
      <w:r>
        <w:rPr>
          <w:rFonts w:eastAsiaTheme="minorEastAsia"/>
        </w:rPr>
        <w:t>Aimantation réduite au voisinage de Curie</w:t>
      </w:r>
      <w:r w:rsidR="00190152">
        <w:rPr>
          <w:rFonts w:eastAsiaTheme="minorEastAsia"/>
        </w:rPr>
        <w:t xml:space="preserve"> </w:t>
      </w:r>
      <w:r>
        <w:rPr>
          <w:rFonts w:eastAsiaTheme="minorEastAsia"/>
        </w:rPr>
        <w:t>:</w:t>
      </w:r>
      <m:oMath>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den>
                </m:f>
              </m:e>
            </m:d>
          </m:e>
          <m:sup>
            <m:r>
              <w:rPr>
                <w:rFonts w:ascii="Cambria Math" w:eastAsiaTheme="minorEastAsia" w:hAnsi="Cambria Math"/>
              </w:rPr>
              <m:t>β</m:t>
            </m:r>
          </m:sup>
        </m:sSup>
      </m:oMath>
      <w:r>
        <w:rPr>
          <w:rFonts w:eastAsiaTheme="minorEastAsia"/>
        </w:rPr>
        <w:t xml:space="preserve"> </w:t>
      </w:r>
      <w:r w:rsidR="00C83604">
        <w:rPr>
          <w:rFonts w:eastAsiaTheme="minorEastAsia"/>
        </w:rPr>
        <w:t xml:space="preserve">avec </w:t>
      </w: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oMath>
    </w:p>
    <w:p w14:paraId="24DF8211" w14:textId="21025B8C" w:rsidR="00616886" w:rsidRDefault="00F1576D" w:rsidP="00F1576D">
      <w:pPr>
        <w:pStyle w:val="Heading2"/>
        <w:rPr>
          <w:rFonts w:eastAsiaTheme="minorEastAsia"/>
        </w:rPr>
      </w:pPr>
      <w:r>
        <w:rPr>
          <w:rFonts w:eastAsiaTheme="minorEastAsia"/>
        </w:rPr>
        <w:t xml:space="preserve">Obtention de l’hamiltonien </w:t>
      </w:r>
    </w:p>
    <w:p w14:paraId="36B9189A" w14:textId="47C7C12D" w:rsidR="008D1B20" w:rsidRDefault="00F1576D" w:rsidP="008D1B20">
      <w:r>
        <w:rPr>
          <w:b/>
          <w:bCs/>
        </w:rPr>
        <w:t xml:space="preserve">Deux </w:t>
      </w:r>
      <w:r w:rsidR="008D1B20">
        <w:rPr>
          <w:b/>
          <w:bCs/>
        </w:rPr>
        <w:t>interactions entre particules magnétiques :</w:t>
      </w:r>
    </w:p>
    <w:p w14:paraId="75F19DEA" w14:textId="77777777" w:rsidR="008D1B20" w:rsidRDefault="008D1B20" w:rsidP="008D1B20">
      <w:pPr>
        <w:pStyle w:val="ListParagraph"/>
        <w:numPr>
          <w:ilvl w:val="0"/>
          <w:numId w:val="0"/>
        </w:numPr>
        <w:ind w:left="2124"/>
      </w:pPr>
      <w:r>
        <w:sym w:font="Wingdings" w:char="F0E0"/>
      </w:r>
      <w:r>
        <w:t xml:space="preserve"> Interactions entre atomes de Fer (ie interaction entre dipôles magnétique). </w:t>
      </w:r>
    </w:p>
    <w:p w14:paraId="51440F45" w14:textId="77777777" w:rsidR="008D1B20" w:rsidRPr="00BC3651" w:rsidRDefault="008D1B20" w:rsidP="008D1B20">
      <w:pPr>
        <w:pStyle w:val="ListParagraph"/>
        <w:numPr>
          <w:ilvl w:val="0"/>
          <w:numId w:val="0"/>
        </w:numPr>
        <w:ind w:left="2124"/>
        <w:rPr>
          <w:rFonts w:eastAsiaTheme="minorEastAsia"/>
        </w:rPr>
      </w:pPr>
      <m:oMath>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num>
          <m:den>
            <m:r>
              <w:rPr>
                <w:rFonts w:ascii="Cambria Math" w:hAnsi="Cambria Math"/>
              </w:rPr>
              <m:t>4π</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3</m:t>
                </m:r>
              </m:sup>
            </m:sSubSup>
          </m:den>
        </m:f>
      </m:oMath>
      <w:r>
        <w:rPr>
          <w:rFonts w:eastAsiaTheme="minorEastAsia"/>
        </w:rPr>
        <w:t xml:space="preserve">. Pour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Pr>
          <w:rFonts w:eastAsiaTheme="minorEastAsia"/>
        </w:rPr>
        <w:t xml:space="preserve"> de l’ordre de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 xml:space="preserve">~6.7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eV</m:t>
        </m:r>
        <m:r>
          <w:rPr>
            <w:rFonts w:ascii="Cambria Math" w:eastAsiaTheme="minorEastAsia" w:hAnsi="Cambria Math"/>
          </w:rPr>
          <m:t>.</m:t>
        </m:r>
      </m:oMath>
      <w:r>
        <w:rPr>
          <w:rFonts w:eastAsiaTheme="minorEastAsia"/>
        </w:rPr>
        <w:t xml:space="preserve"> Rappel : kT = 26meV à T ambiant. Pour que cette interaction ait un effet notable, il faut T=epsilon/k=0.1K. En revanche, elle décroit en 1/r^3 alors que l’interaction d’échange décroit exponentiellement. </w:t>
      </w:r>
    </w:p>
    <w:p w14:paraId="3B0AAE3F" w14:textId="18A70808" w:rsidR="008D1B20" w:rsidRDefault="008D1B20" w:rsidP="008D1B20">
      <w:pPr>
        <w:pStyle w:val="ListParagraph"/>
        <w:numPr>
          <w:ilvl w:val="0"/>
          <w:numId w:val="0"/>
        </w:numPr>
        <w:ind w:left="2124"/>
        <w:rPr>
          <w:rFonts w:eastAsiaTheme="minorEastAsia"/>
          <w:i/>
          <w:iCs/>
        </w:rPr>
      </w:pPr>
      <w:r>
        <w:t xml:space="preserve">--&gt;Interaction d’échange électrostatique entre électrons : interaction d’origine </w:t>
      </w:r>
      <w:r w:rsidRPr="00440784">
        <w:rPr>
          <w:i/>
          <w:iCs/>
        </w:rPr>
        <w:t>coulombienne</w:t>
      </w:r>
      <w:r>
        <w:rPr>
          <w:i/>
          <w:iCs/>
        </w:rPr>
        <w:t xml:space="preserve"> </w:t>
      </w:r>
      <m:oMath>
        <m:r>
          <w:rPr>
            <w:rFonts w:ascii="Cambria Math" w:hAnsi="Cambria Math"/>
          </w:rPr>
          <m:t>ϵ=&lt;ψ</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r</m:t>
                </m:r>
              </m:den>
            </m:f>
          </m:e>
        </m:d>
        <m:r>
          <w:rPr>
            <w:rFonts w:ascii="Cambria Math" w:hAnsi="Cambria Math"/>
          </w:rPr>
          <m:t>ψ&gt;</m:t>
        </m:r>
      </m:oMath>
    </w:p>
    <w:p w14:paraId="074AB714" w14:textId="77777777" w:rsidR="008D1B20" w:rsidRPr="00B658F3" w:rsidRDefault="008D1B20" w:rsidP="008D1B20">
      <w:r>
        <w:t xml:space="preserve">- </w:t>
      </w:r>
      <w:r>
        <w:rPr>
          <w:b/>
          <w:bCs/>
        </w:rPr>
        <w:t xml:space="preserve">Interaction d’échange électrostatique entre électrons : </w:t>
      </w:r>
    </w:p>
    <w:p w14:paraId="585E2353" w14:textId="77777777" w:rsidR="008D1B20" w:rsidRPr="00B7276D" w:rsidRDefault="008D1B20" w:rsidP="008D1B20">
      <w:pPr>
        <w:numPr>
          <w:ilvl w:val="0"/>
          <w:numId w:val="0"/>
        </w:numPr>
        <w:ind w:left="1068"/>
      </w:pPr>
      <w:r>
        <w:t xml:space="preserve">Comme les électrons sont des fermions, leur fonction spin-orbitale est antisymétrique. Cela implique (i) soit fonction orbitale est symétrique et fonction spin antisym, (ii) soit </w:t>
      </w:r>
      <w:r>
        <w:lastRenderedPageBreak/>
        <w:t xml:space="preserve">l’inverse. La fonction d’onde de spin symétrique peut prendre 3 états S=1. La fonction d’onde de spin antisym peut prendre 1 état (S=0).   Après calcul, on obtient </w:t>
      </w:r>
      <m:oMath>
        <m:r>
          <w:rPr>
            <w:rFonts w:ascii="Cambria Math" w:hAnsi="Cambria Math"/>
          </w:rPr>
          <m:t>ϵ=-2J</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Pr>
          <w:rFonts w:eastAsiaTheme="minorEastAsia"/>
        </w:rPr>
        <w:t>.</w:t>
      </w:r>
    </w:p>
    <w:p w14:paraId="2E7E15AC" w14:textId="77777777" w:rsidR="008D1B20" w:rsidRDefault="008D1B20" w:rsidP="008D1B20">
      <w:r>
        <w:rPr>
          <w:b/>
          <w:bCs/>
        </w:rPr>
        <w:t>Synthèse</w:t>
      </w:r>
      <w:r w:rsidRPr="00D104BD">
        <w:rPr>
          <w:b/>
          <w:bCs/>
        </w:rPr>
        <w:t> </w:t>
      </w:r>
      <w:r>
        <w:t xml:space="preserve">: L’interaction d’échange est purement coulombienne bien que les spins des électrons s’introduisent dans l’expression de l’énergie via la règle de symétrisation : l’énergie d’échange est une notion quantique et n’a aucun équivalent classique. </w:t>
      </w:r>
    </w:p>
    <w:p w14:paraId="36123E41" w14:textId="77777777" w:rsidR="008D1B20" w:rsidRDefault="008D1B20" w:rsidP="008D1B20">
      <w:r>
        <w:rPr>
          <w:b/>
          <w:bCs/>
        </w:rPr>
        <w:t xml:space="preserve">Qualitativement (Reif p428) : </w:t>
      </w:r>
      <w:r>
        <w:t xml:space="preserve">Les électrons ne peuvent occuper le même état (principe d’exclusion de pauli). Deux électrons qui ont le même spin, ne peuvent pas s’approcher aussi proche l’un de l’autre (ie ne peuvent pas occuper le même état orbital). Deux électrons qui ont des spins différents peuvent s’approcher l’un de l’autre. Puisque différentes répartitions spatiales donnent différentes interactions électrostatiques, cela donne naissance à une interaction coulombienne qui dépend de l’orientation des spins. </w:t>
      </w:r>
    </w:p>
    <w:p w14:paraId="23B29BFE" w14:textId="77777777" w:rsidR="008D1B20" w:rsidRDefault="008D1B20" w:rsidP="008D1B20">
      <w:r>
        <w:rPr>
          <w:rFonts w:eastAsiaTheme="minorEastAsia"/>
          <w:b/>
          <w:bCs/>
        </w:rPr>
        <w:t xml:space="preserve">Règle de symétrisation (couture p37), </w:t>
      </w:r>
      <w:r>
        <w:rPr>
          <w:rFonts w:eastAsiaTheme="minorEastAsia"/>
          <w:b/>
          <w:bCs/>
          <w:i/>
          <w:iCs/>
        </w:rPr>
        <w:t xml:space="preserve">Combinaison symétrique et antisymétrique </w:t>
      </w:r>
      <w:r>
        <w:rPr>
          <w:rFonts w:eastAsiaTheme="minorEastAsia"/>
          <w:b/>
          <w:bCs/>
        </w:rPr>
        <w:t xml:space="preserve">et conséquences sur le nombre d’occupation de l’état: </w:t>
      </w:r>
      <w:r w:rsidRPr="0012388F">
        <w:rPr>
          <w:rFonts w:eastAsiaTheme="minorEastAsia"/>
          <w:highlight w:val="yellow"/>
        </w:rPr>
        <w:t>Le principe d’indiscernabilité (conséquence du théorème d’indétermination d’heisenberg), implique que les fonctions d’ondes d’un système de particules indiscernables sont soit symétriques, soit antisymétrique par permutation de deux arguments</w:t>
      </w:r>
      <w:r>
        <w:rPr>
          <w:rFonts w:eastAsiaTheme="minorEastAsia"/>
        </w:rPr>
        <w:t xml:space="preserve"> (ie 2 particules). P38 bas de page. La règle de symétrisation implique une </w:t>
      </w:r>
      <w:r w:rsidRPr="001059B1">
        <w:rPr>
          <w:rFonts w:eastAsiaTheme="minorEastAsia"/>
          <w:i/>
          <w:iCs/>
        </w:rPr>
        <w:t>combinaison</w:t>
      </w:r>
      <w:r>
        <w:rPr>
          <w:rFonts w:eastAsiaTheme="minorEastAsia"/>
        </w:rPr>
        <w:t xml:space="preserve"> particulière pour les fonctions d’onde d’un système de 2 particules indiscernables : Une </w:t>
      </w:r>
      <w:r w:rsidRPr="001059B1">
        <w:rPr>
          <w:rFonts w:eastAsiaTheme="minorEastAsia"/>
          <w:i/>
          <w:iCs/>
        </w:rPr>
        <w:t>combinaison</w:t>
      </w:r>
      <w:r>
        <w:rPr>
          <w:rFonts w:eastAsiaTheme="minorEastAsia"/>
        </w:rPr>
        <w:t xml:space="preserve"> symétrique et une </w:t>
      </w:r>
      <w:r w:rsidRPr="001059B1">
        <w:rPr>
          <w:rFonts w:eastAsiaTheme="minorEastAsia"/>
          <w:i/>
          <w:iCs/>
        </w:rPr>
        <w:t>combinaison</w:t>
      </w:r>
      <w:r>
        <w:rPr>
          <w:rFonts w:eastAsiaTheme="minorEastAsia"/>
        </w:rPr>
        <w:t xml:space="preserve"> antisymétrique. On voit que si les deux particules sont identiques. La </w:t>
      </w:r>
      <w:r>
        <w:rPr>
          <w:rFonts w:eastAsiaTheme="minorEastAsia"/>
          <w:i/>
          <w:iCs/>
        </w:rPr>
        <w:t>combinaison</w:t>
      </w:r>
      <w:r>
        <w:rPr>
          <w:rFonts w:eastAsiaTheme="minorEastAsia"/>
        </w:rPr>
        <w:t xml:space="preserve"> antisymétrique s’annule et donc n’est pas physiquement acceptable (pas normalisable). </w:t>
      </w:r>
      <w:r w:rsidRPr="00BF078D">
        <w:rPr>
          <w:rFonts w:eastAsiaTheme="minorEastAsia"/>
          <w:b/>
          <w:bCs/>
        </w:rPr>
        <w:t>Donc 2 fermions</w:t>
      </w:r>
      <w:r>
        <w:rPr>
          <w:rFonts w:eastAsiaTheme="minorEastAsia"/>
          <w:b/>
          <w:bCs/>
        </w:rPr>
        <w:t xml:space="preserve"> (ie. fonction d’onde antisymétrique)</w:t>
      </w:r>
      <w:r w:rsidRPr="00BF078D">
        <w:rPr>
          <w:rFonts w:eastAsiaTheme="minorEastAsia"/>
          <w:b/>
          <w:bCs/>
        </w:rPr>
        <w:t xml:space="preserve"> ne peu</w:t>
      </w:r>
      <w:r>
        <w:rPr>
          <w:rFonts w:eastAsiaTheme="minorEastAsia"/>
          <w:b/>
          <w:bCs/>
        </w:rPr>
        <w:t>vent</w:t>
      </w:r>
      <w:r w:rsidRPr="00BF078D">
        <w:rPr>
          <w:rFonts w:eastAsiaTheme="minorEastAsia"/>
          <w:b/>
          <w:bCs/>
        </w:rPr>
        <w:t xml:space="preserve"> se retrouver dans le même état quantique</w:t>
      </w:r>
      <w:r>
        <w:rPr>
          <w:rFonts w:eastAsiaTheme="minorEastAsia"/>
        </w:rPr>
        <w:t xml:space="preserve">.  </w:t>
      </w:r>
    </w:p>
    <w:p w14:paraId="16173405" w14:textId="77777777" w:rsidR="008D1B20" w:rsidRPr="00C71069" w:rsidRDefault="008D1B20" w:rsidP="008D1B20">
      <w:pPr>
        <w:rPr>
          <w:b/>
          <w:bCs/>
        </w:rPr>
      </w:pPr>
      <w:r w:rsidRPr="002C6823">
        <w:rPr>
          <w:b/>
          <w:bCs/>
        </w:rPr>
        <w:t>L’intégrale d’échange</w:t>
      </w:r>
      <w:r>
        <w:rPr>
          <w:b/>
          <w:bCs/>
        </w:rPr>
        <w:t> : J</w:t>
      </w:r>
      <w:r>
        <w:t xml:space="preserve"> (cf expression p 388) varie rapidement en fonction de la distance des atomes de fer. A petite distance elle est négative, puis elle devient positive et tend alors vers 0 exponentiellement. Le manganèse métallique présente une intégrale d’échange négative alors que les ions du nickel métallique présentent une intégrale d’échange positive. J positif favorise l’alignement parallèle des spins (ferromagnétisme). Et J négatif l’alignement antiparallèle (antiferromagnétisme).</w:t>
      </w:r>
    </w:p>
    <w:p w14:paraId="5AEBCD2F" w14:textId="77E1B360" w:rsidR="008D1B20" w:rsidRDefault="008D1B20" w:rsidP="008D1B20">
      <w:pPr>
        <w:numPr>
          <w:ilvl w:val="0"/>
          <w:numId w:val="0"/>
        </w:numPr>
        <w:ind w:left="1068"/>
      </w:pPr>
    </w:p>
    <w:p w14:paraId="28AB6549" w14:textId="78089846" w:rsidR="008D1B20" w:rsidRDefault="008D1B20" w:rsidP="008D1B20">
      <w:pPr>
        <w:pStyle w:val="Heading2"/>
      </w:pPr>
      <w:r>
        <w:t>Fonction de partition et propriétés</w:t>
      </w:r>
    </w:p>
    <w:p w14:paraId="6E389956" w14:textId="77777777" w:rsidR="008D1B20" w:rsidRPr="002C6823" w:rsidRDefault="008D1B20" w:rsidP="008D1B20">
      <w:pPr>
        <w:rPr>
          <w:b/>
          <w:bCs/>
        </w:rPr>
      </w:pPr>
      <w:r>
        <w:rPr>
          <w:b/>
          <w:bCs/>
        </w:rPr>
        <w:t xml:space="preserve">Découplage du Hamiltonien d’Heisenberg : Pourquoi découpler ? </w:t>
      </w:r>
      <w:r>
        <w:t xml:space="preserve">Pour pouvoir déterminer les valeurs propres du hamiltonien (ie les différents niveaux d’énergie possible) On remarque que le terme dû à l’interaction d’échange dans le hamiltonien entraine un couplage entre les spins des atomes. On va dire qu’un spin ne va intéragir qu’avec la moyenne du spin de ses plus proches voisins.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 xml:space="preserve"> &lt;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r>
          <w:rPr>
            <w:rFonts w:ascii="Cambria Math" w:hAnsi="Cambria Math"/>
          </w:rPr>
          <m:t>&gt;</m:t>
        </m:r>
      </m:oMath>
      <w:r>
        <w:rPr>
          <w:rFonts w:eastAsiaTheme="minorEastAsia"/>
        </w:rPr>
        <w:t xml:space="preserve">. On fait de manière équivalente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&lt;</m:t>
        </m:r>
        <m:acc>
          <m:accPr>
            <m:chr m:val="⃗"/>
            <m:ctrlPr>
              <w:rPr>
                <w:rFonts w:ascii="Cambria Math" w:hAnsi="Cambria Math"/>
                <w:i/>
              </w:rPr>
            </m:ctrlPr>
          </m:accPr>
          <m:e>
            <m:r>
              <w:rPr>
                <w:rFonts w:ascii="Cambria Math" w:hAnsi="Cambria Math"/>
              </w:rPr>
              <m:t>S</m:t>
            </m:r>
          </m:e>
        </m:acc>
        <m:r>
          <w:rPr>
            <w:rFonts w:ascii="Cambria Math" w:hAnsi="Cambria Math"/>
          </w:rPr>
          <m:t>&gt;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b/>
                <w:bCs/>
                <w:i/>
              </w:rPr>
            </m:ctrlPr>
          </m:e>
        </m:acc>
        <m:r>
          <m:rPr>
            <m:sty m:val="bi"/>
          </m:rPr>
          <w:rPr>
            <w:rFonts w:ascii="Cambria Math" w:hAnsi="Cambria Math"/>
          </w:rPr>
          <m:t>&lt;</m:t>
        </m:r>
        <m:acc>
          <m:accPr>
            <m:chr m:val="⃗"/>
            <m:ctrlPr>
              <w:rPr>
                <w:rFonts w:ascii="Cambria Math" w:hAnsi="Cambria Math"/>
                <w:i/>
              </w:rPr>
            </m:ctrlPr>
          </m:accPr>
          <m:e>
            <m:r>
              <w:rPr>
                <w:rFonts w:ascii="Cambria Math" w:hAnsi="Cambria Math"/>
              </w:rPr>
              <m:t>S</m:t>
            </m:r>
          </m:e>
        </m:acc>
        <m:r>
          <m:rPr>
            <m:sty m:val="bi"/>
          </m:rPr>
          <w:rPr>
            <w:rFonts w:ascii="Cambria Math" w:hAnsi="Cambria Math"/>
          </w:rPr>
          <m:t>&gt;</m:t>
        </m:r>
        <m:r>
          <m:rPr>
            <m:sty m:val="bi"/>
          </m:rPr>
          <w:rPr>
            <w:rFonts w:ascii="Cambria Math" w:eastAsiaTheme="minorEastAsia" w:hAnsi="Cambria Math"/>
          </w:rPr>
          <m:t>-</m:t>
        </m:r>
        <m:r>
          <w:rPr>
            <w:rFonts w:ascii="Cambria Math" w:eastAsiaTheme="minorEastAsia" w:hAnsi="Cambria Math"/>
          </w:rPr>
          <m:t>2</m:t>
        </m:r>
        <m:r>
          <m:rPr>
            <m:sty m:val="bi"/>
          </m:rPr>
          <w:rPr>
            <w:rFonts w:ascii="Cambria Math" w:hAnsi="Cambria Math"/>
          </w:rPr>
          <m:t>&lt;</m:t>
        </m:r>
        <m:acc>
          <m:accPr>
            <m:chr m:val="⃗"/>
            <m:ctrlPr>
              <w:rPr>
                <w:rFonts w:ascii="Cambria Math" w:hAnsi="Cambria Math"/>
                <w:i/>
              </w:rPr>
            </m:ctrlPr>
          </m:accPr>
          <m:e>
            <m:r>
              <w:rPr>
                <w:rFonts w:ascii="Cambria Math" w:hAnsi="Cambria Math"/>
              </w:rPr>
              <m:t>S</m:t>
            </m:r>
          </m:e>
        </m:acc>
        <m:sSup>
          <m:sSupPr>
            <m:ctrlPr>
              <w:rPr>
                <w:rFonts w:ascii="Cambria Math" w:hAnsi="Cambria Math"/>
                <w:b/>
                <w:bCs/>
                <w:i/>
              </w:rPr>
            </m:ctrlPr>
          </m:sSupPr>
          <m:e>
            <m:r>
              <m:rPr>
                <m:sty m:val="bi"/>
              </m:rPr>
              <w:rPr>
                <w:rFonts w:ascii="Cambria Math" w:hAnsi="Cambria Math"/>
              </w:rPr>
              <m:t>&gt;</m:t>
            </m:r>
          </m:e>
          <m:sup>
            <m:r>
              <m:rPr>
                <m:sty m:val="bi"/>
              </m:rPr>
              <w:rPr>
                <w:rFonts w:ascii="Cambria Math" w:hAnsi="Cambria Math"/>
              </w:rPr>
              <m:t>2</m:t>
            </m:r>
          </m:sup>
        </m:sSup>
      </m:oMath>
      <w:r>
        <w:rPr>
          <w:rFonts w:eastAsiaTheme="minorEastAsia"/>
          <w:b/>
          <w:bCs/>
        </w:rPr>
        <w:t xml:space="preserve">. </w:t>
      </w:r>
      <w:r w:rsidRPr="00F57266">
        <w:rPr>
          <w:rFonts w:eastAsiaTheme="minorEastAsia"/>
        </w:rPr>
        <w:t xml:space="preserve">Ce qui revient à négliger les fluctuations </w:t>
      </w:r>
      <w:r>
        <w:rPr>
          <w:rFonts w:eastAsiaTheme="minorEastAsia"/>
        </w:rPr>
        <w:t>au deuxième ordre</w:t>
      </w:r>
      <w:r w:rsidRPr="00F57266">
        <w:rPr>
          <w:rFonts w:eastAsiaTheme="minorEastAsia"/>
        </w:rPr>
        <w:t>.</w:t>
      </w:r>
      <w:r>
        <w:rPr>
          <w:rFonts w:eastAsiaTheme="minorEastAsia"/>
        </w:rPr>
        <w:t xml:space="preserve"> Ensuite les calculs se déroulent. Et on se ramène a un système équivalent (effectif) ou les N spins interagissent avec </w:t>
      </w:r>
      <w:r w:rsidRPr="00F57266">
        <w:rPr>
          <w:rFonts w:eastAsiaTheme="minorEastAsia"/>
        </w:rPr>
        <w:t xml:space="preserve"> </w:t>
      </w:r>
      <w:r>
        <w:rPr>
          <w:rFonts w:eastAsiaTheme="minorEastAsia"/>
        </w:rPr>
        <w:t xml:space="preserve">un champ dit effectif somme du champ initial et d’une composante qui dépend du spin moyen (ou du moment magnétique totale). </w:t>
      </w:r>
    </w:p>
    <w:p w14:paraId="7CC6B5C7" w14:textId="7E6EA3B9" w:rsidR="008D1B20" w:rsidRPr="008D1B20" w:rsidRDefault="008D1B20" w:rsidP="008D1B20">
      <w:r>
        <w:t>Le calcul qui mène à la fonction de partition a été rédigée (cf. pdf)</w:t>
      </w:r>
      <w:bookmarkStart w:id="0" w:name="_GoBack"/>
      <w:bookmarkEnd w:id="0"/>
    </w:p>
    <w:p w14:paraId="177D4F19" w14:textId="1D112B5C" w:rsidR="008D1B20" w:rsidRPr="00F1576D" w:rsidRDefault="008D1B20" w:rsidP="008D1B20">
      <w:pPr>
        <w:numPr>
          <w:ilvl w:val="0"/>
          <w:numId w:val="0"/>
        </w:numPr>
        <w:ind w:left="1068"/>
      </w:pPr>
    </w:p>
    <w:p w14:paraId="117A9A9A" w14:textId="1CD17A0B" w:rsidR="00C1688C" w:rsidRDefault="00C1688C" w:rsidP="00C1688C">
      <w:pPr>
        <w:pStyle w:val="Heading2"/>
      </w:pPr>
      <w:r>
        <w:t>Présentation du phénomène</w:t>
      </w:r>
      <w:r w:rsidR="005C018E">
        <w:t xml:space="preserve"> </w:t>
      </w:r>
    </w:p>
    <w:p w14:paraId="149ACF07" w14:textId="2186DD21" w:rsidR="0008719A" w:rsidRDefault="005C018E" w:rsidP="0008719A">
      <w:pPr>
        <w:numPr>
          <w:ilvl w:val="0"/>
          <w:numId w:val="0"/>
        </w:numPr>
        <w:ind w:left="1068"/>
      </w:pPr>
      <w:r>
        <w:t>Cf.Cours de Maria et Diu p 445 </w:t>
      </w:r>
      <w:r w:rsidR="0008719A">
        <w:t>Cpt III.J</w:t>
      </w:r>
    </w:p>
    <w:p w14:paraId="4DDE0F22" w14:textId="3DB9486F" w:rsidR="0008719A" w:rsidRDefault="0008719A" w:rsidP="0008719A">
      <w:pPr>
        <w:numPr>
          <w:ilvl w:val="0"/>
          <w:numId w:val="0"/>
        </w:numPr>
        <w:ind w:left="1068" w:hanging="360"/>
      </w:pPr>
      <w:r>
        <w:t xml:space="preserve">La présence des différents domaines de Weiss s’explique par la minimisation de l’énergie libre. Compétition entre énergie d’interaction magnétique dipolaire (faible et à longue portée) </w:t>
      </w:r>
      <w:r>
        <w:lastRenderedPageBreak/>
        <w:t>et l’énergie d’échange, forte et à courte portée. La première diminue lorsque le nombre de domaine augmente</w:t>
      </w:r>
      <w:r w:rsidR="003C0DC3">
        <w:t xml:space="preserve"> et tend donc à les multiplier ; la seconde tend au contraire à étendre un domaine unique. </w:t>
      </w:r>
    </w:p>
    <w:p w14:paraId="081CA0CC" w14:textId="4D5156C0" w:rsidR="00497E77" w:rsidRDefault="00497E77">
      <w:pPr>
        <w:numPr>
          <w:ilvl w:val="0"/>
          <w:numId w:val="0"/>
        </w:numPr>
        <w:contextualSpacing w:val="0"/>
        <w:jc w:val="left"/>
      </w:pPr>
      <w:r>
        <w:br w:type="page"/>
      </w:r>
    </w:p>
    <w:p w14:paraId="4479D6C5" w14:textId="1A3085FD" w:rsidR="00497E77" w:rsidRDefault="00497E77" w:rsidP="00497E77">
      <w:pPr>
        <w:pStyle w:val="Heading1"/>
        <w:numPr>
          <w:ilvl w:val="0"/>
          <w:numId w:val="0"/>
        </w:numPr>
        <w:ind w:left="1080"/>
      </w:pPr>
      <w:r>
        <w:lastRenderedPageBreak/>
        <w:t xml:space="preserve">Notes : </w:t>
      </w:r>
    </w:p>
    <w:sectPr w:rsidR="00497E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5DEA0" w14:textId="77777777" w:rsidR="008A7043" w:rsidRDefault="008A7043" w:rsidP="00A27ED0">
      <w:r>
        <w:separator/>
      </w:r>
    </w:p>
  </w:endnote>
  <w:endnote w:type="continuationSeparator" w:id="0">
    <w:p w14:paraId="749BF5F7" w14:textId="77777777" w:rsidR="008A7043" w:rsidRDefault="008A7043"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B4242" w14:textId="77777777" w:rsidR="008A7043" w:rsidRDefault="008A7043" w:rsidP="00A27ED0">
      <w:r>
        <w:separator/>
      </w:r>
    </w:p>
  </w:footnote>
  <w:footnote w:type="continuationSeparator" w:id="0">
    <w:p w14:paraId="55549950" w14:textId="77777777" w:rsidR="008A7043" w:rsidRDefault="008A7043"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3BB"/>
    <w:multiLevelType w:val="hybridMultilevel"/>
    <w:tmpl w:val="8DA8F42A"/>
    <w:lvl w:ilvl="0" w:tplc="60CA9A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439700B"/>
    <w:multiLevelType w:val="hybridMultilevel"/>
    <w:tmpl w:val="847E7852"/>
    <w:lvl w:ilvl="0" w:tplc="3160A43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6E01A6"/>
    <w:multiLevelType w:val="hybridMultilevel"/>
    <w:tmpl w:val="66E6E004"/>
    <w:lvl w:ilvl="0" w:tplc="A5CE66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F523E0"/>
    <w:multiLevelType w:val="hybridMultilevel"/>
    <w:tmpl w:val="209C64DA"/>
    <w:lvl w:ilvl="0" w:tplc="AAC8701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31488B"/>
    <w:multiLevelType w:val="hybridMultilevel"/>
    <w:tmpl w:val="7B62FDC4"/>
    <w:lvl w:ilvl="0" w:tplc="290AF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341138CC"/>
    <w:multiLevelType w:val="hybridMultilevel"/>
    <w:tmpl w:val="21AC4276"/>
    <w:lvl w:ilvl="0" w:tplc="41A821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504E77"/>
    <w:multiLevelType w:val="hybridMultilevel"/>
    <w:tmpl w:val="868ADCD4"/>
    <w:lvl w:ilvl="0" w:tplc="BADE71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8F24CF7"/>
    <w:multiLevelType w:val="hybridMultilevel"/>
    <w:tmpl w:val="12C8D816"/>
    <w:lvl w:ilvl="0" w:tplc="ECECD69E">
      <w:start w:val="1"/>
      <w:numFmt w:val="decimal"/>
      <w:lvlText w:val="%1-"/>
      <w:lvlJc w:val="left"/>
      <w:pPr>
        <w:ind w:left="1440" w:hanging="360"/>
      </w:pPr>
      <w:rPr>
        <w:rFonts w:eastAsiaTheme="minorEastAsia"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B294B01"/>
    <w:multiLevelType w:val="hybridMultilevel"/>
    <w:tmpl w:val="8B9C8700"/>
    <w:lvl w:ilvl="0" w:tplc="EEDE599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52E30C10"/>
    <w:multiLevelType w:val="hybridMultilevel"/>
    <w:tmpl w:val="4FD0603C"/>
    <w:lvl w:ilvl="0" w:tplc="60C02536">
      <w:start w:val="1"/>
      <w:numFmt w:val="upperLetter"/>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2E04B1"/>
    <w:multiLevelType w:val="hybridMultilevel"/>
    <w:tmpl w:val="773CA608"/>
    <w:lvl w:ilvl="0" w:tplc="6D026A1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1"/>
  </w:num>
  <w:num w:numId="2">
    <w:abstractNumId w:val="22"/>
  </w:num>
  <w:num w:numId="3">
    <w:abstractNumId w:val="5"/>
  </w:num>
  <w:num w:numId="4">
    <w:abstractNumId w:val="31"/>
  </w:num>
  <w:num w:numId="5">
    <w:abstractNumId w:val="4"/>
  </w:num>
  <w:num w:numId="6">
    <w:abstractNumId w:val="14"/>
  </w:num>
  <w:num w:numId="7">
    <w:abstractNumId w:val="8"/>
  </w:num>
  <w:num w:numId="8">
    <w:abstractNumId w:val="24"/>
  </w:num>
  <w:num w:numId="9">
    <w:abstractNumId w:val="27"/>
  </w:num>
  <w:num w:numId="10">
    <w:abstractNumId w:val="28"/>
  </w:num>
  <w:num w:numId="11">
    <w:abstractNumId w:val="25"/>
  </w:num>
  <w:num w:numId="12">
    <w:abstractNumId w:val="11"/>
  </w:num>
  <w:num w:numId="13">
    <w:abstractNumId w:val="25"/>
    <w:lvlOverride w:ilvl="0">
      <w:startOverride w:val="1"/>
    </w:lvlOverride>
  </w:num>
  <w:num w:numId="14">
    <w:abstractNumId w:val="1"/>
  </w:num>
  <w:num w:numId="15">
    <w:abstractNumId w:val="17"/>
  </w:num>
  <w:num w:numId="16">
    <w:abstractNumId w:val="18"/>
  </w:num>
  <w:num w:numId="17">
    <w:abstractNumId w:val="12"/>
  </w:num>
  <w:num w:numId="18">
    <w:abstractNumId w:val="15"/>
  </w:num>
  <w:num w:numId="19">
    <w:abstractNumId w:val="20"/>
  </w:num>
  <w:num w:numId="20">
    <w:abstractNumId w:val="26"/>
  </w:num>
  <w:num w:numId="21">
    <w:abstractNumId w:val="0"/>
  </w:num>
  <w:num w:numId="22">
    <w:abstractNumId w:val="19"/>
  </w:num>
  <w:num w:numId="23">
    <w:abstractNumId w:val="25"/>
    <w:lvlOverride w:ilvl="0">
      <w:startOverride w:val="1"/>
    </w:lvlOverride>
  </w:num>
  <w:num w:numId="24">
    <w:abstractNumId w:val="16"/>
  </w:num>
  <w:num w:numId="25">
    <w:abstractNumId w:val="25"/>
    <w:lvlOverride w:ilvl="0">
      <w:startOverride w:val="1"/>
    </w:lvlOverride>
  </w:num>
  <w:num w:numId="26">
    <w:abstractNumId w:val="25"/>
    <w:lvlOverride w:ilvl="0">
      <w:startOverride w:val="1"/>
    </w:lvlOverride>
  </w:num>
  <w:num w:numId="27">
    <w:abstractNumId w:val="10"/>
  </w:num>
  <w:num w:numId="28">
    <w:abstractNumId w:val="9"/>
  </w:num>
  <w:num w:numId="29">
    <w:abstractNumId w:val="3"/>
  </w:num>
  <w:num w:numId="30">
    <w:abstractNumId w:val="25"/>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num>
  <w:num w:numId="36">
    <w:abstractNumId w:val="30"/>
  </w:num>
  <w:num w:numId="37">
    <w:abstractNumId w:val="2"/>
    <w:lvlOverride w:ilvl="0">
      <w:startOverride w:val="1"/>
    </w:lvlOverride>
  </w:num>
  <w:num w:numId="38">
    <w:abstractNumId w:val="6"/>
  </w:num>
  <w:num w:numId="39">
    <w:abstractNumId w:val="13"/>
  </w:num>
  <w:num w:numId="40">
    <w:abstractNumId w:val="2"/>
    <w:lvlOverride w:ilvl="0">
      <w:startOverride w:val="1"/>
    </w:lvlOverride>
  </w:num>
  <w:num w:numId="41">
    <w:abstractNumId w:val="2"/>
    <w:lvlOverride w:ilvl="0">
      <w:startOverride w:val="1"/>
    </w:lvlOverride>
  </w:num>
  <w:num w:numId="42">
    <w:abstractNumId w:val="29"/>
  </w:num>
  <w:num w:numId="43">
    <w:abstractNumId w:val="23"/>
  </w:num>
  <w:num w:numId="44">
    <w:abstractNumId w:val="29"/>
    <w:lvlOverride w:ilvl="0">
      <w:startOverride w:val="1"/>
    </w:lvlOverride>
  </w:num>
  <w:num w:numId="45">
    <w:abstractNumId w:val="2"/>
    <w:lvlOverride w:ilvl="0">
      <w:startOverride w:val="1"/>
    </w:lvlOverride>
  </w:num>
  <w:num w:numId="46">
    <w:abstractNumId w:val="32"/>
  </w:num>
  <w:num w:numId="47">
    <w:abstractNumId w:val="2"/>
  </w:num>
  <w:num w:numId="48">
    <w:abstractNumId w:val="2"/>
    <w:lvlOverride w:ilvl="0">
      <w:startOverride w:val="1"/>
    </w:lvlOverride>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40005"/>
    <w:rsid w:val="000426C6"/>
    <w:rsid w:val="0005201C"/>
    <w:rsid w:val="00054031"/>
    <w:rsid w:val="000543CF"/>
    <w:rsid w:val="00062CEC"/>
    <w:rsid w:val="00063CD9"/>
    <w:rsid w:val="000669A3"/>
    <w:rsid w:val="00070FED"/>
    <w:rsid w:val="0008063F"/>
    <w:rsid w:val="00086628"/>
    <w:rsid w:val="0008719A"/>
    <w:rsid w:val="00090E3F"/>
    <w:rsid w:val="000A00B1"/>
    <w:rsid w:val="000A7BF2"/>
    <w:rsid w:val="000C64F0"/>
    <w:rsid w:val="000E269E"/>
    <w:rsid w:val="000E3286"/>
    <w:rsid w:val="000E3547"/>
    <w:rsid w:val="000E3568"/>
    <w:rsid w:val="000E5136"/>
    <w:rsid w:val="000F0B1C"/>
    <w:rsid w:val="000F1C1D"/>
    <w:rsid w:val="000F3E94"/>
    <w:rsid w:val="00103845"/>
    <w:rsid w:val="001059B1"/>
    <w:rsid w:val="00106BF1"/>
    <w:rsid w:val="00112123"/>
    <w:rsid w:val="00114C03"/>
    <w:rsid w:val="00115C26"/>
    <w:rsid w:val="0012231E"/>
    <w:rsid w:val="0012388F"/>
    <w:rsid w:val="001245F7"/>
    <w:rsid w:val="001250FC"/>
    <w:rsid w:val="001372A6"/>
    <w:rsid w:val="001423FA"/>
    <w:rsid w:val="00150D8C"/>
    <w:rsid w:val="001518B5"/>
    <w:rsid w:val="001536B7"/>
    <w:rsid w:val="00155448"/>
    <w:rsid w:val="001616F2"/>
    <w:rsid w:val="001659ED"/>
    <w:rsid w:val="001735C3"/>
    <w:rsid w:val="00182AA7"/>
    <w:rsid w:val="00185F48"/>
    <w:rsid w:val="00190152"/>
    <w:rsid w:val="00191476"/>
    <w:rsid w:val="00195422"/>
    <w:rsid w:val="001A21B9"/>
    <w:rsid w:val="001B3F89"/>
    <w:rsid w:val="001B456F"/>
    <w:rsid w:val="001B7569"/>
    <w:rsid w:val="001B7D9A"/>
    <w:rsid w:val="001C286F"/>
    <w:rsid w:val="001D19AD"/>
    <w:rsid w:val="001D1D93"/>
    <w:rsid w:val="001D378E"/>
    <w:rsid w:val="001D40F8"/>
    <w:rsid w:val="001D4C55"/>
    <w:rsid w:val="001D6522"/>
    <w:rsid w:val="001E56B6"/>
    <w:rsid w:val="001F4BB3"/>
    <w:rsid w:val="001F52E5"/>
    <w:rsid w:val="001F5376"/>
    <w:rsid w:val="001F53DB"/>
    <w:rsid w:val="0021584E"/>
    <w:rsid w:val="00215C57"/>
    <w:rsid w:val="00216670"/>
    <w:rsid w:val="00217980"/>
    <w:rsid w:val="00222EBF"/>
    <w:rsid w:val="00225D6F"/>
    <w:rsid w:val="00227333"/>
    <w:rsid w:val="00231625"/>
    <w:rsid w:val="00232EBF"/>
    <w:rsid w:val="00237F89"/>
    <w:rsid w:val="00245991"/>
    <w:rsid w:val="00255939"/>
    <w:rsid w:val="00256A93"/>
    <w:rsid w:val="00263204"/>
    <w:rsid w:val="00264A8F"/>
    <w:rsid w:val="00266C9F"/>
    <w:rsid w:val="002709FF"/>
    <w:rsid w:val="00275CF0"/>
    <w:rsid w:val="00285793"/>
    <w:rsid w:val="00293EC0"/>
    <w:rsid w:val="0029462C"/>
    <w:rsid w:val="00295EF7"/>
    <w:rsid w:val="00296C97"/>
    <w:rsid w:val="00297919"/>
    <w:rsid w:val="002A643A"/>
    <w:rsid w:val="002A7461"/>
    <w:rsid w:val="002A7EAA"/>
    <w:rsid w:val="002B2A94"/>
    <w:rsid w:val="002B60E5"/>
    <w:rsid w:val="002B6916"/>
    <w:rsid w:val="002B70CC"/>
    <w:rsid w:val="002C6823"/>
    <w:rsid w:val="002D0B5E"/>
    <w:rsid w:val="002D1CCB"/>
    <w:rsid w:val="002D2B05"/>
    <w:rsid w:val="002D3FBF"/>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518D3"/>
    <w:rsid w:val="00352993"/>
    <w:rsid w:val="00356756"/>
    <w:rsid w:val="00356E1D"/>
    <w:rsid w:val="00366B86"/>
    <w:rsid w:val="00366C1C"/>
    <w:rsid w:val="00372931"/>
    <w:rsid w:val="00377560"/>
    <w:rsid w:val="00377F28"/>
    <w:rsid w:val="0038103C"/>
    <w:rsid w:val="003818C5"/>
    <w:rsid w:val="00384F95"/>
    <w:rsid w:val="003878DC"/>
    <w:rsid w:val="00396E4E"/>
    <w:rsid w:val="003A444B"/>
    <w:rsid w:val="003A752E"/>
    <w:rsid w:val="003B1D75"/>
    <w:rsid w:val="003B2DD7"/>
    <w:rsid w:val="003B57F3"/>
    <w:rsid w:val="003B6488"/>
    <w:rsid w:val="003C0DC3"/>
    <w:rsid w:val="003C373A"/>
    <w:rsid w:val="003C42E3"/>
    <w:rsid w:val="003C64F8"/>
    <w:rsid w:val="003C658A"/>
    <w:rsid w:val="003D0198"/>
    <w:rsid w:val="003E1E5C"/>
    <w:rsid w:val="003E4FD3"/>
    <w:rsid w:val="003E7DDE"/>
    <w:rsid w:val="003E7F8D"/>
    <w:rsid w:val="003F5D4D"/>
    <w:rsid w:val="003F6B40"/>
    <w:rsid w:val="004032B4"/>
    <w:rsid w:val="00406F7D"/>
    <w:rsid w:val="00413C8D"/>
    <w:rsid w:val="00415878"/>
    <w:rsid w:val="00420A04"/>
    <w:rsid w:val="00422AF3"/>
    <w:rsid w:val="00430E11"/>
    <w:rsid w:val="00437B55"/>
    <w:rsid w:val="00440784"/>
    <w:rsid w:val="00440E83"/>
    <w:rsid w:val="0044504D"/>
    <w:rsid w:val="00447027"/>
    <w:rsid w:val="00461953"/>
    <w:rsid w:val="004645CB"/>
    <w:rsid w:val="00465A32"/>
    <w:rsid w:val="004718DE"/>
    <w:rsid w:val="00483592"/>
    <w:rsid w:val="00492870"/>
    <w:rsid w:val="00492BCB"/>
    <w:rsid w:val="004933EE"/>
    <w:rsid w:val="00497E77"/>
    <w:rsid w:val="004A2411"/>
    <w:rsid w:val="004A2ECA"/>
    <w:rsid w:val="004A78F7"/>
    <w:rsid w:val="004B0953"/>
    <w:rsid w:val="004B24BF"/>
    <w:rsid w:val="004B2B4E"/>
    <w:rsid w:val="004B4067"/>
    <w:rsid w:val="004B5F69"/>
    <w:rsid w:val="004D1CE4"/>
    <w:rsid w:val="004D621C"/>
    <w:rsid w:val="004F021F"/>
    <w:rsid w:val="004F3328"/>
    <w:rsid w:val="004F47DC"/>
    <w:rsid w:val="004F5F5D"/>
    <w:rsid w:val="004F62D6"/>
    <w:rsid w:val="004F677E"/>
    <w:rsid w:val="00501227"/>
    <w:rsid w:val="00501C46"/>
    <w:rsid w:val="00504F61"/>
    <w:rsid w:val="0051054A"/>
    <w:rsid w:val="005117CA"/>
    <w:rsid w:val="005141E7"/>
    <w:rsid w:val="00520FF1"/>
    <w:rsid w:val="00530C17"/>
    <w:rsid w:val="00540641"/>
    <w:rsid w:val="0054171D"/>
    <w:rsid w:val="00544BF5"/>
    <w:rsid w:val="00547568"/>
    <w:rsid w:val="00552504"/>
    <w:rsid w:val="005528CB"/>
    <w:rsid w:val="00553957"/>
    <w:rsid w:val="00582FB9"/>
    <w:rsid w:val="00583B69"/>
    <w:rsid w:val="00596260"/>
    <w:rsid w:val="005968A7"/>
    <w:rsid w:val="005A1D65"/>
    <w:rsid w:val="005A2F18"/>
    <w:rsid w:val="005A524E"/>
    <w:rsid w:val="005A5B44"/>
    <w:rsid w:val="005B0842"/>
    <w:rsid w:val="005B4DC6"/>
    <w:rsid w:val="005C018E"/>
    <w:rsid w:val="005C197A"/>
    <w:rsid w:val="005C1E4B"/>
    <w:rsid w:val="005C4D61"/>
    <w:rsid w:val="005C5837"/>
    <w:rsid w:val="005D50E2"/>
    <w:rsid w:val="005D76FE"/>
    <w:rsid w:val="005E2692"/>
    <w:rsid w:val="005E3844"/>
    <w:rsid w:val="005E5124"/>
    <w:rsid w:val="005E5D5F"/>
    <w:rsid w:val="00612E45"/>
    <w:rsid w:val="00613212"/>
    <w:rsid w:val="00616886"/>
    <w:rsid w:val="00620E59"/>
    <w:rsid w:val="00627DBA"/>
    <w:rsid w:val="00631082"/>
    <w:rsid w:val="00631372"/>
    <w:rsid w:val="00632184"/>
    <w:rsid w:val="006430C7"/>
    <w:rsid w:val="00643DDC"/>
    <w:rsid w:val="00645F88"/>
    <w:rsid w:val="0065585D"/>
    <w:rsid w:val="006578BF"/>
    <w:rsid w:val="00660DD9"/>
    <w:rsid w:val="0066183C"/>
    <w:rsid w:val="006625BA"/>
    <w:rsid w:val="00664297"/>
    <w:rsid w:val="0066565B"/>
    <w:rsid w:val="00676A73"/>
    <w:rsid w:val="006850BC"/>
    <w:rsid w:val="0069281F"/>
    <w:rsid w:val="006B3F59"/>
    <w:rsid w:val="006B5513"/>
    <w:rsid w:val="006B5C5F"/>
    <w:rsid w:val="006C1E75"/>
    <w:rsid w:val="006C37E3"/>
    <w:rsid w:val="006C56FD"/>
    <w:rsid w:val="006D1486"/>
    <w:rsid w:val="006D4F64"/>
    <w:rsid w:val="006D613D"/>
    <w:rsid w:val="006D7C08"/>
    <w:rsid w:val="006E3E4D"/>
    <w:rsid w:val="006E74B5"/>
    <w:rsid w:val="006F3130"/>
    <w:rsid w:val="006F4CD2"/>
    <w:rsid w:val="006F5D14"/>
    <w:rsid w:val="00701FB6"/>
    <w:rsid w:val="00702A52"/>
    <w:rsid w:val="00705E50"/>
    <w:rsid w:val="007101F2"/>
    <w:rsid w:val="00713E1C"/>
    <w:rsid w:val="0072209B"/>
    <w:rsid w:val="00725A42"/>
    <w:rsid w:val="007308A5"/>
    <w:rsid w:val="007326DF"/>
    <w:rsid w:val="00735DA6"/>
    <w:rsid w:val="0074113F"/>
    <w:rsid w:val="00745105"/>
    <w:rsid w:val="007519A3"/>
    <w:rsid w:val="00751B49"/>
    <w:rsid w:val="00754036"/>
    <w:rsid w:val="00763A7F"/>
    <w:rsid w:val="00763CA4"/>
    <w:rsid w:val="00764B7E"/>
    <w:rsid w:val="00771BCA"/>
    <w:rsid w:val="00771CC5"/>
    <w:rsid w:val="007769A6"/>
    <w:rsid w:val="00776DF3"/>
    <w:rsid w:val="00781C80"/>
    <w:rsid w:val="007867B0"/>
    <w:rsid w:val="00790C3A"/>
    <w:rsid w:val="007A2A1D"/>
    <w:rsid w:val="007A6F40"/>
    <w:rsid w:val="007B2C3C"/>
    <w:rsid w:val="007B4129"/>
    <w:rsid w:val="007C3A23"/>
    <w:rsid w:val="007C7C23"/>
    <w:rsid w:val="007D0352"/>
    <w:rsid w:val="007D0E2C"/>
    <w:rsid w:val="007D1989"/>
    <w:rsid w:val="007D3732"/>
    <w:rsid w:val="007D41AC"/>
    <w:rsid w:val="007E59CD"/>
    <w:rsid w:val="007E653D"/>
    <w:rsid w:val="007F41DD"/>
    <w:rsid w:val="007F4C6F"/>
    <w:rsid w:val="007F50B0"/>
    <w:rsid w:val="00800E7A"/>
    <w:rsid w:val="00801F2C"/>
    <w:rsid w:val="00810C2E"/>
    <w:rsid w:val="00814C51"/>
    <w:rsid w:val="008179C3"/>
    <w:rsid w:val="00820A6F"/>
    <w:rsid w:val="0082133B"/>
    <w:rsid w:val="00821F57"/>
    <w:rsid w:val="00823959"/>
    <w:rsid w:val="0082399D"/>
    <w:rsid w:val="008255AF"/>
    <w:rsid w:val="00841858"/>
    <w:rsid w:val="00843136"/>
    <w:rsid w:val="008460E1"/>
    <w:rsid w:val="0085219B"/>
    <w:rsid w:val="00852727"/>
    <w:rsid w:val="0085491E"/>
    <w:rsid w:val="008557A0"/>
    <w:rsid w:val="00861322"/>
    <w:rsid w:val="008633C4"/>
    <w:rsid w:val="00865D3D"/>
    <w:rsid w:val="00866A9A"/>
    <w:rsid w:val="00866EE9"/>
    <w:rsid w:val="008754D1"/>
    <w:rsid w:val="008774F8"/>
    <w:rsid w:val="00880986"/>
    <w:rsid w:val="00892B14"/>
    <w:rsid w:val="00893F12"/>
    <w:rsid w:val="008A319A"/>
    <w:rsid w:val="008A446E"/>
    <w:rsid w:val="008A6170"/>
    <w:rsid w:val="008A7043"/>
    <w:rsid w:val="008B4A57"/>
    <w:rsid w:val="008C0A08"/>
    <w:rsid w:val="008C5E9D"/>
    <w:rsid w:val="008C69AD"/>
    <w:rsid w:val="008D11BA"/>
    <w:rsid w:val="008D171E"/>
    <w:rsid w:val="008D1B20"/>
    <w:rsid w:val="008D69AE"/>
    <w:rsid w:val="008F77B8"/>
    <w:rsid w:val="0090066B"/>
    <w:rsid w:val="00901F51"/>
    <w:rsid w:val="009023DF"/>
    <w:rsid w:val="0090523B"/>
    <w:rsid w:val="00915976"/>
    <w:rsid w:val="009174AD"/>
    <w:rsid w:val="0091788A"/>
    <w:rsid w:val="00922709"/>
    <w:rsid w:val="009275E5"/>
    <w:rsid w:val="00927B2A"/>
    <w:rsid w:val="009411A4"/>
    <w:rsid w:val="0094228D"/>
    <w:rsid w:val="00944160"/>
    <w:rsid w:val="00945465"/>
    <w:rsid w:val="00946ABB"/>
    <w:rsid w:val="00950852"/>
    <w:rsid w:val="009556CC"/>
    <w:rsid w:val="009575C3"/>
    <w:rsid w:val="0096142A"/>
    <w:rsid w:val="00962583"/>
    <w:rsid w:val="00965B7E"/>
    <w:rsid w:val="00972826"/>
    <w:rsid w:val="00985C66"/>
    <w:rsid w:val="009900F6"/>
    <w:rsid w:val="009A0385"/>
    <w:rsid w:val="009A0F00"/>
    <w:rsid w:val="009A1172"/>
    <w:rsid w:val="009A3FF7"/>
    <w:rsid w:val="009A49DF"/>
    <w:rsid w:val="009B03C5"/>
    <w:rsid w:val="009B5D9B"/>
    <w:rsid w:val="009C4257"/>
    <w:rsid w:val="009C7BF0"/>
    <w:rsid w:val="009D71E6"/>
    <w:rsid w:val="009D7AB0"/>
    <w:rsid w:val="009E641C"/>
    <w:rsid w:val="009F12CD"/>
    <w:rsid w:val="009F3223"/>
    <w:rsid w:val="009F4D92"/>
    <w:rsid w:val="009F67A1"/>
    <w:rsid w:val="00A0248A"/>
    <w:rsid w:val="00A04687"/>
    <w:rsid w:val="00A05655"/>
    <w:rsid w:val="00A068F2"/>
    <w:rsid w:val="00A170CB"/>
    <w:rsid w:val="00A21AC6"/>
    <w:rsid w:val="00A2415A"/>
    <w:rsid w:val="00A27ED0"/>
    <w:rsid w:val="00A369F0"/>
    <w:rsid w:val="00A44144"/>
    <w:rsid w:val="00A46D7B"/>
    <w:rsid w:val="00A51C83"/>
    <w:rsid w:val="00A5317C"/>
    <w:rsid w:val="00A6074A"/>
    <w:rsid w:val="00A609D1"/>
    <w:rsid w:val="00A6270C"/>
    <w:rsid w:val="00A62E2F"/>
    <w:rsid w:val="00A67E6B"/>
    <w:rsid w:val="00A7474A"/>
    <w:rsid w:val="00A75D31"/>
    <w:rsid w:val="00A8427C"/>
    <w:rsid w:val="00A855E2"/>
    <w:rsid w:val="00A87C7C"/>
    <w:rsid w:val="00A97E61"/>
    <w:rsid w:val="00AA371F"/>
    <w:rsid w:val="00AC1D00"/>
    <w:rsid w:val="00AC5848"/>
    <w:rsid w:val="00AD1988"/>
    <w:rsid w:val="00AD3F58"/>
    <w:rsid w:val="00AD67B0"/>
    <w:rsid w:val="00AD688B"/>
    <w:rsid w:val="00AE0606"/>
    <w:rsid w:val="00AF43D0"/>
    <w:rsid w:val="00AF46FF"/>
    <w:rsid w:val="00AF6885"/>
    <w:rsid w:val="00B0146C"/>
    <w:rsid w:val="00B05999"/>
    <w:rsid w:val="00B0642B"/>
    <w:rsid w:val="00B11CAF"/>
    <w:rsid w:val="00B13C8A"/>
    <w:rsid w:val="00B40639"/>
    <w:rsid w:val="00B408A5"/>
    <w:rsid w:val="00B41401"/>
    <w:rsid w:val="00B42D9E"/>
    <w:rsid w:val="00B44D4C"/>
    <w:rsid w:val="00B4545A"/>
    <w:rsid w:val="00B523ED"/>
    <w:rsid w:val="00B52496"/>
    <w:rsid w:val="00B5791E"/>
    <w:rsid w:val="00B658F3"/>
    <w:rsid w:val="00B710BB"/>
    <w:rsid w:val="00B7276D"/>
    <w:rsid w:val="00B82AE3"/>
    <w:rsid w:val="00BA0A97"/>
    <w:rsid w:val="00BA53B6"/>
    <w:rsid w:val="00BA6FCA"/>
    <w:rsid w:val="00BA7380"/>
    <w:rsid w:val="00BC3651"/>
    <w:rsid w:val="00BD561C"/>
    <w:rsid w:val="00BE4CA1"/>
    <w:rsid w:val="00BF078D"/>
    <w:rsid w:val="00C0293C"/>
    <w:rsid w:val="00C050CF"/>
    <w:rsid w:val="00C1042F"/>
    <w:rsid w:val="00C1688C"/>
    <w:rsid w:val="00C31AA8"/>
    <w:rsid w:val="00C327B0"/>
    <w:rsid w:val="00C3512A"/>
    <w:rsid w:val="00C45A73"/>
    <w:rsid w:val="00C52FC3"/>
    <w:rsid w:val="00C574FB"/>
    <w:rsid w:val="00C5783B"/>
    <w:rsid w:val="00C63D82"/>
    <w:rsid w:val="00C71069"/>
    <w:rsid w:val="00C718A6"/>
    <w:rsid w:val="00C73FD0"/>
    <w:rsid w:val="00C8083F"/>
    <w:rsid w:val="00C82B9A"/>
    <w:rsid w:val="00C83604"/>
    <w:rsid w:val="00C92763"/>
    <w:rsid w:val="00C92CBA"/>
    <w:rsid w:val="00C934C0"/>
    <w:rsid w:val="00CA35D9"/>
    <w:rsid w:val="00CA675B"/>
    <w:rsid w:val="00CA7C6D"/>
    <w:rsid w:val="00CB5191"/>
    <w:rsid w:val="00CC3B5D"/>
    <w:rsid w:val="00CC5ACA"/>
    <w:rsid w:val="00CC7A9C"/>
    <w:rsid w:val="00CD03DB"/>
    <w:rsid w:val="00CD118B"/>
    <w:rsid w:val="00CD4C56"/>
    <w:rsid w:val="00CD5DA8"/>
    <w:rsid w:val="00CD70ED"/>
    <w:rsid w:val="00CD76BE"/>
    <w:rsid w:val="00CE159E"/>
    <w:rsid w:val="00CE440F"/>
    <w:rsid w:val="00CE651E"/>
    <w:rsid w:val="00CF5FBB"/>
    <w:rsid w:val="00CF7E05"/>
    <w:rsid w:val="00CF7FF6"/>
    <w:rsid w:val="00D104BD"/>
    <w:rsid w:val="00D10B8B"/>
    <w:rsid w:val="00D13453"/>
    <w:rsid w:val="00D1596A"/>
    <w:rsid w:val="00D16361"/>
    <w:rsid w:val="00D21409"/>
    <w:rsid w:val="00D2572C"/>
    <w:rsid w:val="00D273E5"/>
    <w:rsid w:val="00D32B49"/>
    <w:rsid w:val="00D32CA1"/>
    <w:rsid w:val="00D40AB7"/>
    <w:rsid w:val="00D461BC"/>
    <w:rsid w:val="00D5240D"/>
    <w:rsid w:val="00D52DBC"/>
    <w:rsid w:val="00D53850"/>
    <w:rsid w:val="00D60918"/>
    <w:rsid w:val="00D62C0C"/>
    <w:rsid w:val="00D63643"/>
    <w:rsid w:val="00D65B55"/>
    <w:rsid w:val="00D67784"/>
    <w:rsid w:val="00D76E78"/>
    <w:rsid w:val="00D7755E"/>
    <w:rsid w:val="00D77D35"/>
    <w:rsid w:val="00D82FAF"/>
    <w:rsid w:val="00D833B8"/>
    <w:rsid w:val="00D8388A"/>
    <w:rsid w:val="00D8425A"/>
    <w:rsid w:val="00D9145B"/>
    <w:rsid w:val="00D923D2"/>
    <w:rsid w:val="00D9401F"/>
    <w:rsid w:val="00DA093B"/>
    <w:rsid w:val="00DA0B78"/>
    <w:rsid w:val="00DB1D87"/>
    <w:rsid w:val="00DB6272"/>
    <w:rsid w:val="00DB64A3"/>
    <w:rsid w:val="00DC4467"/>
    <w:rsid w:val="00DC4534"/>
    <w:rsid w:val="00DD0394"/>
    <w:rsid w:val="00DD1AEC"/>
    <w:rsid w:val="00DD7DA0"/>
    <w:rsid w:val="00DE1493"/>
    <w:rsid w:val="00DE4880"/>
    <w:rsid w:val="00DE5B4B"/>
    <w:rsid w:val="00DE7A48"/>
    <w:rsid w:val="00DF1C55"/>
    <w:rsid w:val="00DF1DBF"/>
    <w:rsid w:val="00DF37C5"/>
    <w:rsid w:val="00DF3A4F"/>
    <w:rsid w:val="00E007FE"/>
    <w:rsid w:val="00E037B6"/>
    <w:rsid w:val="00E12E30"/>
    <w:rsid w:val="00E23439"/>
    <w:rsid w:val="00E23DB0"/>
    <w:rsid w:val="00E340C6"/>
    <w:rsid w:val="00E410ED"/>
    <w:rsid w:val="00E425CB"/>
    <w:rsid w:val="00E473D0"/>
    <w:rsid w:val="00E55676"/>
    <w:rsid w:val="00E67F9C"/>
    <w:rsid w:val="00E70242"/>
    <w:rsid w:val="00E74AF9"/>
    <w:rsid w:val="00E835A4"/>
    <w:rsid w:val="00E86CB0"/>
    <w:rsid w:val="00E8747D"/>
    <w:rsid w:val="00E93747"/>
    <w:rsid w:val="00EA0484"/>
    <w:rsid w:val="00EB4136"/>
    <w:rsid w:val="00EC134D"/>
    <w:rsid w:val="00EC155C"/>
    <w:rsid w:val="00EC682D"/>
    <w:rsid w:val="00ED2A2D"/>
    <w:rsid w:val="00ED7267"/>
    <w:rsid w:val="00EF1190"/>
    <w:rsid w:val="00EF1740"/>
    <w:rsid w:val="00EF1BD6"/>
    <w:rsid w:val="00EF6D6B"/>
    <w:rsid w:val="00F01C26"/>
    <w:rsid w:val="00F02FA9"/>
    <w:rsid w:val="00F0501C"/>
    <w:rsid w:val="00F10802"/>
    <w:rsid w:val="00F114C1"/>
    <w:rsid w:val="00F14F51"/>
    <w:rsid w:val="00F1576D"/>
    <w:rsid w:val="00F3141F"/>
    <w:rsid w:val="00F340B0"/>
    <w:rsid w:val="00F34FF4"/>
    <w:rsid w:val="00F355FD"/>
    <w:rsid w:val="00F36B63"/>
    <w:rsid w:val="00F40A44"/>
    <w:rsid w:val="00F461E8"/>
    <w:rsid w:val="00F47E42"/>
    <w:rsid w:val="00F57266"/>
    <w:rsid w:val="00F65C84"/>
    <w:rsid w:val="00F719EB"/>
    <w:rsid w:val="00F762DE"/>
    <w:rsid w:val="00F83D5A"/>
    <w:rsid w:val="00F846D1"/>
    <w:rsid w:val="00F96BBA"/>
    <w:rsid w:val="00FA3F96"/>
    <w:rsid w:val="00FA451D"/>
    <w:rsid w:val="00FC3989"/>
    <w:rsid w:val="00FC3D7A"/>
    <w:rsid w:val="00FC4359"/>
    <w:rsid w:val="00FC6F32"/>
    <w:rsid w:val="00FC6FD0"/>
    <w:rsid w:val="00FD0848"/>
    <w:rsid w:val="00FD1BED"/>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43"/>
      </w:numPr>
      <w:contextualSpacing/>
      <w:jc w:val="both"/>
    </w:pPr>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47"/>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42"/>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194B-B722-4C2E-8285-F879ADCA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4</Pages>
  <Words>851</Words>
  <Characters>4684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388</cp:revision>
  <cp:lastPrinted>2020-04-14T11:12:00Z</cp:lastPrinted>
  <dcterms:created xsi:type="dcterms:W3CDTF">2020-03-28T14:25:00Z</dcterms:created>
  <dcterms:modified xsi:type="dcterms:W3CDTF">2020-05-08T15:20:00Z</dcterms:modified>
</cp:coreProperties>
</file>